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BFAEF1">
      <w:pPr>
        <w:pStyle w:val="2"/>
      </w:pPr>
    </w:p>
    <w:p w14:paraId="72EF2A7D">
      <w:pPr>
        <w:pStyle w:val="2"/>
      </w:pPr>
      <w:r>
        <w:t>浇注转运RGV技术手册：结构、原理与故障分析</w:t>
      </w:r>
    </w:p>
    <w:p w14:paraId="67B15384">
      <w:pPr>
        <w:pStyle w:val="3"/>
      </w:pPr>
      <w:r>
        <w:t>一、浇注转运RGV概述</w:t>
      </w:r>
    </w:p>
    <w:p w14:paraId="5B7B0C17">
      <w:pPr>
        <w:pStyle w:val="4"/>
      </w:pPr>
      <w:r>
        <w:t>1.1 定义与工作特点</w:t>
      </w:r>
    </w:p>
    <w:p w14:paraId="59AB58B2">
      <w:r>
        <w:t>浇注转运RGV（有轨制导车辆）是一种沿固定轨道运行的自动化物料转运设备，主要用于工业生产中重载、高精度、连续化的物料转运场景。与普通RGV相比，浇注转运RGV具有以下独特工作特点：一是重载能力强，额定载荷可达30-60吨，能够满足大型铸件、模具等重型物料的转运需求；二是定位精度高，重复定位精度可达±5mm，高精度场景下通过编码器组合定位可控制在±0.5mm以内；三是环境适应性强，针对浇注作业环境特点，设备采用耐高温、防尘设计，能够在-5~+45℃温度范围和≤95%RH湿度条件下稳定运行；四是控制方式灵活，支持手动和自动两种模式切换，可通过无线遥控器或操作台实现远程控制；五是安全性能优异，配备完善的安全防护系统，包括前后防撞装置、紧急制动系统和声光报警装置，确保作业安全。</w:t>
      </w:r>
    </w:p>
    <w:p w14:paraId="4AABB74F">
      <w:r>
        <w:t>浇注转运RGV的核心工作原理是通过驱动系统带动车轮沿轨道运行，利用定位系统实现精准停靠，通过物料转运装置完成物料的装卸。设备整体采用模块化设计，各系统之间通过控制系统实现协同工作，能够满足不同生产场景的转运需求。与传统的叉车、天车等转运设备相比，浇注转运RGV具有运行稳定、效率高、成本低、自动化程度高等优势，特别适合在标准化、大批量生产环境中应用。</w:t>
      </w:r>
    </w:p>
    <w:p w14:paraId="0EA40197">
      <w:pPr>
        <w:pStyle w:val="4"/>
      </w:pPr>
      <w:r>
        <w:t>1.2 分类与技术参数</w:t>
      </w:r>
    </w:p>
    <w:p w14:paraId="41470401">
      <w:r>
        <w:t>浇注转运RGV可根据结构形式和驱动方式进行分类，不同类型的设备具有不同的技术特点和适用场景。</w:t>
      </w:r>
    </w:p>
    <w:p w14:paraId="376335C6">
      <w:r>
        <w:t>按结构形式可分为直线往复式和环形两种类型。直线往复式RGV主要用于两点之间的物料转运，轨道通常采用钢轨铺设，结构简单，成本较低，但仅支持单车往复运动。环形RGV则可在环形轨道上运行，支持多车同时作业，通过分道岔和调度算法实现路径规划，适用于复杂的物料转运场景。</w:t>
      </w:r>
    </w:p>
    <w:p w14:paraId="2558C3A3">
      <w:r>
        <w:t>按驱动方式可分为单驱动和双驱动两种类型。单驱动RGV只有一组驱动轮，结构简单，但承载能力相对较弱，适用于中小载荷的转运需求。双驱动RGV则有两组驱动轮，通过差速控制实现转向和运行，承载能力强，运行稳定性好，适用于重载、高精度的转运场景。</w:t>
      </w:r>
    </w:p>
    <w:p w14:paraId="7DEA95CB">
      <w:r>
        <w:t>以下是几种典型浇注转运RGV的技术参数对比：</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2410C92F">
        <w:tblPrEx>
          <w:tblCellMar>
            <w:top w:w="0" w:type="dxa"/>
            <w:left w:w="0" w:type="dxa"/>
            <w:bottom w:w="0" w:type="dxa"/>
            <w:right w:w="0" w:type="dxa"/>
          </w:tblCellMar>
        </w:tblPrEx>
        <w:tc>
          <w:tcPr>
            <w:tcW w:w="0" w:type="auto"/>
            <w:vAlign w:val="center"/>
          </w:tcPr>
          <w:p w14:paraId="3E249E9B">
            <w:pPr>
              <w:jc w:val="center"/>
              <w:rPr>
                <w:b/>
              </w:rPr>
            </w:pPr>
            <w:r>
              <w:rPr>
                <w:b/>
              </w:rPr>
              <w:t>参数项</w:t>
            </w:r>
          </w:p>
        </w:tc>
        <w:tc>
          <w:tcPr>
            <w:tcW w:w="0" w:type="auto"/>
            <w:vAlign w:val="center"/>
          </w:tcPr>
          <w:p w14:paraId="128303BD">
            <w:pPr>
              <w:jc w:val="center"/>
              <w:rPr>
                <w:b/>
              </w:rPr>
            </w:pPr>
            <w:r>
              <w:rPr>
                <w:b/>
              </w:rPr>
              <w:t>直线单驱动型</w:t>
            </w:r>
          </w:p>
        </w:tc>
        <w:tc>
          <w:tcPr>
            <w:tcW w:w="0" w:type="auto"/>
            <w:vAlign w:val="center"/>
          </w:tcPr>
          <w:p w14:paraId="400DA0F3">
            <w:pPr>
              <w:jc w:val="center"/>
              <w:rPr>
                <w:b/>
              </w:rPr>
            </w:pPr>
            <w:r>
              <w:rPr>
                <w:b/>
              </w:rPr>
              <w:t>直线双驱动型</w:t>
            </w:r>
          </w:p>
        </w:tc>
        <w:tc>
          <w:tcPr>
            <w:tcW w:w="0" w:type="auto"/>
            <w:vAlign w:val="center"/>
          </w:tcPr>
          <w:p w14:paraId="2E56F547">
            <w:pPr>
              <w:jc w:val="center"/>
              <w:rPr>
                <w:b/>
              </w:rPr>
            </w:pPr>
            <w:r>
              <w:rPr>
                <w:b/>
              </w:rPr>
              <w:t>环形双驱动型</w:t>
            </w:r>
          </w:p>
        </w:tc>
      </w:tr>
      <w:tr w14:paraId="481B2A67">
        <w:tblPrEx>
          <w:tblCellMar>
            <w:top w:w="0" w:type="dxa"/>
            <w:left w:w="0" w:type="dxa"/>
            <w:bottom w:w="0" w:type="dxa"/>
            <w:right w:w="0" w:type="dxa"/>
          </w:tblCellMar>
        </w:tblPrEx>
        <w:tc>
          <w:tcPr>
            <w:tcW w:w="0" w:type="auto"/>
            <w:vAlign w:val="center"/>
          </w:tcPr>
          <w:p w14:paraId="55926028">
            <w:r>
              <w:t>额定载荷</w:t>
            </w:r>
          </w:p>
        </w:tc>
        <w:tc>
          <w:tcPr>
            <w:tcW w:w="0" w:type="auto"/>
            <w:vAlign w:val="center"/>
          </w:tcPr>
          <w:p w14:paraId="3439F373">
            <w:r>
              <w:t>30吨</w:t>
            </w:r>
          </w:p>
        </w:tc>
        <w:tc>
          <w:tcPr>
            <w:tcW w:w="0" w:type="auto"/>
            <w:vAlign w:val="center"/>
          </w:tcPr>
          <w:p w14:paraId="1C3652A5">
            <w:r>
              <w:t>60吨</w:t>
            </w:r>
          </w:p>
        </w:tc>
        <w:tc>
          <w:tcPr>
            <w:tcW w:w="0" w:type="auto"/>
            <w:vAlign w:val="center"/>
          </w:tcPr>
          <w:p w14:paraId="094BD445">
            <w:r>
              <w:t>45吨</w:t>
            </w:r>
          </w:p>
        </w:tc>
      </w:tr>
      <w:tr w14:paraId="6D793C23">
        <w:tblPrEx>
          <w:tblCellMar>
            <w:top w:w="0" w:type="dxa"/>
            <w:left w:w="0" w:type="dxa"/>
            <w:bottom w:w="0" w:type="dxa"/>
            <w:right w:w="0" w:type="dxa"/>
          </w:tblCellMar>
        </w:tblPrEx>
        <w:tc>
          <w:tcPr>
            <w:tcW w:w="0" w:type="auto"/>
            <w:vAlign w:val="center"/>
          </w:tcPr>
          <w:p w14:paraId="73F6C4C2">
            <w:r>
              <w:t>运行速度</w:t>
            </w:r>
          </w:p>
        </w:tc>
        <w:tc>
          <w:tcPr>
            <w:tcW w:w="0" w:type="auto"/>
            <w:vAlign w:val="center"/>
          </w:tcPr>
          <w:p w14:paraId="01BFA222">
            <w:r>
              <w:t>0-30m/min</w:t>
            </w:r>
          </w:p>
        </w:tc>
        <w:tc>
          <w:tcPr>
            <w:tcW w:w="0" w:type="auto"/>
            <w:vAlign w:val="center"/>
          </w:tcPr>
          <w:p w14:paraId="12365508">
            <w:r>
              <w:t>0-20m/min</w:t>
            </w:r>
          </w:p>
        </w:tc>
        <w:tc>
          <w:tcPr>
            <w:tcW w:w="0" w:type="auto"/>
            <w:vAlign w:val="center"/>
          </w:tcPr>
          <w:p w14:paraId="51CA1360">
            <w:r>
              <w:t>0-40m/min</w:t>
            </w:r>
          </w:p>
        </w:tc>
      </w:tr>
      <w:tr w14:paraId="72BAEE45">
        <w:tc>
          <w:tcPr>
            <w:tcW w:w="0" w:type="auto"/>
            <w:vAlign w:val="center"/>
          </w:tcPr>
          <w:p w14:paraId="119DC5FC">
            <w:r>
              <w:t>定位精度</w:t>
            </w:r>
          </w:p>
        </w:tc>
        <w:tc>
          <w:tcPr>
            <w:tcW w:w="0" w:type="auto"/>
            <w:vAlign w:val="center"/>
          </w:tcPr>
          <w:p w14:paraId="613DFF1A">
            <w:r>
              <w:t>±5mm</w:t>
            </w:r>
          </w:p>
        </w:tc>
        <w:tc>
          <w:tcPr>
            <w:tcW w:w="0" w:type="auto"/>
            <w:vAlign w:val="center"/>
          </w:tcPr>
          <w:p w14:paraId="787F3291">
            <w:r>
              <w:t>±2mm</w:t>
            </w:r>
          </w:p>
        </w:tc>
        <w:tc>
          <w:tcPr>
            <w:tcW w:w="0" w:type="auto"/>
            <w:vAlign w:val="center"/>
          </w:tcPr>
          <w:p w14:paraId="2A4F8367">
            <w:r>
              <w:t>±3mm</w:t>
            </w:r>
          </w:p>
        </w:tc>
      </w:tr>
      <w:tr w14:paraId="730F0292">
        <w:tblPrEx>
          <w:tblCellMar>
            <w:top w:w="0" w:type="dxa"/>
            <w:left w:w="0" w:type="dxa"/>
            <w:bottom w:w="0" w:type="dxa"/>
            <w:right w:w="0" w:type="dxa"/>
          </w:tblCellMar>
        </w:tblPrEx>
        <w:tc>
          <w:tcPr>
            <w:tcW w:w="0" w:type="auto"/>
            <w:vAlign w:val="center"/>
          </w:tcPr>
          <w:p w14:paraId="4CA1E1F6">
            <w:r>
              <w:t>轨道类型</w:t>
            </w:r>
          </w:p>
        </w:tc>
        <w:tc>
          <w:tcPr>
            <w:tcW w:w="0" w:type="auto"/>
            <w:vAlign w:val="center"/>
          </w:tcPr>
          <w:p w14:paraId="4B34437A">
            <w:r>
              <w:t>钢轨</w:t>
            </w:r>
          </w:p>
        </w:tc>
        <w:tc>
          <w:tcPr>
            <w:tcW w:w="0" w:type="auto"/>
            <w:vAlign w:val="center"/>
          </w:tcPr>
          <w:p w14:paraId="49AE8349">
            <w:r>
              <w:t>钢轨</w:t>
            </w:r>
          </w:p>
        </w:tc>
        <w:tc>
          <w:tcPr>
            <w:tcW w:w="0" w:type="auto"/>
            <w:vAlign w:val="center"/>
          </w:tcPr>
          <w:p w14:paraId="0099E327">
            <w:r>
              <w:t>铝合金</w:t>
            </w:r>
          </w:p>
        </w:tc>
      </w:tr>
      <w:tr w14:paraId="30E87B81">
        <w:tblPrEx>
          <w:tblCellMar>
            <w:top w:w="0" w:type="dxa"/>
            <w:left w:w="0" w:type="dxa"/>
            <w:bottom w:w="0" w:type="dxa"/>
            <w:right w:w="0" w:type="dxa"/>
          </w:tblCellMar>
        </w:tblPrEx>
        <w:tc>
          <w:tcPr>
            <w:tcW w:w="0" w:type="auto"/>
            <w:vAlign w:val="center"/>
          </w:tcPr>
          <w:p w14:paraId="3A787C73">
            <w:r>
              <w:t>供电方式</w:t>
            </w:r>
          </w:p>
        </w:tc>
        <w:tc>
          <w:tcPr>
            <w:tcW w:w="0" w:type="auto"/>
            <w:vAlign w:val="center"/>
          </w:tcPr>
          <w:p w14:paraId="5E068736">
            <w:r>
              <w:t>滑触线</w:t>
            </w:r>
          </w:p>
        </w:tc>
        <w:tc>
          <w:tcPr>
            <w:tcW w:w="0" w:type="auto"/>
            <w:vAlign w:val="center"/>
          </w:tcPr>
          <w:p w14:paraId="3C5ED278">
            <w:r>
              <w:t>滑触线</w:t>
            </w:r>
          </w:p>
        </w:tc>
        <w:tc>
          <w:tcPr>
            <w:tcW w:w="0" w:type="auto"/>
            <w:vAlign w:val="center"/>
          </w:tcPr>
          <w:p w14:paraId="7E8421A5">
            <w:r>
              <w:t>电池</w:t>
            </w:r>
          </w:p>
        </w:tc>
      </w:tr>
      <w:tr w14:paraId="073D8C02">
        <w:tblPrEx>
          <w:tblCellMar>
            <w:top w:w="0" w:type="dxa"/>
            <w:left w:w="0" w:type="dxa"/>
            <w:bottom w:w="0" w:type="dxa"/>
            <w:right w:w="0" w:type="dxa"/>
          </w:tblCellMar>
        </w:tblPrEx>
        <w:tc>
          <w:tcPr>
            <w:tcW w:w="0" w:type="auto"/>
            <w:vAlign w:val="center"/>
          </w:tcPr>
          <w:p w14:paraId="439E0602">
            <w:r>
              <w:t>车架尺寸</w:t>
            </w:r>
          </w:p>
        </w:tc>
        <w:tc>
          <w:tcPr>
            <w:tcW w:w="0" w:type="auto"/>
            <w:vAlign w:val="center"/>
          </w:tcPr>
          <w:p w14:paraId="573B6BA2">
            <w:r>
              <w:t>4m×1.2m</w:t>
            </w:r>
          </w:p>
        </w:tc>
        <w:tc>
          <w:tcPr>
            <w:tcW w:w="0" w:type="auto"/>
            <w:vAlign w:val="center"/>
          </w:tcPr>
          <w:p w14:paraId="13789F8C">
            <w:r>
              <w:t>5m×1.3m</w:t>
            </w:r>
          </w:p>
        </w:tc>
        <w:tc>
          <w:tcPr>
            <w:tcW w:w="0" w:type="auto"/>
            <w:vAlign w:val="center"/>
          </w:tcPr>
          <w:p w14:paraId="69E53F96">
            <w:r>
              <w:t>4.5m×1.2m</w:t>
            </w:r>
          </w:p>
        </w:tc>
      </w:tr>
      <w:tr w14:paraId="00B899E4">
        <w:tc>
          <w:tcPr>
            <w:tcW w:w="0" w:type="auto"/>
            <w:vAlign w:val="center"/>
          </w:tcPr>
          <w:p w14:paraId="7C57DDCD">
            <w:r>
              <w:t>台面高度</w:t>
            </w:r>
          </w:p>
        </w:tc>
        <w:tc>
          <w:tcPr>
            <w:tcW w:w="0" w:type="auto"/>
            <w:vAlign w:val="center"/>
          </w:tcPr>
          <w:p w14:paraId="42504E4A">
            <w:r>
              <w:t>350mm</w:t>
            </w:r>
          </w:p>
        </w:tc>
        <w:tc>
          <w:tcPr>
            <w:tcW w:w="0" w:type="auto"/>
            <w:vAlign w:val="center"/>
          </w:tcPr>
          <w:p w14:paraId="73FD92F7">
            <w:r>
              <w:t>400mm</w:t>
            </w:r>
          </w:p>
        </w:tc>
        <w:tc>
          <w:tcPr>
            <w:tcW w:w="0" w:type="auto"/>
            <w:vAlign w:val="center"/>
          </w:tcPr>
          <w:p w14:paraId="47F91FFD">
            <w:r>
              <w:t>380mm</w:t>
            </w:r>
          </w:p>
        </w:tc>
      </w:tr>
      <w:tr w14:paraId="5F366180">
        <w:tblPrEx>
          <w:tblCellMar>
            <w:top w:w="0" w:type="dxa"/>
            <w:left w:w="0" w:type="dxa"/>
            <w:bottom w:w="0" w:type="dxa"/>
            <w:right w:w="0" w:type="dxa"/>
          </w:tblCellMar>
        </w:tblPrEx>
        <w:tc>
          <w:tcPr>
            <w:tcW w:w="0" w:type="auto"/>
            <w:vAlign w:val="center"/>
          </w:tcPr>
          <w:p w14:paraId="0814AA09">
            <w:r>
              <w:t>驱动轮数量</w:t>
            </w:r>
          </w:p>
        </w:tc>
        <w:tc>
          <w:tcPr>
            <w:tcW w:w="0" w:type="auto"/>
            <w:vAlign w:val="center"/>
          </w:tcPr>
          <w:p w14:paraId="3756B9D5">
            <w:r>
              <w:t>2个</w:t>
            </w:r>
          </w:p>
        </w:tc>
        <w:tc>
          <w:tcPr>
            <w:tcW w:w="0" w:type="auto"/>
            <w:vAlign w:val="center"/>
          </w:tcPr>
          <w:p w14:paraId="2416341D">
            <w:r>
              <w:t>4个</w:t>
            </w:r>
          </w:p>
        </w:tc>
        <w:tc>
          <w:tcPr>
            <w:tcW w:w="0" w:type="auto"/>
            <w:vAlign w:val="center"/>
          </w:tcPr>
          <w:p w14:paraId="67A40659">
            <w:r>
              <w:t>4个</w:t>
            </w:r>
          </w:p>
        </w:tc>
      </w:tr>
      <w:tr w14:paraId="7DBD8829">
        <w:tblPrEx>
          <w:tblCellMar>
            <w:top w:w="0" w:type="dxa"/>
            <w:left w:w="0" w:type="dxa"/>
            <w:bottom w:w="0" w:type="dxa"/>
            <w:right w:w="0" w:type="dxa"/>
          </w:tblCellMar>
        </w:tblPrEx>
        <w:tc>
          <w:tcPr>
            <w:tcW w:w="0" w:type="auto"/>
            <w:vAlign w:val="center"/>
          </w:tcPr>
          <w:p w14:paraId="6899F383">
            <w:r>
              <w:t>转向方式</w:t>
            </w:r>
          </w:p>
        </w:tc>
        <w:tc>
          <w:tcPr>
            <w:tcW w:w="0" w:type="auto"/>
            <w:vAlign w:val="center"/>
          </w:tcPr>
          <w:p w14:paraId="0ADDBEE8">
            <w:r>
              <w:t>无转向</w:t>
            </w:r>
          </w:p>
        </w:tc>
        <w:tc>
          <w:tcPr>
            <w:tcW w:w="0" w:type="auto"/>
            <w:vAlign w:val="center"/>
          </w:tcPr>
          <w:p w14:paraId="4FB5338D">
            <w:r>
              <w:t>无转向</w:t>
            </w:r>
          </w:p>
        </w:tc>
        <w:tc>
          <w:tcPr>
            <w:tcW w:w="0" w:type="auto"/>
            <w:vAlign w:val="center"/>
          </w:tcPr>
          <w:p w14:paraId="4EC7D7AF">
            <w:r>
              <w:t>差速转向</w:t>
            </w:r>
          </w:p>
        </w:tc>
      </w:tr>
      <w:tr w14:paraId="23B5AA6F">
        <w:tblPrEx>
          <w:tblCellMar>
            <w:top w:w="0" w:type="dxa"/>
            <w:left w:w="0" w:type="dxa"/>
            <w:bottom w:w="0" w:type="dxa"/>
            <w:right w:w="0" w:type="dxa"/>
          </w:tblCellMar>
        </w:tblPrEx>
        <w:tc>
          <w:tcPr>
            <w:tcW w:w="0" w:type="auto"/>
            <w:vAlign w:val="center"/>
          </w:tcPr>
          <w:p w14:paraId="40B5DAF6">
            <w:r>
              <w:t>环境温度</w:t>
            </w:r>
          </w:p>
        </w:tc>
        <w:tc>
          <w:tcPr>
            <w:tcW w:w="0" w:type="auto"/>
            <w:vAlign w:val="center"/>
          </w:tcPr>
          <w:p w14:paraId="63C48DA5">
            <w:r>
              <w:t>-5~+45℃</w:t>
            </w:r>
          </w:p>
        </w:tc>
        <w:tc>
          <w:tcPr>
            <w:tcW w:w="0" w:type="auto"/>
            <w:vAlign w:val="center"/>
          </w:tcPr>
          <w:p w14:paraId="4C303CC3">
            <w:r>
              <w:t>-5~+45℃</w:t>
            </w:r>
          </w:p>
        </w:tc>
        <w:tc>
          <w:tcPr>
            <w:tcW w:w="0" w:type="auto"/>
            <w:vAlign w:val="center"/>
          </w:tcPr>
          <w:p w14:paraId="5BE3744C">
            <w:r>
              <w:t>-5~+45℃</w:t>
            </w:r>
          </w:p>
        </w:tc>
      </w:tr>
      <w:tr w14:paraId="6F91397C">
        <w:tc>
          <w:tcPr>
            <w:tcW w:w="0" w:type="auto"/>
            <w:vAlign w:val="center"/>
          </w:tcPr>
          <w:p w14:paraId="222456F7">
            <w:r>
              <w:t>相对湿度</w:t>
            </w:r>
          </w:p>
        </w:tc>
        <w:tc>
          <w:tcPr>
            <w:tcW w:w="0" w:type="auto"/>
            <w:vAlign w:val="center"/>
          </w:tcPr>
          <w:p w14:paraId="1DB691B6">
            <w:r>
              <w:t>≤95%RH</w:t>
            </w:r>
          </w:p>
        </w:tc>
        <w:tc>
          <w:tcPr>
            <w:tcW w:w="0" w:type="auto"/>
            <w:vAlign w:val="center"/>
          </w:tcPr>
          <w:p w14:paraId="413CC2BA">
            <w:r>
              <w:t>≤95%RH</w:t>
            </w:r>
          </w:p>
        </w:tc>
        <w:tc>
          <w:tcPr>
            <w:tcW w:w="0" w:type="auto"/>
            <w:vAlign w:val="center"/>
          </w:tcPr>
          <w:p w14:paraId="7184D77C">
            <w:r>
              <w:t>≤95%RH</w:t>
            </w:r>
          </w:p>
        </w:tc>
      </w:tr>
    </w:tbl>
    <w:p w14:paraId="5C5B5785">
      <w:pPr>
        <w:pStyle w:val="4"/>
      </w:pPr>
      <w:r>
        <w:t>1.3 应用领域与行业需求</w:t>
      </w:r>
    </w:p>
    <w:p w14:paraId="7C437C85">
      <w:r>
        <w:t>浇注转运RGV广泛应用于机械制造、汽车生产、冶金、化工、建材等行业，特别是在需要进行重载、高精度物料转运的场景中发挥着重要作用。</w:t>
      </w:r>
    </w:p>
    <w:p w14:paraId="768F9B76">
      <w:r>
        <w:t>在机械制造行业，浇注转运RGV主要用于大型铸件、模具的转运，如机床床身、发动机缸体等部件的加工过程中，需要将工件在不同加工设备之间进行转运，RGV能够实现精准定位和高效转运，提高生产效率。</w:t>
      </w:r>
    </w:p>
    <w:p w14:paraId="6EF1DDC2">
      <w:r>
        <w:t>在汽车生产行业，RGV用于汽车底盘、车身等大型部件的转运，在焊接、涂装、总装等生产环节之间，RGV能够实现物料的自动化转运，减少人工干预，提高生产节奏。</w:t>
      </w:r>
    </w:p>
    <w:p w14:paraId="326F1654">
      <w:r>
        <w:t>在冶金行业，RGV用于钢坯、卷材等高温物料的转运，设备采用耐高温设计，能够在高温环境下稳定运行，确保生产的连续性和安全性。</w:t>
      </w:r>
    </w:p>
    <w:p w14:paraId="3FE27B63">
      <w:r>
        <w:t>在化工行业，RGV用于各类化学反应釜、储罐等大型设备的转运和安装，由于设备具有防爆、防腐设计，能够满足化工生产的特殊要求。</w:t>
      </w:r>
    </w:p>
    <w:p w14:paraId="078FC8B1">
      <w:r>
        <w:t>不同行业对浇注转运RGV的需求存在差异，主要体现在以下几个方面：一是载荷能力，不同行业的物料重量差异较大，需要根据实际需求选择合适的额定载荷；二是运行速度，生产节奏快的行业需要更高的运行速度以提高生产效率；三是定位精度，高精度加工行业对定位精度要求更高；四是环境适应性，特殊行业如冶金、化工等需要设备具备耐高温、防爆、防腐等特性；五是自动化程度，智能化工厂需要RGV具备与其他自动化设备的协同工作能力，实现整个生产过程的自动化和信息化。</w:t>
      </w:r>
    </w:p>
    <w:p w14:paraId="317C13FE">
      <w:pPr>
        <w:pStyle w:val="3"/>
      </w:pPr>
      <w:r>
        <w:t>二、浇注转运RGV结构组成与功能特点</w:t>
      </w:r>
    </w:p>
    <w:p w14:paraId="08B113A6">
      <w:pPr>
        <w:pStyle w:val="4"/>
      </w:pPr>
      <w:r>
        <w:t>2.1 车架系统</w:t>
      </w:r>
    </w:p>
    <w:p w14:paraId="34B5E8B7">
      <w:r>
        <w:t>车架系统是浇注转运RGV的基础承载部件，采用焊接钢结构，主要由纵梁、横梁、盖板等组成。材料选用高强度低合金钢，如Q345B，具有较高的强度和刚性，能够满足重载转运的需求。车架重要安装面经过精加工处理，平面度误差控制在0.1mm/m以内，确保各部件的安装精度。</w:t>
      </w:r>
    </w:p>
    <w:p w14:paraId="0F53DAA7">
      <w:r>
        <w:t>车架尺寸根据设备的额定载荷和转运物料的尺寸确定，典型的车架尺寸为5m×1.3m，轮子外凸尺寸≤1.42m，台面离地高度≤400mm。为提高车架的承载能力和刚度，纵梁和横梁通常采用箱型结构，内部设置加强筋，以减少车架在承载状态下的变形。在额定载荷作用下，车架的最大挠度控制在2mm/m以内，确保设备运行平稳。</w:t>
      </w:r>
    </w:p>
    <w:p w14:paraId="44AB2800">
      <w:r>
        <w:t>车架上还安装有各种功能部件，如驱动装置、转向装置、定位机构、物料转运装置等，这些部件通过螺栓或焊接方式与车架连接，连接部位设置加强板，提高连接强度。车架表面进行防腐处理，通常采用喷砂除锈后喷涂底漆和面漆，涂层厚度不小于80μm，提高设备的使用寿命。</w:t>
      </w:r>
    </w:p>
    <w:p w14:paraId="6C744E21">
      <w:pPr>
        <w:pStyle w:val="4"/>
      </w:pPr>
      <w:r>
        <w:t>2.2 驱动装置</w:t>
      </w:r>
    </w:p>
    <w:p w14:paraId="4A63C533">
      <w:r>
        <w:t>驱动装置是浇注转运RGV的动力核心，由伺服电机、减速机构、驱动轮、从动轮和制动装置等组成。伺服电机通常选用交流伺服系统，如西门子1FL6系列，功率根据设备载荷确定，一般为1.5-5.5kW。减速机构采用行星齿轮减速器或蜗轮蜗杆减速器，实现转速降低和扭矩放大，传动效率可达95%以上。</w:t>
      </w:r>
    </w:p>
    <w:p w14:paraId="7B063A11">
      <w:r>
        <w:t>驱动轮采用聚氨酯或橡胶包覆金属轮芯，直径根据载荷设计，通常为150-200mm。轮子与轨道之间的摩擦系数需≥0.8，以防止爬坡或加速时打滑。从动轮主要起支撑和导向作用，数量根据车架尺寸和载荷分布确定，通常为4-8个。</w:t>
      </w:r>
    </w:p>
    <w:p w14:paraId="48921752">
      <w:r>
        <w:t>制动装置集成于驱动轮组，采用电磁制动器，能够在断电或紧急情况下迅速锁死车轮，制动响应时间≤0.5秒，制动距离≤0.3m（在额定速度下）。制动装置具有手动释放功能，方便设备维护和故障处理。</w:t>
      </w:r>
    </w:p>
    <w:p w14:paraId="498A3C30">
      <w:r>
        <w:t>动力传递路径为：伺服电机输出动力，通过联轴器传递给减速机构，减速机构将动力传递给驱动轮轴，带动驱动轮转动，从而实现设备的运行。驱动系统采用闭环控制，通过编码器实时反馈电机转速和位置信息，实现精确的速度和位置控制。</w:t>
      </w:r>
    </w:p>
    <w:p w14:paraId="4FF0EC8E">
      <w:pPr>
        <w:pStyle w:val="4"/>
      </w:pPr>
      <w:r>
        <w:t>2.3 定位机构</w:t>
      </w:r>
    </w:p>
    <w:p w14:paraId="13C21376">
      <w:r>
        <w:t>定位机构是实现浇注转运RGV精准停靠的关键部件，主要有以下几种定位方式：条码带定位、激光测距定位和编码器组合定位。</w:t>
      </w:r>
    </w:p>
    <w:p w14:paraId="36AA8C22">
      <w:r>
        <w:t>条码带定位是在轨道旁铺设条码带，车载扫描头读取条码信息实现位置反馈。条码带定位具有成本低、安装维护方便等优点，重复定位精度可达±5mm，适用于一般精度要求的场景。</w:t>
      </w:r>
    </w:p>
    <w:p w14:paraId="24C36A02">
      <w:r>
        <w:t>激光测距定位是通过激光测距传感器测量设备与轨道端部或参考点的距离，实现位置确定。激光测距定位精度高，可达±1mm，但受环境因素影响较大，如灰尘、水汽等会影响测量精度。</w:t>
      </w:r>
    </w:p>
    <w:p w14:paraId="0CFCB7A6">
      <w:r>
        <w:t>编码器组合定位是通过安装在驱动轮和转向轮上的编码器，实时采集车轮的转角和转速信息，通过算法计算设备的位置。编码器组合定位不受环境因素影响，定位精度高，重复定位精度可达±0.5mm，适用于高精度定位场景。</w:t>
      </w:r>
    </w:p>
    <w:p w14:paraId="4E81EBE7">
      <w:r>
        <w:t>除了上述主要定位方式外，部分浇注转运RGV还配备液压顶升辅助定位机构。该机构由液压缸、位移传感器和控制阀组组成，能够实现工件的微升微调，顶升行程约100mm，定位精度可达±0.1mm。液压顶升机构主要用于设备与工位之间的精准对接，确保物料的顺利装卸。</w:t>
      </w:r>
    </w:p>
    <w:p w14:paraId="6A09B77D">
      <w:r>
        <w:t>定位系统与控制系统实时通信，根据设定的目标位置和当前位置信息，通过控制驱动系统实现设备的精准停靠。在定位过程中，设备会自动降低运行速度，以提高定位精度。</w:t>
      </w:r>
    </w:p>
    <w:p w14:paraId="06AC51F7">
      <w:pPr>
        <w:pStyle w:val="4"/>
      </w:pPr>
      <w:r>
        <w:t>2.4 转向机构</w:t>
      </w:r>
    </w:p>
    <w:p w14:paraId="1BE017CF">
      <w:r>
        <w:t>转向机构主要用于环形轨道或多岔道系统的浇注转运RGV，实现设备的转向功能。转向机构由转向电机、传动机构、转向轮组和限位装置等组成。</w:t>
      </w:r>
    </w:p>
    <w:p w14:paraId="4948F520">
      <w:r>
        <w:t>转向电机通常选用伺服电机，功率根据转向负载确定，一般为0.75-2.2kW。传动机构采用齿轮齿条或蜗轮蜗杆结构，将电机的旋转运动转换为转向轮的摆动运动，实现转向功能。转向角度可根据轨道布局进行调整，通常为90°或180°。</w:t>
      </w:r>
    </w:p>
    <w:p w14:paraId="0F8D6662">
      <w:r>
        <w:t>转向轮组由转向架和车轮组成，转向架能够绕垂直轴旋转，实现车轮的转向。转向轮组与车架之间通过轴承连接，确保转向灵活。限位装置用于限制转向角度，防止转向过度，保证设备运行安全。</w:t>
      </w:r>
    </w:p>
    <w:p w14:paraId="538DDC49">
      <w:r>
        <w:t>转向过程由控制系统自动控制，当设备需要转向时，控制系统根据调度指令和当前位置信息，控制转向电机动作，带动转向轮组转动至目标角度，然后锁定转向机构，实现设备的转向运行。转向时间根据转向角度和电机转速确定，一般为5-10秒。</w:t>
      </w:r>
    </w:p>
    <w:p w14:paraId="5F90970B">
      <w:r>
        <w:t>直线往复式RGV通常不需要复杂的转向机构，通过轨道端部的换轨装置实现往返运行。换轨装置由气缸或电机驱动，能够实现轨道的切换，结构简单，可靠性高。</w:t>
      </w:r>
    </w:p>
    <w:p w14:paraId="05F922E2">
      <w:pPr>
        <w:pStyle w:val="4"/>
      </w:pPr>
      <w:r>
        <w:t>2.5 供电装置</w:t>
      </w:r>
    </w:p>
    <w:p w14:paraId="5D70D0AB">
      <w:r>
        <w:t>浇注转运RGV的供电装置主要有滑触线供电和电池供电两种形式。</w:t>
      </w:r>
    </w:p>
    <w:p w14:paraId="60CC1008">
      <w:r>
        <w:t>滑触线供电采用3相五线制220V或380V交流电，通过集电器从铜条导轨取电。滑触线分为单极、多极管式及钢体滑触线等类型，其中多极管式滑触线具有防护等级高、安全性好、安装维护方便等优点，在浇注转运RGV中应用广泛。集电器安装在设备上，与滑触线保持良好接触，确保供电稳定。滑触线供电适用于固定路线、高负荷连续运行场景，能够提供稳定的电源，无需频繁充电。</w:t>
      </w:r>
    </w:p>
    <w:p w14:paraId="72CCF72B">
      <w:r>
        <w:t>电池供电采用免维护蓄电池，如锂电池或铅酸蓄电池，电池容量根据设备功耗和续航要求确定，一般为100-500Ah。电池供电具有灵活性高、无需铺设滑触线等优点，适用于需要频繁换轨或运行路线复杂的场景。设备配备自动充电系统，在行程中预设充电点，当电池电量低于设定值时，设备会自动前往充电点充电，充电时间一般为1-3小时，续航时间≥8小时，电池使用寿命≥3年。</w:t>
      </w:r>
    </w:p>
    <w:p w14:paraId="5A04D375">
      <w:r>
        <w:t>供电系统还包括电源管理模块，能够实时监测电源状态，如电压、电流、电量等信息，并将信息反馈给控制系统。当电源出现异常时，系统会及时报警并采取相应的保护措施，确保设备安全运行。</w:t>
      </w:r>
    </w:p>
    <w:p w14:paraId="60E43C64">
      <w:pPr>
        <w:pStyle w:val="4"/>
      </w:pPr>
      <w:r>
        <w:t>2.6 控制系统</w:t>
      </w:r>
    </w:p>
    <w:p w14:paraId="1593C69E">
      <w:r>
        <w:t>控制系统是浇注转运RGV的核心，负责设备的运行控制、状态监测和故障诊断等功能。控制系统主要由PLC、人机界面、传感器、通信模块和执行元件等组成。</w:t>
      </w:r>
    </w:p>
    <w:p w14:paraId="45DB135E">
      <w:r>
        <w:t>PLC（可编程逻辑控制器）是控制系统的核心部件，通常选用西门子S7-1200/1500系列或国产零点自动化D系列等中高端PLC。PLC集成了逻辑控制、运动控制和安全控制功能，支持IEC 61131-3标准编程语言，如梯形图、结构化文本等。PLC通过高速计数模块实时采集编码器信号，实现精确的位置和速度控制；通过模拟量模块采集传感器信号，实现对设备状态的监测；通过数字量模块控制执行元件，实现设备的各种动作。</w:t>
      </w:r>
    </w:p>
    <w:p w14:paraId="72DFC067">
      <w:r>
        <w:t>人机界面采用触摸屏，如西门子KTP系列，能够显示设备的运行状态、参数设置和故障信息等。操作人员可以通过人机界面进行参数设置、任务调度和手动操作等。</w:t>
      </w:r>
    </w:p>
    <w:p w14:paraId="54D25874">
      <w:r>
        <w:t>传感器是控制系统的感知器官，包括位置传感器、速度传感器、接近开关、激光测距传感器等，用于实时采集设备的位置、速度、状态等信息，为控制决策提供依据。</w:t>
      </w:r>
    </w:p>
    <w:p w14:paraId="5386CC6E">
      <w:r>
        <w:t>通信模块实现设备与调度中心、其他设备之间的信息交互，采用工业以太网或无线通信方式。工业以太网如Profinet或EtherCAT协议，数据传输速率高，实时性好；无线通信如Wi-Fi或5G，灵活性高，适用于移动设备。</w:t>
      </w:r>
    </w:p>
    <w:p w14:paraId="27195713">
      <w:r>
        <w:t>执行元件包括电机、电磁阀、气缸等，负责执行控制系统的指令，实现设备的运行、转向、定位、装卸等动作。</w:t>
      </w:r>
    </w:p>
    <w:p w14:paraId="68CBE5F9">
      <w:r>
        <w:t>控制系统具有手动和自动两种工作模式。手动模式下，操作人员通过无线遥控器或操作台控制设备的运行；自动模式下，设备根据预设的任务和路径，自动完成物料转运作业。控制系统还具备完善的故障诊断和报警功能，能够及时发现设备故障并提示故障原因和处理方法，提高设备的维护效率。</w:t>
      </w:r>
    </w:p>
    <w:p w14:paraId="13F1FDB1">
      <w:pPr>
        <w:pStyle w:val="3"/>
      </w:pPr>
      <w:r>
        <w:t>二、浇注转运RGV结构组成与功能特点（续）</w:t>
      </w:r>
    </w:p>
    <w:p w14:paraId="3A885CB5">
      <w:pPr>
        <w:pStyle w:val="4"/>
      </w:pPr>
      <w:r>
        <w:t>2.7 物料转运装置</w:t>
      </w:r>
    </w:p>
    <w:p w14:paraId="68F4FF1B">
      <w:r>
        <w:t>物料转运装置是实现浇注转运RGV物料装卸的关键部件，根据物料类型和装卸方式的不同，主要有以下几种形式：链条输送机、滚筒输送机构和液压顶升装置。</w:t>
      </w:r>
    </w:p>
    <w:p w14:paraId="6A3801C9">
      <w:r>
        <w:t>链条输送机由电机、链条、链轮和张紧装置等组成，通过链条的运动实现物料的平移输送。链条输送机输送速度一般为10m/min，承载能力强，适用于托盘类货物的转运。链条输送机的链条采用高强度滚子链，链轮采用45#钢调质处理，确保传动平稳、耐用。</w:t>
      </w:r>
    </w:p>
    <w:p w14:paraId="7D3EF06D">
      <w:r>
        <w:t>滚筒输送机构由电动滚筒、机架和导向装置等组成，能够实现物料的无动力或动力输送。电动滚筒内置电机和减速机构，驱动滚筒转动，实现物料输送。滚筒输送机构结构简单，维护方便，适用于各类箱式、板式物料的转运。部分滚筒输送机构还支持360°旋转，能够改变物料的运输方向，提高物料转运的灵活性。</w:t>
      </w:r>
    </w:p>
    <w:p w14:paraId="5EBE177D">
      <w:r>
        <w:t>液压顶升装置由液压缸、液压泵站、位移传感器和控制阀组组成，能够实现物料的升降和微调。液压顶升装置的顶升行程一般为50-100mm，顶升力根据物料重量确定，可达10-50吨。位移传感器实时监测顶升高度，通过控制阀组实现精确的位置控制。液压顶升装置适用于需要进行高度调整或精确定位的物料转运场景。</w:t>
      </w:r>
    </w:p>
    <w:p w14:paraId="56593DCB">
      <w:r>
        <w:t>物料转运装置与定位机构配合使用，能够实现物料的精准装卸。在物料装卸过程中，传感器实时检测物料的位置和状态，确保物料居中放置，偏移量≤5mm。当物料位置偏移超过设定值时，系统会自动触发纠偏程序，调整物料位置。</w:t>
      </w:r>
    </w:p>
    <w:p w14:paraId="42DC45C0">
      <w:pPr>
        <w:pStyle w:val="3"/>
      </w:pPr>
      <w:r>
        <w:t>三、机械原理与驱动系统工作机制</w:t>
      </w:r>
    </w:p>
    <w:p w14:paraId="19A21165">
      <w:pPr>
        <w:pStyle w:val="4"/>
      </w:pPr>
      <w:r>
        <w:t>3.1 驱动轮组工作原理</w:t>
      </w:r>
    </w:p>
    <w:p w14:paraId="4CA06DC9">
      <w:r>
        <w:t>浇注转运RGV的驱动轮组通常采用双主动轮配置，主动轮系组件安装于机架底部一侧，负责提供驱动力并沿轨道行走，从动轮系组件位于另一侧，具备左右滑动功能以适应轨道曲率变化。驱动轮和从动轮的数量根据设备载荷和尺寸确定，一般为2-4组。</w:t>
      </w:r>
    </w:p>
    <w:p w14:paraId="2C846ED0">
      <w:r>
        <w:t>驱动轮采用橡胶材质，具有良好的弹性和耐磨性，能够有效减少运行过程中的振动和噪音。轮子直径根据载荷设计，通常为150-200mm，与钢轨或铝合金轨道的摩擦系数需≥0.8，以确保足够的驱动力，防止爬坡或加速时打滑。</w:t>
      </w:r>
    </w:p>
    <w:p w14:paraId="599E7CF5">
      <w:r>
        <w:t>在直线运行时，主动轮和从动轮沿轨道直线滚动，通过轮缘与轨道侧面接触实现导向。当设备需要转弯时，内侧从动轮沿轨道内侧滑动，外侧主动轮提供驱动力，同时通过转向机构调整转向轮角度，实现设备的平稳转弯。从动轮的左右滑动行程设计为轨道曲率半径的1.2倍，能够有效补偿轨道内外侧的距离差，防止轮缘卡滞。</w:t>
      </w:r>
    </w:p>
    <w:p w14:paraId="6DD2BF0F">
      <w:r>
        <w:t>驱动轮组的安装精度对设备运行稳定性至关重要，轮子的平行度误差需控制在0.1mm/m以内，垂直度误差需控制在0.2mm/m以内。轮轴与轴承座之间采用精密配合，确保轮子转动灵活，无卡滞现象。</w:t>
      </w:r>
    </w:p>
    <w:p w14:paraId="40267617">
      <w:pPr>
        <w:pStyle w:val="4"/>
      </w:pPr>
      <w:r>
        <w:t>3.2 传动系统设计</w:t>
      </w:r>
    </w:p>
    <w:p w14:paraId="383763DC">
      <w:r>
        <w:t>传动系统是将伺服电机的动力传递给驱动轮的关键部分，主要由减速电机、联轴器、传动轴和轴承等组成。典型的传动系统配置如SEW减速电机通过联轴器直接驱动主动轮轴，传动效率达95%以上。</w:t>
      </w:r>
    </w:p>
    <w:p w14:paraId="1F43E4FF">
      <w:r>
        <w:t>减速电机是传动系统的核心部件，根据设备的运行速度和扭矩要求选择合适的型号。减速电机的输出转速通过变频器控制，实现无级调速，调速范围一般为5-60m/min。在定位阶段，速度可降至1-5m/min，以确保精准对位。</w:t>
      </w:r>
    </w:p>
    <w:p w14:paraId="4E942F48">
      <w:r>
        <w:t>联轴器用于连接减速电机输出轴和驱动轮轴，传递扭矩并补偿安装误差。常用的联轴器有弹性联轴器和刚性联轴器，弹性联轴器具有一定的缓冲和减振作用，适用于高速运行场景；刚性联轴器传递扭矩大，精度高，适用于高精度定位场景。</w:t>
      </w:r>
    </w:p>
    <w:p w14:paraId="61C79478">
      <w:r>
        <w:t>传动轴用于将动力从减速电机传递到驱动轮，通常采用空心轴结构，减轻重量的同时保证足够的强度和刚度。传动轴与驱动轮之间通过键连接或胀套连接，确保扭矩传递可靠。</w:t>
      </w:r>
    </w:p>
    <w:p w14:paraId="3A9BE6F8">
      <w:r>
        <w:t>轴承用于支撑传动轴和驱动轮，减少转动摩擦。轴承选用高精度滚动轴承，如SKF 6200系列，确保设备运行平稳，噪音低。轴承座采用铸铁或钢板焊接结构，具有足够的刚性和强度。</w:t>
      </w:r>
    </w:p>
    <w:p w14:paraId="6657A21F">
      <w:r>
        <w:t>传动系统的设计需考虑传动效率、扭矩传递能力、运行精度和可靠性等因素。在设计过程中，需进行详细的力学分析和计算，确保各部件的强度和刚度满足要求。同时，传动系统需具备良好的润滑和密封性能，延长使用寿命，减少维护工作量。</w:t>
      </w:r>
    </w:p>
    <w:p w14:paraId="2035DB97">
      <w:pPr>
        <w:pStyle w:val="4"/>
      </w:pPr>
      <w:r>
        <w:t>3.3 轨道运行机制</w:t>
      </w:r>
    </w:p>
    <w:p w14:paraId="16E7044B">
      <w:r>
        <w:t>轨道是浇注转运RGV运行的基础，根据运行方式的不同，轨道运行机制可分为直线往复式和环形两种。</w:t>
      </w:r>
    </w:p>
    <w:p w14:paraId="440F55B7">
      <w:r>
        <w:t>直线往复式轨道通常采用钢轨铺设，钢轨型号根据设备载荷确定，一般为QU80或QU100轻轨。轨道通过膨胀螺栓固定在混凝土基础上，基础平整度误差需控制在±3mm/m以内。直线式轨道结构简单，成本低，但仅支持单车往复运动，适用于简单的两点间转运场景。</w:t>
      </w:r>
    </w:p>
    <w:p w14:paraId="07B4F8DD">
      <w:r>
        <w:t>环形轨道多为铝合金材质，具有重量轻、安装方便、美观等优点。环形轨道支持多车同时作业，通过分道岔和调度算法实现路径规划。分道岔由电机驱动，能够实现轨道的切换，切换时间≤5秒。环形轨道的布局需根据生产工艺流程和场地条件进行设计，确保物料转运的高效性和流畅性。</w:t>
      </w:r>
    </w:p>
    <w:p w14:paraId="129A90B4">
      <w:r>
        <w:t>轨道截面通常为工字形或U形，工字形轨道承载能力强，适用于重载场景；U形轨道导向性能好，适用于高速运行场景。轨道表面进行精加工处理，平整度误差≤0.5mm/m，确保设备运行平稳。</w:t>
      </w:r>
    </w:p>
    <w:p w14:paraId="17ACE58C">
      <w:r>
        <w:t>集电臂从轨道滑触线取电，为设备提供动力。集电臂安装于主动轮系下方，通过弹簧机构确保与滑触线持续接触，接触压力为15-20N。滑触线的额定电压根据设备需求确定，一般为DC36V或AC380V，供电稳定性需满足连续运行800小时无中断。</w:t>
      </w:r>
    </w:p>
    <w:p w14:paraId="4C875753">
      <w:r>
        <w:t>导向机构通过轮缘与轨道侧面接触实现方向约束，导向轮的轮缘与轨道侧面之间的间隙需控制在0.5-1mm以内，既保证导向精度，又避免过度摩擦。在转弯处，内外轨间距差由从动轮滑动补偿，确保设备平稳通过弯道。</w:t>
      </w:r>
    </w:p>
    <w:p w14:paraId="5552C2DB">
      <w:pPr>
        <w:pStyle w:val="4"/>
      </w:pPr>
      <w:r>
        <w:t>3.4 物料转运装置</w:t>
      </w:r>
    </w:p>
    <w:p w14:paraId="1893A84A">
      <w:r>
        <w:t>物料转运装置的工作原理根据其类型的不同而有所差异。链条输送机通过电机驱动链轮转动，链轮带动链条运动，链条上的托盘或物料随链条一起移动，实现物料的输送。链条输送机的输送速度通过变频器控制，能够根据需要进行调整。</w:t>
      </w:r>
    </w:p>
    <w:p w14:paraId="648D039F">
      <w:r>
        <w:t>滚筒输送机构的工作原理是通过电动滚筒或外部驱动装置带动滚筒转动，滚筒与物料之间的摩擦力带动物料移动。无动力滚筒输送机构则依靠物料的重力或外部推力实现物料输送。滚筒输送机构的输送方向可以通过调整滚筒的排列方式实现，如直线输送、转弯输送等。</w:t>
      </w:r>
    </w:p>
    <w:p w14:paraId="52870E21">
      <w:r>
        <w:t>液压顶升装置的工作原理是通过液压泵站提供液压油，液压油通过控制阀组进入液压缸，推动活塞上升，实现物料的顶升。当需要下降时，控制阀组切换油路，液压油回流至油箱，活塞在物料重力作用下下降。位移传感器实时监测活塞的位置，通过PLC控制控制阀组的动作，实现精确的位置控制。</w:t>
      </w:r>
    </w:p>
    <w:p w14:paraId="2E1C983D">
      <w:r>
        <w:t>物料转运装置与设备的控制系统紧密配合，根据生产任务的要求，自动完成物料的装卸作业。在物料装卸过程中，传感器实时监测物料的位置和状态，确保作业安全可靠。当出现异常情况时，系统会及时报警并停止作业，等待操作人员处理。</w:t>
      </w:r>
    </w:p>
    <w:p w14:paraId="0EC0A539">
      <w:pPr>
        <w:pStyle w:val="3"/>
      </w:pPr>
      <w:r>
        <w:t>四、控制系统原理与自动化控制技术</w:t>
      </w:r>
    </w:p>
    <w:p w14:paraId="3E9F0289">
      <w:pPr>
        <w:pStyle w:val="4"/>
      </w:pPr>
      <w:r>
        <w:t>4.1 PLC控制系统架构</w:t>
      </w:r>
    </w:p>
    <w:p w14:paraId="158DCB97">
      <w:r>
        <w:t>浇注转运RGV的PLC控制系统采用模块化设计，主要由CPU模块、电源模块、数字量输入/输出模块、模拟量输入/输出模块、高速计数模块和通信模块等组成。</w:t>
      </w:r>
    </w:p>
    <w:p w14:paraId="60D1F951">
      <w:r>
        <w:t>CPU模块是PLC控制系统的核心，负责逻辑运算、数据处理和控制指令的发出。根据设备的控制需求和复杂程度，可选择不同性能的CPU模块，如西门子S7-1214C DC/DC/DC模块，具有14个数字量输入、10个数字量输出和2个模拟量输入，能够满足中小型RGV的控制需求。</w:t>
      </w:r>
    </w:p>
    <w:p w14:paraId="30FDE751">
      <w:r>
        <w:t>电源模块为PLC系统提供稳定的直流电源，输入电压一般为AC220V，输出电压为DC24V，输出电流根据模块数量确定，一般为2-5A。</w:t>
      </w:r>
    </w:p>
    <w:p w14:paraId="39E22390">
      <w:r>
        <w:t>数字量输入/输出模块用于连接开关量传感器和执行元件，如接近开关、急停按钮、电磁阀等。数字量输入模块将外部开关量信号转换为PLC内部的数字信号，数字量输出模块将PLC内部的数字信号转换为外部执行元件的控制信号。</w:t>
      </w:r>
    </w:p>
    <w:p w14:paraId="6E22BCF5">
      <w:r>
        <w:t>模拟量输入/输出模块用于连接模拟量传感器和执行元件，如温度传感器、压力传感器、变频器等。模拟量输入模块将外部模拟量信号转换为PLC内部的数字信号，模拟量输出模块将PLC内部的数字信号转换为外部执行元件的模拟量控制信号。</w:t>
      </w:r>
    </w:p>
    <w:p w14:paraId="5F9287B8">
      <w:r>
        <w:t>高速计数模块用于采集编码器信号，实现对设备速度和位置的精确测量。高速计数模块的计数频率一般为100kHz以上，能够满足高精度定位的需求。</w:t>
      </w:r>
    </w:p>
    <w:p w14:paraId="7F835316">
      <w:r>
        <w:t>通信模块实现PLC与其他设备之间的通信，如人机界面、变频器、传感器等。常用的通信协议有Profinet、Modbus RTU等，通信速率可达100Mbps以上，确保数据传输的实时性和可靠性。</w:t>
      </w:r>
    </w:p>
    <w:p w14:paraId="23E20CD5">
      <w:r>
        <w:t>PLC控制系统的软件采用结构化编程，将控制逻辑分为不同的功能块，如主程序、初始化程序、手动控制程序、自动控制程序、故障诊断程序等。功能块之间通过数据接口进行数据交换，提高程序的可读性和可维护性。</w:t>
      </w:r>
    </w:p>
    <w:p w14:paraId="6175D60E">
      <w:r>
        <w:t>PLC控制系统的工作流程如下：首先，系统初始化，完成各模块的自检和参数设置；然后，根据选择的工作模式（手动或自动），执行相应的控制程序；在运行过程中，实时采集传感器信号，进行逻辑运算和数据处理，发出控制指令，控制执行元件动作；同时，实时监测设备状态，当出现故障时，执行故障诊断程序，发出报警信号并显示故障信息。</w:t>
      </w:r>
    </w:p>
    <w:p w14:paraId="12E7807D">
      <w:pPr>
        <w:pStyle w:val="4"/>
      </w:pPr>
      <w:r>
        <w:t>4.2 传感器技术与数据采集</w:t>
      </w:r>
    </w:p>
    <w:p w14:paraId="7BC5CF1D">
      <w:r>
        <w:t>传感器是浇注转运RGV感知环境和自身状态的重要设备，主要包括以下几种类型：</w:t>
      </w:r>
    </w:p>
    <w:p w14:paraId="37C98C89">
      <w:r>
        <w:t>激光测距传感器：如SICK LD-OEM系列，用于障碍物检测和距离测量。激光测距传感器的检测距离为0.1-30m，响应时间≤20ms，测量精度±1mm，能够实时监测设备前方的障碍物，避免碰撞事故的发生。</w:t>
      </w:r>
    </w:p>
    <w:p w14:paraId="47BE8EF6">
      <w:r>
        <w:t>RFID读卡器：用于站点识别和信息交互。RFID读卡器的读取距离为5-15cm，数据传输速率106kbps，能够实现车号与工位信息的自动匹配，提高物料转运的准确性和效率。</w:t>
      </w:r>
    </w:p>
    <w:p w14:paraId="60DCDDDC">
      <w:r>
        <w:t>陀螺仪和倾角传感器：用于设备姿态控制和倾斜监测。陀螺仪的测量范围为±300°/s，精度±0.1°/s；倾角传感器的测量范围为±15°，精度±0.1°。通过陀螺仪和倾角传感器的信号，能够实时监测设备的姿态变化，补偿轨道不平整导致的偏移。</w:t>
      </w:r>
    </w:p>
    <w:p w14:paraId="7BD8E757">
      <w:r>
        <w:t>接近开关：用于定位和限位检测。接近开关有电感式、电容式和光电式等类型，安装于设备的前后端和关键部位，触发距离5-10mm，能够准确检测设备的位置和运动状态，防止设备超程或碰撞。</w:t>
      </w:r>
    </w:p>
    <w:p w14:paraId="3C90D78C">
      <w:r>
        <w:t>红外温度传感器：用于监测转运物料的温度。红外温度传感器的测量范围为-50~+300℃，精度±0.5℃，当检测到物料温度超过设定值时，系统立即触发急停并报警，避免热失控风险。</w:t>
      </w:r>
    </w:p>
    <w:p w14:paraId="6D9F2048">
      <w:r>
        <w:t>数据采集系统通过PLC的模拟量输入模块和数字量输入模块，实时采集传感器的信号。采集到的信号经过滤波、放大和A/D转换后，转换为数字信号，送入PLC进行处理。数据采集的采样频率根据传感器的类型和控制需求确定，一般为10-100Hz。</w:t>
      </w:r>
    </w:p>
    <w:p w14:paraId="3CDAFB91">
      <w:r>
        <w:t>为提高数据采集的可靠性和准确性，传感器的安装和布线需符合规范。传感器应安装在牢固、振动小的位置，避免受到外部干扰。信号线应采用屏蔽电缆，与动力电缆分开敷设，减少电磁干扰。</w:t>
      </w:r>
    </w:p>
    <w:p w14:paraId="31B2F640">
      <w:pPr>
        <w:pStyle w:val="4"/>
      </w:pPr>
      <w:r>
        <w:t>4.3 通信模块与数据交互</w:t>
      </w:r>
    </w:p>
    <w:p w14:paraId="741B74B6">
      <w:r>
        <w:t>通信模块是实现浇注转运RGV与外部系统之间信息交互的关键部件，主要有以下几种通信方式：工业以太网、无线通信和现场总线。</w:t>
      </w:r>
    </w:p>
    <w:p w14:paraId="173E6730">
      <w:r>
        <w:t>工业以太网采用Profinet或EtherCAT协议，数据传输速率100Mbps，周期通信延迟≤1ms，支持TSN（时间敏感网络），确保多车调度的时间同步精度±1μs。工业以太网具有传输速率高、实时性好、可靠性高等优点，是目前主流的通信方式。</w:t>
      </w:r>
    </w:p>
    <w:p w14:paraId="22DF2F22">
      <w:r>
        <w:t>无线通信采用Wi-Fi 6或5G模块，传输速率≥867Mbps，作为有线通信的冗余链路。当有线通信出现故障时，系统自动切换至无线通信，切换时间＜100ms，确保设备的连续运行。无线通信适用于需要灵活移动或不便铺设线缆的场景。</w:t>
      </w:r>
    </w:p>
    <w:p w14:paraId="501778E6">
      <w:r>
        <w:t>现场总线如Modbus RTU、CANopen等，适用于低速、低成本的通信场景。现场总线具有协议简单、硬件成本低等优点，但传输速率和实时性相对较差。</w:t>
      </w:r>
    </w:p>
    <w:p w14:paraId="1C981E33">
      <w:r>
        <w:t>数据交互内容主要包括设备状态信息、任务调度指令、位置信息和故障报警信息等。设备状态信息包括运行速度、位置、电量、温度等；任务调度指令包括转运任务、路径规划等；位置信息用于多车协同和避障；故障报警信息用于设备维护和故障处理。</w:t>
      </w:r>
    </w:p>
    <w:p w14:paraId="7C96C7A0">
      <w:r>
        <w:t>通信模块与PLC之间通过内部总线进行数据交换，PLC将采集到的设备状态信息通过通信模块发送给上位机或调度中心，同时接收上位机或调度中心发送的任务调度指令。通信模块还支持设备之间的直接通信，实现多车协同作业和避障。</w:t>
      </w:r>
    </w:p>
    <w:p w14:paraId="400A9E5B">
      <w:r>
        <w:t>为确保通信安全可靠，通信系统采用数据加密、校验和重传机制，防止数据丢失和篡改。同时，通信模块具有自诊断功能，能够实时监测通信状态，当出现通信故障时，及时报警并采取相应的处理措施。</w:t>
      </w:r>
    </w:p>
    <w:p w14:paraId="423925A7">
      <w:pPr>
        <w:pStyle w:val="4"/>
      </w:pPr>
      <w:r>
        <w:t>4.4 调度算法与路径规划</w:t>
      </w:r>
    </w:p>
    <w:p w14:paraId="0768A854">
      <w:r>
        <w:t>调度算法是实现多台浇注转运RGV协同工作的关键，主要包括路径规划、任务分配和冲突避免等功能。</w:t>
      </w:r>
    </w:p>
    <w:p w14:paraId="5B8FB692">
      <w:r>
        <w:t>路径规划算法采用A</w:t>
      </w:r>
      <w:r>
        <w:rPr>
          <w:rStyle w:val="54"/>
        </w:rPr>
        <w:t>算法，根据设备当前位置和目标位置，在复杂的轨道网络中寻找最优路径。A</w:t>
      </w:r>
      <w:r>
        <w:t>算法通过评估函数f(n)=g(n)+h(n)来选择下一个节点，其中g(n)是从起始节点到当前节点的实际成本，h(n)是从当前节点到目标节点的估计成本。通过A*算法，能够快速找到最短路径，避免拥堵，使单任务完成时间缩短20%。</w:t>
      </w:r>
    </w:p>
    <w:p w14:paraId="55D3741C">
      <w:r>
        <w:t>任务分配算法采用遗传算法，根据各RGV的负载率、电池电量和当前位置等因素，自动分配转运任务，实现 workload 的均衡。遗传算法通过模拟生物进化过程，包括选择、交叉和变异等操作，不断优化任务分配方案，使设备利用率从65%提升至85%。</w:t>
      </w:r>
    </w:p>
    <w:p w14:paraId="18028C96">
      <w:r>
        <w:t>冲突避免机制通过“时间窗”预约轨道资源，当两台RGV的距离小于安全间距（通常为1.5倍车长）时，优先级低的车辆自动进入避让区等待，确保零碰撞。冲突避免机制还考虑了设备的运行速度、加速度和制动性能等因素，确保避让过程安全可靠。</w:t>
      </w:r>
    </w:p>
    <w:p w14:paraId="6B73E0F2">
      <w:r>
        <w:t>在柔性生产场景中，调度系统支持参数化任务配置，操作员通过人机界面输入转运物料类型、重量和目标工位等信息，系统自动计算最优路径和运行参数，切换产品型号的时间从传统的2小时缩短至3分钟。</w:t>
      </w:r>
    </w:p>
    <w:p w14:paraId="302B3F56">
      <w:r>
        <w:t>调度算法的实现需要强大的计算能力和实时数据支持，通常运行在上位机或云端服务器上。调度系统与各RGV之间通过通信模块实时交换信息，根据实际情况动态调整任务和路径，确保整个物流系统的高效运行。</w:t>
      </w:r>
    </w:p>
    <w:p w14:paraId="15DAD0E1">
      <w:pPr>
        <w:pStyle w:val="3"/>
      </w:pPr>
      <w:r>
        <w:t>五、常见故障类型与成因分析</w:t>
      </w:r>
    </w:p>
    <w:p w14:paraId="6BD1AEA5">
      <w:pPr>
        <w:pStyle w:val="4"/>
      </w:pPr>
      <w:r>
        <w:t>5.1 驱动系统故障</w:t>
      </w:r>
    </w:p>
    <w:p w14:paraId="4E8C074C">
      <w:r>
        <w:t>驱动系统故障是浇注转运RGV常见的故障类型之一，主要表现为以下几种现象：运行异响、定位精度下降、无法行走等。</w:t>
      </w:r>
    </w:p>
    <w:p w14:paraId="6B54F368">
      <w:r>
        <w:t>运行异响通常是由于机械部件磨损或松动引起的。例如，伺服电机轴承磨损（运行时间超过8000小时）会导致电机运行时产生“嗡嗡”声；减速器齿轮间隙过大（超过0.3mm）会产生“咔咔”声；驱动轮与轨道接触不良会产生“沙沙”声。此外，传动系统中的联轴器、传动轴等部件松动也会引起异响。</w:t>
      </w:r>
    </w:p>
    <w:p w14:paraId="36334516">
      <w:r>
        <w:t>定位精度下降主要是由于编码器信号丢失或驱动轮打滑引起的。编码器信号丢失可能是由于线缆松动、连接器接触不良或编码器本身故障；驱动轮打滑可能是由于轮子磨损、轨道有油污或摩擦力不足等原因。定位精度下降会导致设备停靠位置偏差增大，影响物料装卸精度。</w:t>
      </w:r>
    </w:p>
    <w:p w14:paraId="46B05647">
      <w:r>
        <w:t>无法行走可能是由于以下原因：伺服电机故障（如电机烧毁、过载保护动作）、变频器故障（如过流、过压保护动作）、电磁离合器故障（如碳刷磨损、线圈烧毁）、制动装置未释放等。此外，控制程序错误或传感器故障也可能导致设备无法行走。</w:t>
      </w:r>
    </w:p>
    <w:p w14:paraId="08772711">
      <w:r>
        <w:t>驱动系统故障的成因主要包括设备老化、维护缺失和操作不当。设备老化如电机轴承磨损、减速器齿轮疲劳等；维护缺失如润滑不足、未定期更换磨损部件等；操作不当如超载运行、急停频繁等。</w:t>
      </w:r>
    </w:p>
    <w:p w14:paraId="6C103E83">
      <w:pPr>
        <w:pStyle w:val="4"/>
      </w:pPr>
      <w:r>
        <w:t>5.2 控制系统故障</w:t>
      </w:r>
    </w:p>
    <w:p w14:paraId="66962575">
      <w:r>
        <w:t>控制系统故障主要表现为电源指示灯闪烁或断电、PLC通信中断、变频器报错等现象。</w:t>
      </w:r>
    </w:p>
    <w:p w14:paraId="3D41EF56">
      <w:r>
        <w:t>电源指示灯闪烁或断电可能是由于滑触线碳刷磨损（长度小于5mm）、接触电阻增大（超过1Ω），导致供电不稳定；24V开关电源电容老化，输出电压波动超过±5%；主电路空气开关跳闸（如过载、短路）等原因。</w:t>
      </w:r>
    </w:p>
    <w:p w14:paraId="334A43A2">
      <w:r>
        <w:t>PLC通信中断可能是由于通信模块故障、网线松动或损坏、IP地址冲突、上位机软件故障等原因。通信中断会导致设备无法接收任务指令，无法上传设备状态信息，影响整个物流系统的运行。</w:t>
      </w:r>
    </w:p>
    <w:p w14:paraId="50A45F8E">
      <w:r>
        <w:t>变频器报错是控制系统常见的故障之一，如报过流（OC）、过压（OV）、过载（OL）、过热（OH）等故障代码。过流可能是由于电机短路、负载过大或变频器输出端短路；过压可能是由于电源电压过高或制动单元故障；过载可能是由于负载超过额定值或电机堵转；过热可能是由于环境温度过高或变频器散热不良。</w:t>
      </w:r>
    </w:p>
    <w:p w14:paraId="5231252F">
      <w:r>
        <w:t>控制系统故障的成因主要包括电气元件性能退化、参数设置错误和环境干扰。电气元件性能退化如电容老化、芯片损坏等；参数设置错误如变频器参数设置不当、PLC程序逻辑错误等；环境干扰如电磁干扰、接地不良等。</w:t>
      </w:r>
    </w:p>
    <w:p w14:paraId="0BEB8CAE">
      <w:pPr>
        <w:pStyle w:val="4"/>
      </w:pPr>
      <w:r>
        <w:t>5.3 定位与传感器故障</w:t>
      </w:r>
    </w:p>
    <w:p w14:paraId="69539352">
      <w:r>
        <w:t>定位与传感器故障主要表现为换轨失败、行驶偏差大、升降不到位等现象。</w:t>
      </w:r>
    </w:p>
    <w:p w14:paraId="0836AD1E">
      <w:r>
        <w:t>换轨失败可能是由于换轨接近开关损坏、插销未对位或转向机构故障等原因。接近开关损坏会导致无法检测换轨位置；插销未对位会导致换轨机构无法正常动作；转向机构故障如电机损坏、齿轮卡滞等也会导致换轨失败。</w:t>
      </w:r>
    </w:p>
    <w:p w14:paraId="568BCABA">
      <w:r>
        <w:t>行驶偏差大可能是由于条码读码头积尘（厚度超过0.1mm）、激光测距传感器被遮挡、编码器信号丢失或轨道不平整等原因。条码读码头积尘会影响条码识别精度；激光测距传感器被遮挡会导致测量数据不准确；编码器信号丢失会导致位置计算错误；轨道不平整会导致设备行驶过程中产生颠簸和偏移。</w:t>
      </w:r>
    </w:p>
    <w:p w14:paraId="75D1316B">
      <w:r>
        <w:t>升降不到位可能是由于接近开关间隙不当（超过10mm）、液压系统压力不足、液压缸密封件泄漏或电机故障等原因。接近开关间隙不当会导致无法准确检测升降位置；液压系统压力不足会导致顶升力不够；液压缸密封件泄漏会导致升降速度缓慢或无法升降；电机故障会导致升降机构无法动作。</w:t>
      </w:r>
    </w:p>
    <w:p w14:paraId="24E1B1B4">
      <w:r>
        <w:t>定位与传感器故障的成因主要包括环境因素、安装调试不当和维护缺失。环境因素如粉尘、水汽、高温等会影响传感器性能；安装调试不当如传感器位置偏差、参数设置错误等；维护缺失如未定期清洁传感器、未及时更换损坏部件等。</w:t>
      </w:r>
    </w:p>
    <w:p w14:paraId="2E5410CE">
      <w:pPr>
        <w:pStyle w:val="4"/>
      </w:pPr>
      <w:r>
        <w:t>5.4 供电系统故障</w:t>
      </w:r>
    </w:p>
    <w:p w14:paraId="381555D9">
      <w:r>
        <w:t>供电系统故障主要表现为突然断电、电源指示灯亮但无法行走、电池续航缩短等现象。</w:t>
      </w:r>
    </w:p>
    <w:p w14:paraId="7215941D">
      <w:r>
        <w:t>突然断电可能是由于滑触线空气开关跳闸（如短路、过载）、碳刷与滑触线接触不良、供电线路故障等原因。滑触线空气开关跳闸后，需检查线路是否有短路点，排除故障后才能复位。</w:t>
      </w:r>
    </w:p>
    <w:p w14:paraId="5BBE8519">
      <w:r>
        <w:t>电源指示灯亮但无法行走可能是由于24V开关电源故障（如FU4 5A保险丝损坏、开关电源无24V输出）、控制回路故障或驱动系统故障等原因。24V开关电源故障会导致控制系统无法正常工作；控制回路故障如急停按钮未复位、安全联锁装置动作等也会导致设备无法行走。</w:t>
      </w:r>
    </w:p>
    <w:p w14:paraId="55108AAA">
      <w:r>
        <w:t>电池续航缩短（小于8小时）可能是由于蓄电池老化（循环次数超过1000次）、电池充电不足、设备功耗增大等原因。蓄电池老化会导致容量下降，充电效率降低；电池充电不足可能是由于充电器故障或充电时间不够；设备功耗增大可能是由于电机、控制器等部件老化或故障。</w:t>
      </w:r>
    </w:p>
    <w:p w14:paraId="0F15E8C5">
      <w:r>
        <w:t>供电系统故障的成因主要包括电气元件老化、维护缺失和外部供电异常。电气元件老化如碳刷磨损、开关电源电容老化等；维护缺失如未定期检查供电线路、未及时更换电池等；外部供电异常如电压波动过大、突然断电等。</w:t>
      </w:r>
    </w:p>
    <w:p w14:paraId="2C6C4F95">
      <w:pPr>
        <w:pStyle w:val="4"/>
      </w:pPr>
      <w:r>
        <w:t>5.5 机械部件故障</w:t>
      </w:r>
    </w:p>
    <w:p w14:paraId="4D8E6C66">
      <w:r>
        <w:t>机械部件故障主要表现为车架变形、液压顶升漏油、输送带跑偏等现象。</w:t>
      </w:r>
    </w:p>
    <w:p w14:paraId="3B56056D">
      <w:r>
        <w:t>车架变形可能是由于长期重载（如满载500kg）产生弹性变形（挠度超过2mm/m），或结构件疲劳损坏。车架变形会导致车轮与轨道接触不均，加剧车轮磨损，影响设备运行稳定性。</w:t>
      </w:r>
    </w:p>
    <w:p w14:paraId="4338D464">
      <w:r>
        <w:t>液压顶升漏油可能是由于液压缸密封件老化（使用超过2年）、液压管路接头松动或破裂、液压泵站故障等原因。漏油会导致液压系统压力下降，顶升力不足，影响物料装卸。</w:t>
      </w:r>
    </w:p>
    <w:p w14:paraId="5D60C472">
      <w:r>
        <w:t>输送带跑偏可能是由于物料未居中放置（偏移量超过100mm）、输送带张紧度不均、滚筒安装不平行或机架变形等原因。输送带跑偏会导致物料输送不畅，甚至发生物料掉落，影响生产效率和安全。</w:t>
      </w:r>
    </w:p>
    <w:p w14:paraId="75A94AFD">
      <w:r>
        <w:t>机械部件故障的成因主要包括设备老化、维护缺失和操作不当。设备老化如结构件疲劳、密封件老化等；维护缺失如润滑不足、未定期检查和紧固部件等；操作不当如超载运行、物料放置不当、野蛮操作等。</w:t>
      </w:r>
    </w:p>
    <w:p w14:paraId="4F29C8EE">
      <w:pPr>
        <w:pStyle w:val="3"/>
      </w:pPr>
      <w:r>
        <w:t>六、故障诊断与处理对策</w:t>
      </w:r>
    </w:p>
    <w:p w14:paraId="5FC31719">
      <w:pPr>
        <w:pStyle w:val="4"/>
      </w:pPr>
      <w:r>
        <w:t>6.1 故障诊断流程</w:t>
      </w:r>
    </w:p>
    <w:p w14:paraId="7720ADD8">
      <w:r>
        <w:t>故障诊断是排除浇注转运RGV故障的关键环节，通常遵循以下流程：初步诊断、分系统排查和深度检测。</w:t>
      </w:r>
    </w:p>
    <w:p w14:paraId="572D694F">
      <w:r>
        <w:t>初步诊断是通过设备的警示灯、显示屏状态和异常现象，对故障类型进行初步判断。例如，电源指示灯不亮且设备无法运行，可能是供电系统故障；设备运行时有异响，可能是机械部件故障；定位精度下降，可能是定位系统或传感器故障。初步诊断可以快速缩小故障范围，为后续排查提供方向。</w:t>
      </w:r>
    </w:p>
    <w:p w14:paraId="550C5746">
      <w:r>
        <w:t>分系统排查是根据初步诊断的结果，对可能发生故障的系统进行逐一排查。例如，怀疑驱动系统故障，可检查伺服电机、减速器、驱动轮、制动装置等部件；怀疑控制系统故障，可检查PLC、触摸屏、传感器、通信模块等部件。分系统排查时，可采用替换法、测量法等手段，确定故障部件。</w:t>
      </w:r>
    </w:p>
    <w:p w14:paraId="4F383A23">
      <w:r>
        <w:t>深度检测是在分系统排查的基础上，对故障部件进行详细检测，确定故障原因。例如，电机故障可通过测量绕组电阻、绝缘电阻和空载电流等参数，判断电机是否烧毁、匝间短路或轴承损坏；传感器故障可通过测量输出信号、检查接线和清洁传感器头等方式，确定传感器是否正常工作。</w:t>
      </w:r>
    </w:p>
    <w:p w14:paraId="19DB8A5C">
      <w:r>
        <w:t>故障诊断过程中，需要使用必要的工具和设备，如万用表、示波器、红外测温枪、振动仪等。同时，操作人员需要熟悉设备的结构和工作原理，掌握基本的故障诊断方法和技巧。</w:t>
      </w:r>
    </w:p>
    <w:p w14:paraId="7187B97E">
      <w:pPr>
        <w:pStyle w:val="4"/>
      </w:pPr>
      <w:r>
        <w:t>6.2 驱动系统故障处理</w:t>
      </w:r>
    </w:p>
    <w:p w14:paraId="11EFFBF0">
      <w:r>
        <w:t>针对驱动系统的常见故障，可采取以下处理对策：</w:t>
      </w:r>
    </w:p>
    <w:p w14:paraId="3A01DA49">
      <w:r>
        <w:t>对于运行异响故障，首先需要确定异响来源。如果是电机轴承磨损，应更换轴承，加注适量的润滑脂；如果是减速器齿轮间隙过大，应调整齿轮间隙或更换齿轮；如果是驱动轮与轨道接触不良，应检查轮子是否磨损、轨道是否有油污，必要时更换驱动轮或清洁轨道。</w:t>
      </w:r>
    </w:p>
    <w:p w14:paraId="34B5C303">
      <w:r>
        <w:t>对于定位精度下降故障，如果是编码器信号丢失，应检查编码器线缆和连接器，确保连接牢固，必要时更换编码器；如果是驱动轮打滑，应检查轮子磨损情况，更换磨损严重的轮子，清理轨道上的油污，增加摩擦力。</w:t>
      </w:r>
    </w:p>
    <w:p w14:paraId="199A6463">
      <w:r>
        <w:t>对于无法行走故障，如果是伺服电机故障，应检查电机是否过载、过热，测量绕组电阻和绝缘电阻，确定电机是否烧毁，必要时更换电机；如果是变频器故障，应根据故障代码排查原因，如过流、过压等，进行相应的处理，必要时更换变频器；如果是电磁离合器故障，应检查碳刷磨损情况，更换磨损的碳刷，检查线圈是否烧毁，必要时更换离合器。</w:t>
      </w:r>
    </w:p>
    <w:p w14:paraId="0A1AA9A1">
      <w:r>
        <w:t>驱动系统故障处理后，需要进行试运行，检查设备运行是否正常，确保故障彻底排除。同时，应加强设备的日常维护，定期检查电机、减速器、驱动轮等部件的运行状态，及时更换磨损部件，加注润滑脂，预防故障的发生。</w:t>
      </w:r>
    </w:p>
    <w:p w14:paraId="28E26C68">
      <w:pPr>
        <w:pStyle w:val="4"/>
      </w:pPr>
      <w:r>
        <w:t>6.3 控制系统故障处理</w:t>
      </w:r>
    </w:p>
    <w:p w14:paraId="1C4FD1F7">
      <w:r>
        <w:t>控制系统故障的处理对策如下：</w:t>
      </w:r>
    </w:p>
    <w:p w14:paraId="7514C221">
      <w:r>
        <w:t>对于电源指示灯闪烁或断电故障，如果是碳刷磨损，应更换碳刷，调整碳刷与滑触线的接触压力；如果是24V开关电源故障，应更换损坏的电容或开关电源，检查保险丝是否烧毁，必要时更换保险丝；如果是主电路空气开关跳闸，应检查线路是否有短路或过载，排除故障后复位开关。</w:t>
      </w:r>
    </w:p>
    <w:p w14:paraId="0BE0D63C">
      <w:r>
        <w:t>对于PLC通信中断故障，如果是通信模块故障，应更换通信模块；如果是网线松动或损坏，应重新插拔或更换网线；如果是IP地址冲突，应重新设置设备IP地址；如果是上位机软件故障，应重启软件或重新安装软件。</w:t>
      </w:r>
    </w:p>
    <w:p w14:paraId="7AA8D5DE">
      <w:r>
        <w:t>对于变频器报错故障，应根据故障代码进行相应的处理。如报过流故障，应检查电机是否短路、负载是否过大，排除故障后复位变频器；报过压故障，应检查电源电压是否过高，检查制动单元是否正常；报过载故障，应减轻负载或检查电机是否堵转；报过热故障，应检查环境温度是否过高，清理变频器散热片，确保散热良好。</w:t>
      </w:r>
    </w:p>
    <w:p w14:paraId="5539022C">
      <w:r>
        <w:t>控制系统故障处理后，需要对设备进行参数设置和功能测试，确保控制系统恢复正常工作。同时，应定期对控制系统进行维护，如清洁PLC、触摸屏、传感器等部件，检查接线是否牢固，更新控制程序等。</w:t>
      </w:r>
    </w:p>
    <w:p w14:paraId="58325B81">
      <w:pPr>
        <w:pStyle w:val="4"/>
      </w:pPr>
      <w:r>
        <w:t>6.4 定位与供电故障处理</w:t>
      </w:r>
    </w:p>
    <w:p w14:paraId="304D9D39">
      <w:r>
        <w:t>定位与供电故障的处理对策如下：</w:t>
      </w:r>
    </w:p>
    <w:p w14:paraId="49528803">
      <w:r>
        <w:t>对于换轨失败故障，如果是接近开关损坏，应更换接近开关，调整开关与感应体的间隙（标准0.5-2mm）；如果是插销未对位，应调整插销位置，确保插销与轨道定位孔对齐；如果是转向机构故障，应检查电机、齿轮、轴承等部件，必要时更换损坏部件。</w:t>
      </w:r>
    </w:p>
    <w:p w14:paraId="35685B5F">
      <w:r>
        <w:t>对于行驶偏差大故障，如果是条码读码头积尘，应用酒精清洁读码头；如果是激光测距传感器被遮挡，应清除遮挡物；如果是编码器信号丢失，应检查编码器线缆和连接器，必要时更换编码器；如果是轨道不平整，应调整轨道，确保轨道平整度符合要求。</w:t>
      </w:r>
    </w:p>
    <w:p w14:paraId="5EBFDF63">
      <w:r>
        <w:t>对于升降不到位故障，如果是接近开关间隙不当，应调整接近开关与感应体的间隙（建议1-3mm）；如果是液压系统压力不足，应检查液压泵站，调整系统压力；如果是液压缸密封件泄漏，应更换密封件；如果是电机故障，应检查电机是否正常工作，必要时更换电机。</w:t>
      </w:r>
    </w:p>
    <w:p w14:paraId="42873F91">
      <w:r>
        <w:t>对于供电系统故障，如果是突然断电，应检查滑触线空气开关，排除短路或过载故障后复位；如果是电源指示灯亮但无法行走，应检查24V开关电源输出，更换损坏的保险丝或开关电源，检查控制回路和驱动系统；如果是电池续航缩短，应检查蓄电池状态，必要时更换电池，检查充电器是否正常工作，确保电池充满电。</w:t>
      </w:r>
    </w:p>
    <w:p w14:paraId="2F3C84E6">
      <w:pPr>
        <w:pStyle w:val="4"/>
      </w:pPr>
      <w:r>
        <w:t>6.5 机械与应急故障处理</w:t>
      </w:r>
    </w:p>
    <w:p w14:paraId="4DCE1A5E">
      <w:r>
        <w:t>机械故障的处理对策如下：</w:t>
      </w:r>
    </w:p>
    <w:p w14:paraId="40DF8EFE">
      <w:r>
        <w:t>对于车架变形故障，如果是弹性变形，可通过调整车架支撑或增加加强筋进行校正；如果是结构件疲劳损坏，应更换损坏的结构件，必要时对车架进行整体更换。</w:t>
      </w:r>
    </w:p>
    <w:p w14:paraId="36322D5A">
      <w:r>
        <w:t>对于液压顶升漏油故障，如果是密封件老化，应更换密封件；如果是液压管路接头松动或破裂，应紧固接头或更换管路；如果是液压泵站故障，应检查泵站的电机、泵、阀等部件，必要时更换损坏部件。</w:t>
      </w:r>
    </w:p>
    <w:p w14:paraId="4B4AD76A">
      <w:r>
        <w:t>对于输送带跑偏故障，如果是物料未居中放置，应调整物料放置位置，确保物料居中；如果是输送带张紧度不均，应调整张紧装置，使输送带张紧度均匀；如果是滚筒安装不平行，应调整滚筒位置，确保滚筒平行；如果是机架变形，应校正机架，确保机架平整。</w:t>
      </w:r>
    </w:p>
    <w:p w14:paraId="73B9D049">
      <w:r>
        <w:t>应急故障处理是在设备发生紧急故障时采取的措施。当设备出现危及人身安全或设备严重损坏的情况时，应立即按下急停按钮，切断电源，防止事故扩大。然后，根据故障情况，采取相应的应急措施，如手动释放制动装置、清理障碍物、更换损坏部件等。应急故障处理后，应对设备进行全面检查和测试，确保设备恢复正常后才能重新投入使用。</w:t>
      </w:r>
    </w:p>
    <w:p w14:paraId="3EF08247">
      <w:pPr>
        <w:pStyle w:val="3"/>
      </w:pPr>
      <w:r>
        <w:t>七、维护保养与预防性措施</w:t>
      </w:r>
    </w:p>
    <w:p w14:paraId="38FAE113">
      <w:pPr>
        <w:pStyle w:val="4"/>
      </w:pPr>
      <w:r>
        <w:t>7.1 日常检查项目</w:t>
      </w:r>
    </w:p>
    <w:p w14:paraId="7EE4BCBA">
      <w:r>
        <w:t>日常检查是确保浇注转运RGV正常运行的基础，每班开机前、运行中和停机后应进行以下检查：</w:t>
      </w:r>
    </w:p>
    <w:p w14:paraId="2EE11141">
      <w:r>
        <w:t>开机前检查：检查电源电压是否正常（三相AC380V±10%）；检查各警示灯、指示灯是否正常；检查急停按钮是否复位；检查轨道上是否有障碍物；检查物料转运装置是否正常；检查润滑系统油位是否正常。</w:t>
      </w:r>
    </w:p>
    <w:p w14:paraId="4F45761F">
      <w:r>
        <w:t>运行中检查：观察设备运行速度是否平稳，有无异响、振动；检查各传感器指示灯是否正常；检查定位精度是否符合要求；检查液压系统、气动系统是否有泄漏；检查电机、减速器、轴承等部件的温度是否正常（≤65℃）。</w:t>
      </w:r>
    </w:p>
    <w:p w14:paraId="2983E056">
      <w:r>
        <w:t>停机后检查：清理设备表面的灰尘和杂物；检查各部件是否有松动、磨损、变形等现象；检查碳刷磨损情况，必要时更换；检查输送带、链条等传动部件的张紧度和磨损情况；检查安全防护装置是否完好。</w:t>
      </w:r>
    </w:p>
    <w:p w14:paraId="7B23AF30">
      <w:r>
        <w:t>日常检查应做好记录，发现问题及时处理，确保设备处于良好的运行状态。</w:t>
      </w:r>
    </w:p>
    <w:p w14:paraId="75DC0946">
      <w:pPr>
        <w:pStyle w:val="4"/>
      </w:pPr>
      <w:r>
        <w:t>7.2 周期性保养计划</w:t>
      </w:r>
    </w:p>
    <w:p w14:paraId="3F3F0249">
      <w:r>
        <w:t>周期性保养是根据设备的运行时间和部件寿命，制定的定期维护计划，主要包括以下内容：</w:t>
      </w:r>
    </w:p>
    <w:p w14:paraId="10F163AA">
      <w:r>
        <w:t>每周保养：清洁设备表面和内部的灰尘、杂物；检查各润滑点，加注润滑脂（如驱动轮轴承、转向机构、链条等）；检查各连接螺栓是否紧固；检查输送带、链条的张紧度，必要时调整；测试安全联锁装置和急停按钮的功能。</w:t>
      </w:r>
    </w:p>
    <w:p w14:paraId="64808C63">
      <w:r>
        <w:t>每月保养：校准各传感器（如位置传感器、速度传感器、温度传感器）；检查电机、减速器的运行状态，测量绕组电阻和绝缘电阻；检查液压系统的压力和油位，更换液压油（每6个月）；检查气动系统的压力和过滤器，清洁或更换滤芯；检查轨道的平整度和固定情况。</w:t>
      </w:r>
    </w:p>
    <w:p w14:paraId="3B2BBC7E">
      <w:r>
        <w:t>季度保养：检查驱动轮和从动轮的磨损情况，必要时更换；检查传动系统的联轴器、传动轴、轴承等部件，必要时更换；检查电气柜内的接线端子，紧固松动的接线；检查PLC、触摸屏、变频器等控制元件的运行状态；对设备进行全面的功能测试。</w:t>
      </w:r>
    </w:p>
    <w:p w14:paraId="0DE73654">
      <w:r>
        <w:t>年度保养：对车架进行全面检查，校正变形；更换老化的密封件、电缆和管路；检查并调整各机构的间隙和精度；对设备进行全面的性能测试和评估，制定下一年度的维护计划。</w:t>
      </w:r>
    </w:p>
    <w:p w14:paraId="30FB8A0E">
      <w:r>
        <w:t>周期性保养应严格按照计划进行，确保保养质量，延长设备使用寿命。</w:t>
      </w:r>
    </w:p>
    <w:p w14:paraId="78A50D3B">
      <w:pPr>
        <w:pStyle w:val="4"/>
      </w:pPr>
      <w:r>
        <w:t>7.3 长期停机维护</w:t>
      </w:r>
    </w:p>
    <w:p w14:paraId="7AB896A9">
      <w:r>
        <w:t>当浇注转运RGV需要长期停机（超过1个月）时，应采取以下维护措施：</w:t>
      </w:r>
    </w:p>
    <w:p w14:paraId="397B7076">
      <w:r>
        <w:t>清洁与干燥：彻底清理设备表面和内部的物料残渣、灰尘和油污；用压缩空气吹干设备内部的水分，防止金属锈蚀；在设备内部放置干燥剂，吸收空气中的水分。</w:t>
      </w:r>
    </w:p>
    <w:p w14:paraId="374AB46C">
      <w:r>
        <w:t>防锈处理：对设备的金属表面（如车架、驱动轮、轨道等）喷涂防锈油或防锈漆；对传动部件（如齿轮、链条、轴承等）涂抹润滑脂，防止生锈。</w:t>
      </w:r>
    </w:p>
    <w:p w14:paraId="49CBAA80">
      <w:r>
        <w:t>电气保护：断开设备的总电源，拆除控制回路的保险管；对PLC、触摸屏、传感器等电子元件，用防尘罩覆盖；定期（每2周）对设备进行通电预热，防止电容老化和线路受潮。</w:t>
      </w:r>
    </w:p>
    <w:p w14:paraId="545AD895">
      <w:r>
        <w:t>机械固定：放松输送带、链条等传动部件的张紧装置，防止长期受力变形；对可移动部件（如转向轮、顶升机构等）进行固定，防止自由移动导致部件损坏。</w:t>
      </w:r>
    </w:p>
    <w:p w14:paraId="1F0743A7">
      <w:r>
        <w:t>长期停机维护期间，应定期检查设备的状态，确保设备处于良好的保存状态。重新启用设备时，应进行全面的检查和测试，确认设备正常后才能投入使用。</w:t>
      </w:r>
    </w:p>
    <w:p w14:paraId="2932E85D">
      <w:pPr>
        <w:pStyle w:val="4"/>
      </w:pPr>
      <w:r>
        <w:t>7.4 备品备件管理</w:t>
      </w:r>
    </w:p>
    <w:p w14:paraId="067CBA4F">
      <w:r>
        <w:t>备品备件管理是保证浇注转运RGV故障及时修复的重要措施，应建立完善的备品备件库，储备必要的备品备件。</w:t>
      </w:r>
    </w:p>
    <w:p w14:paraId="1F82B0D1">
      <w:r>
        <w:t>备品备件的选择应根据设备的型号、使用频率和易损件清单确定，主要包括以下几类：机械部件（如驱动轮、从动轮、轴承、链条、输送带等）；电气元件（如伺服电机、减速器、变频器、PLC模块、传感器、开关电源等）；液压气动元件（如液压缸、液压泵、电磁阀、气缸、气管等）；消耗品（如碳刷、润滑脂、液压油、保险丝等）。</w:t>
      </w:r>
    </w:p>
    <w:p w14:paraId="04FAD143">
      <w:r>
        <w:t>备品备件的库存数量应根据设备的数量、故障发生频率和采购周期确定，确保关键备件有足够的库存。同时，应建立备品备件的出入库管理制度，做好库存记录，定期盘点，确保备品备件的账实相符。</w:t>
      </w:r>
    </w:p>
    <w:p w14:paraId="1894F109">
      <w:r>
        <w:t>备品备件的存放应符合要求，分类存放，标识清晰，保持通风干燥，防止受潮、生锈和损坏。对于精密部件和电子元件，应采取特殊的防护措施，如密封包装、防静电保护等。</w:t>
      </w:r>
    </w:p>
    <w:p w14:paraId="6301E0DE">
      <w:r>
        <w:t>通过有效的备品备件管理，能够缩短设备故障的修复时间，提高设备的利用率和生产效率。</w:t>
      </w:r>
    </w:p>
    <w:p w14:paraId="4017B62C">
      <w:pPr>
        <w:pStyle w:val="3"/>
      </w:pPr>
      <w:r>
        <w:t>八、附录</w:t>
      </w:r>
    </w:p>
    <w:p w14:paraId="55F17408">
      <w:pPr>
        <w:pStyle w:val="4"/>
      </w:pPr>
      <w:r>
        <w:t>8.1 技术参数汇总表</w:t>
      </w:r>
    </w:p>
    <w:tbl>
      <w:tblPr>
        <w:tblStyle w:val="50"/>
        <w:tblW w:w="0" w:type="auto"/>
        <w:tblInd w:w="0" w:type="dxa"/>
        <w:tblLayout w:type="fixed"/>
        <w:tblCellMar>
          <w:top w:w="0" w:type="dxa"/>
          <w:left w:w="0" w:type="dxa"/>
          <w:bottom w:w="0" w:type="dxa"/>
          <w:right w:w="0" w:type="dxa"/>
        </w:tblCellMar>
      </w:tblPr>
      <w:tblGrid>
        <w:gridCol w:w="1728"/>
        <w:gridCol w:w="1728"/>
        <w:gridCol w:w="1728"/>
        <w:gridCol w:w="1728"/>
        <w:gridCol w:w="1728"/>
      </w:tblGrid>
      <w:tr w14:paraId="51FBD9E6">
        <w:tblPrEx>
          <w:tblCellMar>
            <w:top w:w="0" w:type="dxa"/>
            <w:left w:w="0" w:type="dxa"/>
            <w:bottom w:w="0" w:type="dxa"/>
            <w:right w:w="0" w:type="dxa"/>
          </w:tblCellMar>
        </w:tblPrEx>
        <w:tc>
          <w:tcPr>
            <w:tcW w:w="0" w:type="auto"/>
            <w:vAlign w:val="center"/>
          </w:tcPr>
          <w:p w14:paraId="6EE55BCB">
            <w:pPr>
              <w:jc w:val="center"/>
              <w:rPr>
                <w:b/>
              </w:rPr>
            </w:pPr>
            <w:r>
              <w:rPr>
                <w:b/>
              </w:rPr>
              <w:t>参数项</w:t>
            </w:r>
          </w:p>
        </w:tc>
        <w:tc>
          <w:tcPr>
            <w:tcW w:w="0" w:type="auto"/>
            <w:vAlign w:val="center"/>
          </w:tcPr>
          <w:p w14:paraId="7A861B06">
            <w:pPr>
              <w:jc w:val="center"/>
              <w:rPr>
                <w:b/>
              </w:rPr>
            </w:pPr>
            <w:r>
              <w:rPr>
                <w:b/>
              </w:rPr>
              <w:t>单位</w:t>
            </w:r>
          </w:p>
        </w:tc>
        <w:tc>
          <w:tcPr>
            <w:tcW w:w="0" w:type="auto"/>
            <w:vAlign w:val="center"/>
          </w:tcPr>
          <w:p w14:paraId="79C78722">
            <w:pPr>
              <w:jc w:val="center"/>
              <w:rPr>
                <w:b/>
              </w:rPr>
            </w:pPr>
            <w:r>
              <w:rPr>
                <w:b/>
              </w:rPr>
              <w:t>直线单驱动型</w:t>
            </w:r>
          </w:p>
        </w:tc>
        <w:tc>
          <w:tcPr>
            <w:tcW w:w="0" w:type="auto"/>
            <w:vAlign w:val="center"/>
          </w:tcPr>
          <w:p w14:paraId="57349616">
            <w:pPr>
              <w:jc w:val="center"/>
              <w:rPr>
                <w:b/>
              </w:rPr>
            </w:pPr>
            <w:r>
              <w:rPr>
                <w:b/>
              </w:rPr>
              <w:t>直线双驱动型</w:t>
            </w:r>
          </w:p>
        </w:tc>
        <w:tc>
          <w:tcPr>
            <w:tcW w:w="0" w:type="auto"/>
            <w:vAlign w:val="center"/>
          </w:tcPr>
          <w:p w14:paraId="24C10FA4">
            <w:pPr>
              <w:jc w:val="center"/>
              <w:rPr>
                <w:b/>
              </w:rPr>
            </w:pPr>
            <w:r>
              <w:rPr>
                <w:b/>
              </w:rPr>
              <w:t>环形双驱动型</w:t>
            </w:r>
          </w:p>
        </w:tc>
      </w:tr>
      <w:tr w14:paraId="2F0B5A05">
        <w:tblPrEx>
          <w:tblCellMar>
            <w:top w:w="0" w:type="dxa"/>
            <w:left w:w="0" w:type="dxa"/>
            <w:bottom w:w="0" w:type="dxa"/>
            <w:right w:w="0" w:type="dxa"/>
          </w:tblCellMar>
        </w:tblPrEx>
        <w:tc>
          <w:tcPr>
            <w:tcW w:w="0" w:type="auto"/>
            <w:vAlign w:val="center"/>
          </w:tcPr>
          <w:p w14:paraId="70527734">
            <w:r>
              <w:t>额定载荷</w:t>
            </w:r>
          </w:p>
        </w:tc>
        <w:tc>
          <w:tcPr>
            <w:tcW w:w="0" w:type="auto"/>
            <w:vAlign w:val="center"/>
          </w:tcPr>
          <w:p w14:paraId="646EF3EA">
            <w:r>
              <w:t>吨</w:t>
            </w:r>
          </w:p>
        </w:tc>
        <w:tc>
          <w:tcPr>
            <w:tcW w:w="0" w:type="auto"/>
            <w:vAlign w:val="center"/>
          </w:tcPr>
          <w:p w14:paraId="2F64C243">
            <w:r>
              <w:t>30</w:t>
            </w:r>
          </w:p>
        </w:tc>
        <w:tc>
          <w:tcPr>
            <w:tcW w:w="0" w:type="auto"/>
            <w:vAlign w:val="center"/>
          </w:tcPr>
          <w:p w14:paraId="1306980E">
            <w:r>
              <w:t>60</w:t>
            </w:r>
          </w:p>
        </w:tc>
        <w:tc>
          <w:tcPr>
            <w:tcW w:w="0" w:type="auto"/>
            <w:vAlign w:val="center"/>
          </w:tcPr>
          <w:p w14:paraId="00ED483F">
            <w:r>
              <w:t>45</w:t>
            </w:r>
          </w:p>
        </w:tc>
      </w:tr>
      <w:tr w14:paraId="5D5C7466">
        <w:tblPrEx>
          <w:tblCellMar>
            <w:top w:w="0" w:type="dxa"/>
            <w:left w:w="0" w:type="dxa"/>
            <w:bottom w:w="0" w:type="dxa"/>
            <w:right w:w="0" w:type="dxa"/>
          </w:tblCellMar>
        </w:tblPrEx>
        <w:tc>
          <w:tcPr>
            <w:tcW w:w="0" w:type="auto"/>
            <w:vAlign w:val="center"/>
          </w:tcPr>
          <w:p w14:paraId="1090CBF7">
            <w:r>
              <w:t>运行速度</w:t>
            </w:r>
          </w:p>
        </w:tc>
        <w:tc>
          <w:tcPr>
            <w:tcW w:w="0" w:type="auto"/>
            <w:vAlign w:val="center"/>
          </w:tcPr>
          <w:p w14:paraId="5BA3A571">
            <w:r>
              <w:t>m/min</w:t>
            </w:r>
          </w:p>
        </w:tc>
        <w:tc>
          <w:tcPr>
            <w:tcW w:w="0" w:type="auto"/>
            <w:vAlign w:val="center"/>
          </w:tcPr>
          <w:p w14:paraId="6DB494C3">
            <w:r>
              <w:t>0-30</w:t>
            </w:r>
          </w:p>
        </w:tc>
        <w:tc>
          <w:tcPr>
            <w:tcW w:w="0" w:type="auto"/>
            <w:vAlign w:val="center"/>
          </w:tcPr>
          <w:p w14:paraId="1B12A25E">
            <w:r>
              <w:t>0-20</w:t>
            </w:r>
          </w:p>
        </w:tc>
        <w:tc>
          <w:tcPr>
            <w:tcW w:w="0" w:type="auto"/>
            <w:vAlign w:val="center"/>
          </w:tcPr>
          <w:p w14:paraId="459C43BA">
            <w:r>
              <w:t>0-40</w:t>
            </w:r>
          </w:p>
        </w:tc>
      </w:tr>
      <w:tr w14:paraId="4BBBA0DE">
        <w:tc>
          <w:tcPr>
            <w:tcW w:w="0" w:type="auto"/>
            <w:vAlign w:val="center"/>
          </w:tcPr>
          <w:p w14:paraId="4DB1DD90">
            <w:r>
              <w:t>定位精度</w:t>
            </w:r>
          </w:p>
        </w:tc>
        <w:tc>
          <w:tcPr>
            <w:tcW w:w="0" w:type="auto"/>
            <w:vAlign w:val="center"/>
          </w:tcPr>
          <w:p w14:paraId="16095C63">
            <w:r>
              <w:t>mm</w:t>
            </w:r>
          </w:p>
        </w:tc>
        <w:tc>
          <w:tcPr>
            <w:tcW w:w="0" w:type="auto"/>
            <w:vAlign w:val="center"/>
          </w:tcPr>
          <w:p w14:paraId="20FFB6E2">
            <w:r>
              <w:t>±5</w:t>
            </w:r>
          </w:p>
        </w:tc>
        <w:tc>
          <w:tcPr>
            <w:tcW w:w="0" w:type="auto"/>
            <w:vAlign w:val="center"/>
          </w:tcPr>
          <w:p w14:paraId="6F144935">
            <w:r>
              <w:t>±2</w:t>
            </w:r>
          </w:p>
        </w:tc>
        <w:tc>
          <w:tcPr>
            <w:tcW w:w="0" w:type="auto"/>
            <w:vAlign w:val="center"/>
          </w:tcPr>
          <w:p w14:paraId="76B54BF7">
            <w:r>
              <w:t>±3</w:t>
            </w:r>
          </w:p>
        </w:tc>
      </w:tr>
      <w:tr w14:paraId="1084E730">
        <w:tblPrEx>
          <w:tblCellMar>
            <w:top w:w="0" w:type="dxa"/>
            <w:left w:w="0" w:type="dxa"/>
            <w:bottom w:w="0" w:type="dxa"/>
            <w:right w:w="0" w:type="dxa"/>
          </w:tblCellMar>
        </w:tblPrEx>
        <w:tc>
          <w:tcPr>
            <w:tcW w:w="0" w:type="auto"/>
            <w:vAlign w:val="center"/>
          </w:tcPr>
          <w:p w14:paraId="05080860">
            <w:r>
              <w:t>重复定位精度</w:t>
            </w:r>
          </w:p>
        </w:tc>
        <w:tc>
          <w:tcPr>
            <w:tcW w:w="0" w:type="auto"/>
            <w:vAlign w:val="center"/>
          </w:tcPr>
          <w:p w14:paraId="46378E91">
            <w:r>
              <w:t>mm</w:t>
            </w:r>
          </w:p>
        </w:tc>
        <w:tc>
          <w:tcPr>
            <w:tcW w:w="0" w:type="auto"/>
            <w:vAlign w:val="center"/>
          </w:tcPr>
          <w:p w14:paraId="23D74D50">
            <w:r>
              <w:t>±3</w:t>
            </w:r>
          </w:p>
        </w:tc>
        <w:tc>
          <w:tcPr>
            <w:tcW w:w="0" w:type="auto"/>
            <w:vAlign w:val="center"/>
          </w:tcPr>
          <w:p w14:paraId="3A28C5F1">
            <w:r>
              <w:t>±1</w:t>
            </w:r>
          </w:p>
        </w:tc>
        <w:tc>
          <w:tcPr>
            <w:tcW w:w="0" w:type="auto"/>
            <w:vAlign w:val="center"/>
          </w:tcPr>
          <w:p w14:paraId="0CF3E519">
            <w:r>
              <w:t>±2</w:t>
            </w:r>
          </w:p>
        </w:tc>
      </w:tr>
      <w:tr w14:paraId="3C56DCDC">
        <w:tblPrEx>
          <w:tblCellMar>
            <w:top w:w="0" w:type="dxa"/>
            <w:left w:w="0" w:type="dxa"/>
            <w:bottom w:w="0" w:type="dxa"/>
            <w:right w:w="0" w:type="dxa"/>
          </w:tblCellMar>
        </w:tblPrEx>
        <w:tc>
          <w:tcPr>
            <w:tcW w:w="0" w:type="auto"/>
            <w:vAlign w:val="center"/>
          </w:tcPr>
          <w:p w14:paraId="03218F3B">
            <w:r>
              <w:t>轨道类型</w:t>
            </w:r>
          </w:p>
        </w:tc>
        <w:tc>
          <w:tcPr>
            <w:tcW w:w="0" w:type="auto"/>
            <w:vAlign w:val="center"/>
          </w:tcPr>
          <w:p w14:paraId="4D8A1F9B">
            <w:r>
              <w:t>-</w:t>
            </w:r>
          </w:p>
        </w:tc>
        <w:tc>
          <w:tcPr>
            <w:tcW w:w="0" w:type="auto"/>
            <w:vAlign w:val="center"/>
          </w:tcPr>
          <w:p w14:paraId="45ADD7E5">
            <w:r>
              <w:t>钢轨</w:t>
            </w:r>
          </w:p>
        </w:tc>
        <w:tc>
          <w:tcPr>
            <w:tcW w:w="0" w:type="auto"/>
            <w:vAlign w:val="center"/>
          </w:tcPr>
          <w:p w14:paraId="747FA91D">
            <w:r>
              <w:t>钢轨</w:t>
            </w:r>
          </w:p>
        </w:tc>
        <w:tc>
          <w:tcPr>
            <w:tcW w:w="0" w:type="auto"/>
            <w:vAlign w:val="center"/>
          </w:tcPr>
          <w:p w14:paraId="5FBB0E00">
            <w:r>
              <w:t>铝合金</w:t>
            </w:r>
          </w:p>
        </w:tc>
      </w:tr>
      <w:tr w14:paraId="6F17AF61">
        <w:tblPrEx>
          <w:tblCellMar>
            <w:top w:w="0" w:type="dxa"/>
            <w:left w:w="0" w:type="dxa"/>
            <w:bottom w:w="0" w:type="dxa"/>
            <w:right w:w="0" w:type="dxa"/>
          </w:tblCellMar>
        </w:tblPrEx>
        <w:tc>
          <w:tcPr>
            <w:tcW w:w="0" w:type="auto"/>
            <w:vAlign w:val="center"/>
          </w:tcPr>
          <w:p w14:paraId="5155BB48">
            <w:r>
              <w:t>供电方式</w:t>
            </w:r>
          </w:p>
        </w:tc>
        <w:tc>
          <w:tcPr>
            <w:tcW w:w="0" w:type="auto"/>
            <w:vAlign w:val="center"/>
          </w:tcPr>
          <w:p w14:paraId="1F954FA5">
            <w:r>
              <w:t>-</w:t>
            </w:r>
          </w:p>
        </w:tc>
        <w:tc>
          <w:tcPr>
            <w:tcW w:w="0" w:type="auto"/>
            <w:vAlign w:val="center"/>
          </w:tcPr>
          <w:p w14:paraId="1F749CD5">
            <w:r>
              <w:t>滑触线</w:t>
            </w:r>
          </w:p>
        </w:tc>
        <w:tc>
          <w:tcPr>
            <w:tcW w:w="0" w:type="auto"/>
            <w:vAlign w:val="center"/>
          </w:tcPr>
          <w:p w14:paraId="28AC817D">
            <w:r>
              <w:t>滑触线</w:t>
            </w:r>
          </w:p>
        </w:tc>
        <w:tc>
          <w:tcPr>
            <w:tcW w:w="0" w:type="auto"/>
            <w:vAlign w:val="center"/>
          </w:tcPr>
          <w:p w14:paraId="08004BC3">
            <w:r>
              <w:t>电池</w:t>
            </w:r>
          </w:p>
        </w:tc>
      </w:tr>
      <w:tr w14:paraId="64FBFC8B">
        <w:tc>
          <w:tcPr>
            <w:tcW w:w="0" w:type="auto"/>
            <w:vAlign w:val="center"/>
          </w:tcPr>
          <w:p w14:paraId="7BE992D3">
            <w:r>
              <w:t>车架尺寸</w:t>
            </w:r>
          </w:p>
        </w:tc>
        <w:tc>
          <w:tcPr>
            <w:tcW w:w="0" w:type="auto"/>
            <w:vAlign w:val="center"/>
          </w:tcPr>
          <w:p w14:paraId="09AA56DD">
            <w:r>
              <w:t>m</w:t>
            </w:r>
          </w:p>
        </w:tc>
        <w:tc>
          <w:tcPr>
            <w:tcW w:w="0" w:type="auto"/>
            <w:vAlign w:val="center"/>
          </w:tcPr>
          <w:p w14:paraId="51CA9A6D">
            <w:r>
              <w:t>4×1.2</w:t>
            </w:r>
          </w:p>
        </w:tc>
        <w:tc>
          <w:tcPr>
            <w:tcW w:w="0" w:type="auto"/>
            <w:vAlign w:val="center"/>
          </w:tcPr>
          <w:p w14:paraId="1792DACD">
            <w:r>
              <w:t>5×1.3</w:t>
            </w:r>
          </w:p>
        </w:tc>
        <w:tc>
          <w:tcPr>
            <w:tcW w:w="0" w:type="auto"/>
            <w:vAlign w:val="center"/>
          </w:tcPr>
          <w:p w14:paraId="71D708CA">
            <w:r>
              <w:t>4.5×1.2</w:t>
            </w:r>
          </w:p>
        </w:tc>
      </w:tr>
      <w:tr w14:paraId="264D9E09">
        <w:tblPrEx>
          <w:tblCellMar>
            <w:top w:w="0" w:type="dxa"/>
            <w:left w:w="0" w:type="dxa"/>
            <w:bottom w:w="0" w:type="dxa"/>
            <w:right w:w="0" w:type="dxa"/>
          </w:tblCellMar>
        </w:tblPrEx>
        <w:tc>
          <w:tcPr>
            <w:tcW w:w="0" w:type="auto"/>
            <w:vAlign w:val="center"/>
          </w:tcPr>
          <w:p w14:paraId="049AD07F">
            <w:r>
              <w:t>台面高度</w:t>
            </w:r>
          </w:p>
        </w:tc>
        <w:tc>
          <w:tcPr>
            <w:tcW w:w="0" w:type="auto"/>
            <w:vAlign w:val="center"/>
          </w:tcPr>
          <w:p w14:paraId="2C3EF193">
            <w:r>
              <w:t>mm</w:t>
            </w:r>
          </w:p>
        </w:tc>
        <w:tc>
          <w:tcPr>
            <w:tcW w:w="0" w:type="auto"/>
            <w:vAlign w:val="center"/>
          </w:tcPr>
          <w:p w14:paraId="6DA7077C">
            <w:r>
              <w:t>350</w:t>
            </w:r>
          </w:p>
        </w:tc>
        <w:tc>
          <w:tcPr>
            <w:tcW w:w="0" w:type="auto"/>
            <w:vAlign w:val="center"/>
          </w:tcPr>
          <w:p w14:paraId="005E0B9D">
            <w:r>
              <w:t>400</w:t>
            </w:r>
          </w:p>
        </w:tc>
        <w:tc>
          <w:tcPr>
            <w:tcW w:w="0" w:type="auto"/>
            <w:vAlign w:val="center"/>
          </w:tcPr>
          <w:p w14:paraId="4A78E94C">
            <w:r>
              <w:t>380</w:t>
            </w:r>
          </w:p>
        </w:tc>
      </w:tr>
      <w:tr w14:paraId="32640E5D">
        <w:tblPrEx>
          <w:tblCellMar>
            <w:top w:w="0" w:type="dxa"/>
            <w:left w:w="0" w:type="dxa"/>
            <w:bottom w:w="0" w:type="dxa"/>
            <w:right w:w="0" w:type="dxa"/>
          </w:tblCellMar>
        </w:tblPrEx>
        <w:tc>
          <w:tcPr>
            <w:tcW w:w="0" w:type="auto"/>
            <w:vAlign w:val="center"/>
          </w:tcPr>
          <w:p w14:paraId="114AFAE0">
            <w:r>
              <w:t>驱动轮数量</w:t>
            </w:r>
          </w:p>
        </w:tc>
        <w:tc>
          <w:tcPr>
            <w:tcW w:w="0" w:type="auto"/>
            <w:vAlign w:val="center"/>
          </w:tcPr>
          <w:p w14:paraId="708EB8E5">
            <w:r>
              <w:t>个</w:t>
            </w:r>
          </w:p>
        </w:tc>
        <w:tc>
          <w:tcPr>
            <w:tcW w:w="0" w:type="auto"/>
            <w:vAlign w:val="center"/>
          </w:tcPr>
          <w:p w14:paraId="655677E8">
            <w:r>
              <w:t>2</w:t>
            </w:r>
          </w:p>
        </w:tc>
        <w:tc>
          <w:tcPr>
            <w:tcW w:w="0" w:type="auto"/>
            <w:vAlign w:val="center"/>
          </w:tcPr>
          <w:p w14:paraId="2F835DEB">
            <w:r>
              <w:t>4</w:t>
            </w:r>
          </w:p>
        </w:tc>
        <w:tc>
          <w:tcPr>
            <w:tcW w:w="0" w:type="auto"/>
            <w:vAlign w:val="center"/>
          </w:tcPr>
          <w:p w14:paraId="0FDC15F1">
            <w:r>
              <w:t>4</w:t>
            </w:r>
          </w:p>
        </w:tc>
      </w:tr>
      <w:tr w14:paraId="28BDAC26">
        <w:tblPrEx>
          <w:tblCellMar>
            <w:top w:w="0" w:type="dxa"/>
            <w:left w:w="0" w:type="dxa"/>
            <w:bottom w:w="0" w:type="dxa"/>
            <w:right w:w="0" w:type="dxa"/>
          </w:tblCellMar>
        </w:tblPrEx>
        <w:tc>
          <w:tcPr>
            <w:tcW w:w="0" w:type="auto"/>
            <w:vAlign w:val="center"/>
          </w:tcPr>
          <w:p w14:paraId="1E9C5BE3">
            <w:r>
              <w:t>从动轮数量</w:t>
            </w:r>
          </w:p>
        </w:tc>
        <w:tc>
          <w:tcPr>
            <w:tcW w:w="0" w:type="auto"/>
            <w:vAlign w:val="center"/>
          </w:tcPr>
          <w:p w14:paraId="5E69643A">
            <w:r>
              <w:t>个</w:t>
            </w:r>
          </w:p>
        </w:tc>
        <w:tc>
          <w:tcPr>
            <w:tcW w:w="0" w:type="auto"/>
            <w:vAlign w:val="center"/>
          </w:tcPr>
          <w:p w14:paraId="0B6C60AC">
            <w:r>
              <w:t>4</w:t>
            </w:r>
          </w:p>
        </w:tc>
        <w:tc>
          <w:tcPr>
            <w:tcW w:w="0" w:type="auto"/>
            <w:vAlign w:val="center"/>
          </w:tcPr>
          <w:p w14:paraId="5B90CA5B">
            <w:r>
              <w:t>4</w:t>
            </w:r>
          </w:p>
        </w:tc>
        <w:tc>
          <w:tcPr>
            <w:tcW w:w="0" w:type="auto"/>
            <w:vAlign w:val="center"/>
          </w:tcPr>
          <w:p w14:paraId="20F2D56D">
            <w:r>
              <w:t>6</w:t>
            </w:r>
          </w:p>
        </w:tc>
      </w:tr>
      <w:tr w14:paraId="79CA25A1">
        <w:tc>
          <w:tcPr>
            <w:tcW w:w="0" w:type="auto"/>
            <w:vAlign w:val="center"/>
          </w:tcPr>
          <w:p w14:paraId="5AFE8E2A">
            <w:r>
              <w:t>转向角度</w:t>
            </w:r>
          </w:p>
        </w:tc>
        <w:tc>
          <w:tcPr>
            <w:tcW w:w="0" w:type="auto"/>
            <w:vAlign w:val="center"/>
          </w:tcPr>
          <w:p w14:paraId="4FD17A0B">
            <w:r>
              <w:t>°</w:t>
            </w:r>
          </w:p>
        </w:tc>
        <w:tc>
          <w:tcPr>
            <w:tcW w:w="0" w:type="auto"/>
            <w:vAlign w:val="center"/>
          </w:tcPr>
          <w:p w14:paraId="7BF79483">
            <w:r>
              <w:t>-</w:t>
            </w:r>
          </w:p>
        </w:tc>
        <w:tc>
          <w:tcPr>
            <w:tcW w:w="0" w:type="auto"/>
            <w:vAlign w:val="center"/>
          </w:tcPr>
          <w:p w14:paraId="0E0BC277">
            <w:r>
              <w:t>-</w:t>
            </w:r>
          </w:p>
        </w:tc>
        <w:tc>
          <w:tcPr>
            <w:tcW w:w="0" w:type="auto"/>
            <w:vAlign w:val="center"/>
          </w:tcPr>
          <w:p w14:paraId="61C5EBDF">
            <w:r>
              <w:t>90/180</w:t>
            </w:r>
          </w:p>
        </w:tc>
      </w:tr>
      <w:tr w14:paraId="37300318">
        <w:tblPrEx>
          <w:tblCellMar>
            <w:top w:w="0" w:type="dxa"/>
            <w:left w:w="0" w:type="dxa"/>
            <w:bottom w:w="0" w:type="dxa"/>
            <w:right w:w="0" w:type="dxa"/>
          </w:tblCellMar>
        </w:tblPrEx>
        <w:tc>
          <w:tcPr>
            <w:tcW w:w="0" w:type="auto"/>
            <w:vAlign w:val="center"/>
          </w:tcPr>
          <w:p w14:paraId="381E46E1">
            <w:r>
              <w:t>转向时间</w:t>
            </w:r>
          </w:p>
        </w:tc>
        <w:tc>
          <w:tcPr>
            <w:tcW w:w="0" w:type="auto"/>
            <w:vAlign w:val="center"/>
          </w:tcPr>
          <w:p w14:paraId="302C881D">
            <w:r>
              <w:t>s</w:t>
            </w:r>
          </w:p>
        </w:tc>
        <w:tc>
          <w:tcPr>
            <w:tcW w:w="0" w:type="auto"/>
            <w:vAlign w:val="center"/>
          </w:tcPr>
          <w:p w14:paraId="7D096F5C">
            <w:r>
              <w:t>-</w:t>
            </w:r>
          </w:p>
        </w:tc>
        <w:tc>
          <w:tcPr>
            <w:tcW w:w="0" w:type="auto"/>
            <w:vAlign w:val="center"/>
          </w:tcPr>
          <w:p w14:paraId="12BFAA51">
            <w:r>
              <w:t>-</w:t>
            </w:r>
          </w:p>
        </w:tc>
        <w:tc>
          <w:tcPr>
            <w:tcW w:w="0" w:type="auto"/>
            <w:vAlign w:val="center"/>
          </w:tcPr>
          <w:p w14:paraId="5829D33F">
            <w:r>
              <w:t>5-10</w:t>
            </w:r>
          </w:p>
        </w:tc>
      </w:tr>
      <w:tr w14:paraId="2A33EBA2">
        <w:tblPrEx>
          <w:tblCellMar>
            <w:top w:w="0" w:type="dxa"/>
            <w:left w:w="0" w:type="dxa"/>
            <w:bottom w:w="0" w:type="dxa"/>
            <w:right w:w="0" w:type="dxa"/>
          </w:tblCellMar>
        </w:tblPrEx>
        <w:tc>
          <w:tcPr>
            <w:tcW w:w="0" w:type="auto"/>
            <w:vAlign w:val="center"/>
          </w:tcPr>
          <w:p w14:paraId="57D2E596">
            <w:r>
              <w:t>环境温度</w:t>
            </w:r>
          </w:p>
        </w:tc>
        <w:tc>
          <w:tcPr>
            <w:tcW w:w="0" w:type="auto"/>
            <w:vAlign w:val="center"/>
          </w:tcPr>
          <w:p w14:paraId="471AAD66">
            <w:r>
              <w:t>℃</w:t>
            </w:r>
          </w:p>
        </w:tc>
        <w:tc>
          <w:tcPr>
            <w:tcW w:w="0" w:type="auto"/>
            <w:vAlign w:val="center"/>
          </w:tcPr>
          <w:p w14:paraId="2779DA0C">
            <w:r>
              <w:t>-5~+45</w:t>
            </w:r>
          </w:p>
        </w:tc>
        <w:tc>
          <w:tcPr>
            <w:tcW w:w="0" w:type="auto"/>
            <w:vAlign w:val="center"/>
          </w:tcPr>
          <w:p w14:paraId="5C5668AF">
            <w:r>
              <w:t>-5~+45</w:t>
            </w:r>
          </w:p>
        </w:tc>
        <w:tc>
          <w:tcPr>
            <w:tcW w:w="0" w:type="auto"/>
            <w:vAlign w:val="center"/>
          </w:tcPr>
          <w:p w14:paraId="6142D85D">
            <w:r>
              <w:t>-5~+45</w:t>
            </w:r>
          </w:p>
        </w:tc>
      </w:tr>
      <w:tr w14:paraId="5906E15C">
        <w:tblPrEx>
          <w:tblCellMar>
            <w:top w:w="0" w:type="dxa"/>
            <w:left w:w="0" w:type="dxa"/>
            <w:bottom w:w="0" w:type="dxa"/>
            <w:right w:w="0" w:type="dxa"/>
          </w:tblCellMar>
        </w:tblPrEx>
        <w:tc>
          <w:tcPr>
            <w:tcW w:w="0" w:type="auto"/>
            <w:vAlign w:val="center"/>
          </w:tcPr>
          <w:p w14:paraId="18A98C23">
            <w:r>
              <w:t>相对湿度</w:t>
            </w:r>
          </w:p>
        </w:tc>
        <w:tc>
          <w:tcPr>
            <w:tcW w:w="0" w:type="auto"/>
            <w:vAlign w:val="center"/>
          </w:tcPr>
          <w:p w14:paraId="5AA4411A">
            <w:r>
              <w:t>%RH</w:t>
            </w:r>
          </w:p>
        </w:tc>
        <w:tc>
          <w:tcPr>
            <w:tcW w:w="0" w:type="auto"/>
            <w:vAlign w:val="center"/>
          </w:tcPr>
          <w:p w14:paraId="105914F9">
            <w:r>
              <w:t>≤95</w:t>
            </w:r>
          </w:p>
        </w:tc>
        <w:tc>
          <w:tcPr>
            <w:tcW w:w="0" w:type="auto"/>
            <w:vAlign w:val="center"/>
          </w:tcPr>
          <w:p w14:paraId="56A63A02">
            <w:r>
              <w:t>≤95</w:t>
            </w:r>
          </w:p>
        </w:tc>
        <w:tc>
          <w:tcPr>
            <w:tcW w:w="0" w:type="auto"/>
            <w:vAlign w:val="center"/>
          </w:tcPr>
          <w:p w14:paraId="445F3248">
            <w:r>
              <w:t>≤95</w:t>
            </w:r>
          </w:p>
        </w:tc>
      </w:tr>
      <w:tr w14:paraId="6C519AA3">
        <w:tc>
          <w:tcPr>
            <w:tcW w:w="0" w:type="auto"/>
            <w:vAlign w:val="center"/>
          </w:tcPr>
          <w:p w14:paraId="5C408A15">
            <w:r>
              <w:t>防护等级</w:t>
            </w:r>
          </w:p>
        </w:tc>
        <w:tc>
          <w:tcPr>
            <w:tcW w:w="0" w:type="auto"/>
            <w:vAlign w:val="center"/>
          </w:tcPr>
          <w:p w14:paraId="5B70559C">
            <w:r>
              <w:t>IP</w:t>
            </w:r>
          </w:p>
        </w:tc>
        <w:tc>
          <w:tcPr>
            <w:tcW w:w="0" w:type="auto"/>
            <w:vAlign w:val="center"/>
          </w:tcPr>
          <w:p w14:paraId="388A3038">
            <w:r>
              <w:t>IP54</w:t>
            </w:r>
          </w:p>
        </w:tc>
        <w:tc>
          <w:tcPr>
            <w:tcW w:w="0" w:type="auto"/>
            <w:vAlign w:val="center"/>
          </w:tcPr>
          <w:p w14:paraId="38A4857A">
            <w:r>
              <w:t>IP54</w:t>
            </w:r>
          </w:p>
        </w:tc>
        <w:tc>
          <w:tcPr>
            <w:tcW w:w="0" w:type="auto"/>
            <w:vAlign w:val="center"/>
          </w:tcPr>
          <w:p w14:paraId="3DE7301C">
            <w:r>
              <w:t>IP55</w:t>
            </w:r>
          </w:p>
        </w:tc>
      </w:tr>
      <w:tr w14:paraId="0BCEB7D8">
        <w:tblPrEx>
          <w:tblCellMar>
            <w:top w:w="0" w:type="dxa"/>
            <w:left w:w="0" w:type="dxa"/>
            <w:bottom w:w="0" w:type="dxa"/>
            <w:right w:w="0" w:type="dxa"/>
          </w:tblCellMar>
        </w:tblPrEx>
        <w:tc>
          <w:tcPr>
            <w:tcW w:w="0" w:type="auto"/>
            <w:vAlign w:val="center"/>
          </w:tcPr>
          <w:p w14:paraId="0F354075">
            <w:r>
              <w:t>电池容量</w:t>
            </w:r>
          </w:p>
        </w:tc>
        <w:tc>
          <w:tcPr>
            <w:tcW w:w="0" w:type="auto"/>
            <w:vAlign w:val="center"/>
          </w:tcPr>
          <w:p w14:paraId="62111A6C">
            <w:r>
              <w:t>Ah</w:t>
            </w:r>
          </w:p>
        </w:tc>
        <w:tc>
          <w:tcPr>
            <w:tcW w:w="0" w:type="auto"/>
            <w:vAlign w:val="center"/>
          </w:tcPr>
          <w:p w14:paraId="5AE35C69">
            <w:r>
              <w:t>-</w:t>
            </w:r>
          </w:p>
        </w:tc>
        <w:tc>
          <w:tcPr>
            <w:tcW w:w="0" w:type="auto"/>
            <w:vAlign w:val="center"/>
          </w:tcPr>
          <w:p w14:paraId="46120B7C">
            <w:r>
              <w:t>-</w:t>
            </w:r>
          </w:p>
        </w:tc>
        <w:tc>
          <w:tcPr>
            <w:tcW w:w="0" w:type="auto"/>
            <w:vAlign w:val="center"/>
          </w:tcPr>
          <w:p w14:paraId="701F0ACF">
            <w:r>
              <w:t>300</w:t>
            </w:r>
          </w:p>
        </w:tc>
      </w:tr>
      <w:tr w14:paraId="1CBEE1F5">
        <w:tblPrEx>
          <w:tblCellMar>
            <w:top w:w="0" w:type="dxa"/>
            <w:left w:w="0" w:type="dxa"/>
            <w:bottom w:w="0" w:type="dxa"/>
            <w:right w:w="0" w:type="dxa"/>
          </w:tblCellMar>
        </w:tblPrEx>
        <w:tc>
          <w:tcPr>
            <w:tcW w:w="0" w:type="auto"/>
            <w:vAlign w:val="center"/>
          </w:tcPr>
          <w:p w14:paraId="1A3A2327">
            <w:r>
              <w:t>续航时间</w:t>
            </w:r>
          </w:p>
        </w:tc>
        <w:tc>
          <w:tcPr>
            <w:tcW w:w="0" w:type="auto"/>
            <w:vAlign w:val="center"/>
          </w:tcPr>
          <w:p w14:paraId="50D02FA8">
            <w:r>
              <w:t>h</w:t>
            </w:r>
          </w:p>
        </w:tc>
        <w:tc>
          <w:tcPr>
            <w:tcW w:w="0" w:type="auto"/>
            <w:vAlign w:val="center"/>
          </w:tcPr>
          <w:p w14:paraId="4E1CD688">
            <w:r>
              <w:t>-</w:t>
            </w:r>
          </w:p>
        </w:tc>
        <w:tc>
          <w:tcPr>
            <w:tcW w:w="0" w:type="auto"/>
            <w:vAlign w:val="center"/>
          </w:tcPr>
          <w:p w14:paraId="02BB85A6">
            <w:r>
              <w:t>-</w:t>
            </w:r>
          </w:p>
        </w:tc>
        <w:tc>
          <w:tcPr>
            <w:tcW w:w="0" w:type="auto"/>
            <w:vAlign w:val="center"/>
          </w:tcPr>
          <w:p w14:paraId="0F4823D0">
            <w:r>
              <w:t>≥8</w:t>
            </w:r>
          </w:p>
        </w:tc>
      </w:tr>
      <w:tr w14:paraId="58292EBF">
        <w:tblPrEx>
          <w:tblCellMar>
            <w:top w:w="0" w:type="dxa"/>
            <w:left w:w="0" w:type="dxa"/>
            <w:bottom w:w="0" w:type="dxa"/>
            <w:right w:w="0" w:type="dxa"/>
          </w:tblCellMar>
        </w:tblPrEx>
        <w:tc>
          <w:tcPr>
            <w:tcW w:w="0" w:type="auto"/>
            <w:vAlign w:val="center"/>
          </w:tcPr>
          <w:p w14:paraId="3D24670B">
            <w:r>
              <w:t>充电时间</w:t>
            </w:r>
          </w:p>
        </w:tc>
        <w:tc>
          <w:tcPr>
            <w:tcW w:w="0" w:type="auto"/>
            <w:vAlign w:val="center"/>
          </w:tcPr>
          <w:p w14:paraId="7EAEC93D">
            <w:r>
              <w:t>h</w:t>
            </w:r>
          </w:p>
        </w:tc>
        <w:tc>
          <w:tcPr>
            <w:tcW w:w="0" w:type="auto"/>
            <w:vAlign w:val="center"/>
          </w:tcPr>
          <w:p w14:paraId="77F3306B">
            <w:r>
              <w:t>-</w:t>
            </w:r>
          </w:p>
        </w:tc>
        <w:tc>
          <w:tcPr>
            <w:tcW w:w="0" w:type="auto"/>
            <w:vAlign w:val="center"/>
          </w:tcPr>
          <w:p w14:paraId="2AD38745">
            <w:r>
              <w:t>-</w:t>
            </w:r>
          </w:p>
        </w:tc>
        <w:tc>
          <w:tcPr>
            <w:tcW w:w="0" w:type="auto"/>
            <w:vAlign w:val="center"/>
          </w:tcPr>
          <w:p w14:paraId="70873FD0">
            <w:r>
              <w:t>1-3</w:t>
            </w:r>
          </w:p>
        </w:tc>
      </w:tr>
    </w:tbl>
    <w:p w14:paraId="3B8FD6D9">
      <w:pPr>
        <w:pStyle w:val="4"/>
      </w:pPr>
      <w:r>
        <w:t>8.2 常用术语解释</w:t>
      </w:r>
    </w:p>
    <w:p w14:paraId="0F1F549C">
      <w:r>
        <w:t>RGV（有轨制导车辆）：一种沿固定轨道运行的自动化物料转运设备。</w:t>
      </w:r>
    </w:p>
    <w:p w14:paraId="46177CAB">
      <w:r>
        <w:t>重复定位精度：RGV多次运行到同一位置时，实际位置与目标位置的偏差。</w:t>
      </w:r>
    </w:p>
    <w:p w14:paraId="72EBA88A">
      <w:r>
        <w:t>滑触线：为移动设备提供电力的一种装置，由导电轨和集电器组成。</w:t>
      </w:r>
    </w:p>
    <w:p w14:paraId="68069CC6">
      <w:r>
        <w:t>伺服电机：一种能够精确控制速度和位置的电机，具有响应速度快、控制精度高的特点。</w:t>
      </w:r>
    </w:p>
    <w:p w14:paraId="491355DB">
      <w:r>
        <w:t>PLC（可编程逻辑控制器）：一种数字运算操作的电子系统，专为工业环境应用而设计。</w:t>
      </w:r>
    </w:p>
    <w:p w14:paraId="4F22E2C1">
      <w:r>
        <w:t>Profinet：一种基于工业以太网的现场总线标准，用于实现自动化系统之间的通信。</w:t>
      </w:r>
    </w:p>
    <w:p w14:paraId="1BAE4CD2">
      <w:r>
        <w:t>A*算法：一种用于路径规划的启发式搜索算法，能够快速找到最优路径。</w:t>
      </w:r>
    </w:p>
    <w:p w14:paraId="3A620C66">
      <w:r>
        <w:t>冲突避免：在多台RGV同时运行时，通过调度算法避免设备之间发生碰撞的技术。</w:t>
      </w:r>
    </w:p>
    <w:p w14:paraId="66F89689">
      <w:r>
        <w:t>维护保养：为保持设备良好运行状态而进行的定期检查、清洁、润滑、调整和更换部件等工作。</w:t>
      </w:r>
    </w:p>
    <w:p w14:paraId="1DF23FAB">
      <w:pPr>
        <w:pStyle w:val="4"/>
      </w:pPr>
      <w:r>
        <w:t>8.3 图纸索引</w:t>
      </w:r>
    </w:p>
    <w:tbl>
      <w:tblPr>
        <w:tblStyle w:val="50"/>
        <w:tblW w:w="0" w:type="auto"/>
        <w:tblInd w:w="0" w:type="dxa"/>
        <w:tblLayout w:type="fixed"/>
        <w:tblCellMar>
          <w:top w:w="0" w:type="dxa"/>
          <w:left w:w="0" w:type="dxa"/>
          <w:bottom w:w="0" w:type="dxa"/>
          <w:right w:w="0" w:type="dxa"/>
        </w:tblCellMar>
      </w:tblPr>
      <w:tblGrid>
        <w:gridCol w:w="2160"/>
        <w:gridCol w:w="2160"/>
        <w:gridCol w:w="2160"/>
        <w:gridCol w:w="2160"/>
      </w:tblGrid>
      <w:tr w14:paraId="1C99AFC4">
        <w:tc>
          <w:tcPr>
            <w:tcW w:w="0" w:type="auto"/>
            <w:vAlign w:val="center"/>
          </w:tcPr>
          <w:p w14:paraId="5FD8BCBE">
            <w:pPr>
              <w:jc w:val="center"/>
              <w:rPr>
                <w:b/>
              </w:rPr>
            </w:pPr>
            <w:r>
              <w:rPr>
                <w:b/>
              </w:rPr>
              <w:t>图纸编号</w:t>
            </w:r>
          </w:p>
        </w:tc>
        <w:tc>
          <w:tcPr>
            <w:tcW w:w="0" w:type="auto"/>
            <w:vAlign w:val="center"/>
          </w:tcPr>
          <w:p w14:paraId="26F1A1E8">
            <w:pPr>
              <w:jc w:val="center"/>
              <w:rPr>
                <w:b/>
              </w:rPr>
            </w:pPr>
            <w:r>
              <w:rPr>
                <w:b/>
              </w:rPr>
              <w:t>图纸名称</w:t>
            </w:r>
          </w:p>
        </w:tc>
        <w:tc>
          <w:tcPr>
            <w:tcW w:w="0" w:type="auto"/>
            <w:vAlign w:val="center"/>
          </w:tcPr>
          <w:p w14:paraId="28A98D49">
            <w:pPr>
              <w:jc w:val="center"/>
              <w:rPr>
                <w:b/>
              </w:rPr>
            </w:pPr>
            <w:r>
              <w:rPr>
                <w:b/>
              </w:rPr>
              <w:t>存放位置</w:t>
            </w:r>
          </w:p>
        </w:tc>
        <w:tc>
          <w:tcPr>
            <w:tcW w:w="0" w:type="auto"/>
            <w:vAlign w:val="center"/>
          </w:tcPr>
          <w:p w14:paraId="006EE1D6">
            <w:pPr>
              <w:jc w:val="center"/>
              <w:rPr>
                <w:b/>
              </w:rPr>
            </w:pPr>
            <w:r>
              <w:rPr>
                <w:b/>
              </w:rPr>
              <w:t>版本号</w:t>
            </w:r>
          </w:p>
        </w:tc>
      </w:tr>
      <w:tr w14:paraId="786D731B">
        <w:tc>
          <w:tcPr>
            <w:tcW w:w="0" w:type="auto"/>
            <w:vAlign w:val="center"/>
          </w:tcPr>
          <w:p w14:paraId="429F661A">
            <w:r>
              <w:t>RGV-001</w:t>
            </w:r>
          </w:p>
        </w:tc>
        <w:tc>
          <w:tcPr>
            <w:tcW w:w="0" w:type="auto"/>
            <w:vAlign w:val="center"/>
          </w:tcPr>
          <w:p w14:paraId="348BC959">
            <w:r>
              <w:t>设备总装配图</w:t>
            </w:r>
          </w:p>
        </w:tc>
        <w:tc>
          <w:tcPr>
            <w:tcW w:w="0" w:type="auto"/>
            <w:vAlign w:val="center"/>
          </w:tcPr>
          <w:p w14:paraId="0275BB99">
            <w:r>
              <w:t>档案室A柜1号抽屉</w:t>
            </w:r>
          </w:p>
        </w:tc>
        <w:tc>
          <w:tcPr>
            <w:tcW w:w="0" w:type="auto"/>
            <w:vAlign w:val="center"/>
          </w:tcPr>
          <w:p w14:paraId="3B07850D">
            <w:r>
              <w:t>V1.0</w:t>
            </w:r>
          </w:p>
        </w:tc>
      </w:tr>
      <w:tr w14:paraId="0E024773">
        <w:tc>
          <w:tcPr>
            <w:tcW w:w="0" w:type="auto"/>
            <w:vAlign w:val="center"/>
          </w:tcPr>
          <w:p w14:paraId="54FF0305">
            <w:r>
              <w:t>RGV-002</w:t>
            </w:r>
          </w:p>
        </w:tc>
        <w:tc>
          <w:tcPr>
            <w:tcW w:w="0" w:type="auto"/>
            <w:vAlign w:val="center"/>
          </w:tcPr>
          <w:p w14:paraId="1A074B6B">
            <w:r>
              <w:t>车架结构图</w:t>
            </w:r>
          </w:p>
        </w:tc>
        <w:tc>
          <w:tcPr>
            <w:tcW w:w="0" w:type="auto"/>
            <w:vAlign w:val="center"/>
          </w:tcPr>
          <w:p w14:paraId="622BF629">
            <w:r>
              <w:t>档案室A柜1号抽屉</w:t>
            </w:r>
          </w:p>
        </w:tc>
        <w:tc>
          <w:tcPr>
            <w:tcW w:w="0" w:type="auto"/>
            <w:vAlign w:val="center"/>
          </w:tcPr>
          <w:p w14:paraId="683FE592">
            <w:r>
              <w:t>V1.0</w:t>
            </w:r>
          </w:p>
        </w:tc>
      </w:tr>
      <w:tr w14:paraId="68EFEBFD">
        <w:tc>
          <w:tcPr>
            <w:tcW w:w="0" w:type="auto"/>
            <w:vAlign w:val="center"/>
          </w:tcPr>
          <w:p w14:paraId="2C110084">
            <w:r>
              <w:t>RGV-003</w:t>
            </w:r>
          </w:p>
        </w:tc>
        <w:tc>
          <w:tcPr>
            <w:tcW w:w="0" w:type="auto"/>
            <w:vAlign w:val="center"/>
          </w:tcPr>
          <w:p w14:paraId="6CA4D2E9">
            <w:r>
              <w:t>驱动系统原理图</w:t>
            </w:r>
          </w:p>
        </w:tc>
        <w:tc>
          <w:tcPr>
            <w:tcW w:w="0" w:type="auto"/>
            <w:vAlign w:val="center"/>
          </w:tcPr>
          <w:p w14:paraId="3510CCC7">
            <w:r>
              <w:t>档案室A柜2号抽屉</w:t>
            </w:r>
          </w:p>
        </w:tc>
        <w:tc>
          <w:tcPr>
            <w:tcW w:w="0" w:type="auto"/>
            <w:vAlign w:val="center"/>
          </w:tcPr>
          <w:p w14:paraId="3B417D91">
            <w:r>
              <w:t>V1.0</w:t>
            </w:r>
          </w:p>
        </w:tc>
      </w:tr>
      <w:tr w14:paraId="23867FC1">
        <w:tc>
          <w:tcPr>
            <w:tcW w:w="0" w:type="auto"/>
            <w:vAlign w:val="center"/>
          </w:tcPr>
          <w:p w14:paraId="6BF8EF38">
            <w:r>
              <w:t>RGV-004</w:t>
            </w:r>
          </w:p>
        </w:tc>
        <w:tc>
          <w:tcPr>
            <w:tcW w:w="0" w:type="auto"/>
            <w:vAlign w:val="center"/>
          </w:tcPr>
          <w:p w14:paraId="3880FD5A">
            <w:r>
              <w:t>传动系统结构图</w:t>
            </w:r>
          </w:p>
        </w:tc>
        <w:tc>
          <w:tcPr>
            <w:tcW w:w="0" w:type="auto"/>
            <w:vAlign w:val="center"/>
          </w:tcPr>
          <w:p w14:paraId="5A010AD3">
            <w:r>
              <w:t>档案室A柜2号抽屉</w:t>
            </w:r>
          </w:p>
        </w:tc>
        <w:tc>
          <w:tcPr>
            <w:tcW w:w="0" w:type="auto"/>
            <w:vAlign w:val="center"/>
          </w:tcPr>
          <w:p w14:paraId="7F742A4D">
            <w:r>
              <w:t>V1.0</w:t>
            </w:r>
          </w:p>
        </w:tc>
      </w:tr>
      <w:tr w14:paraId="656580E3">
        <w:tc>
          <w:tcPr>
            <w:tcW w:w="0" w:type="auto"/>
            <w:vAlign w:val="center"/>
          </w:tcPr>
          <w:p w14:paraId="450504A8">
            <w:r>
              <w:t>RGV-005</w:t>
            </w:r>
          </w:p>
        </w:tc>
        <w:tc>
          <w:tcPr>
            <w:tcW w:w="0" w:type="auto"/>
            <w:vAlign w:val="center"/>
          </w:tcPr>
          <w:p w14:paraId="42740EB9">
            <w:r>
              <w:t>控制系统电气原理图</w:t>
            </w:r>
          </w:p>
        </w:tc>
        <w:tc>
          <w:tcPr>
            <w:tcW w:w="0" w:type="auto"/>
            <w:vAlign w:val="center"/>
          </w:tcPr>
          <w:p w14:paraId="604CE0C7">
            <w:r>
              <w:t>档案室B柜1号抽屉</w:t>
            </w:r>
          </w:p>
        </w:tc>
        <w:tc>
          <w:tcPr>
            <w:tcW w:w="0" w:type="auto"/>
            <w:vAlign w:val="center"/>
          </w:tcPr>
          <w:p w14:paraId="7D3CA17F">
            <w:r>
              <w:t>V2.0</w:t>
            </w:r>
          </w:p>
        </w:tc>
      </w:tr>
      <w:tr w14:paraId="2AE77BA6">
        <w:tc>
          <w:tcPr>
            <w:tcW w:w="0" w:type="auto"/>
            <w:vAlign w:val="center"/>
          </w:tcPr>
          <w:p w14:paraId="384E0C55">
            <w:r>
              <w:t>RGV-006</w:t>
            </w:r>
          </w:p>
        </w:tc>
        <w:tc>
          <w:tcPr>
            <w:tcW w:w="0" w:type="auto"/>
            <w:vAlign w:val="center"/>
          </w:tcPr>
          <w:p w14:paraId="56B38CA2">
            <w:r>
              <w:t>传感器布局图</w:t>
            </w:r>
          </w:p>
        </w:tc>
        <w:tc>
          <w:tcPr>
            <w:tcW w:w="0" w:type="auto"/>
            <w:vAlign w:val="center"/>
          </w:tcPr>
          <w:p w14:paraId="7D72B9CA">
            <w:r>
              <w:t>档案室B柜1号抽屉</w:t>
            </w:r>
          </w:p>
        </w:tc>
        <w:tc>
          <w:tcPr>
            <w:tcW w:w="0" w:type="auto"/>
            <w:vAlign w:val="center"/>
          </w:tcPr>
          <w:p w14:paraId="20D16E95">
            <w:r>
              <w:t>V1.0</w:t>
            </w:r>
          </w:p>
        </w:tc>
      </w:tr>
      <w:tr w14:paraId="4C01D2E6">
        <w:tc>
          <w:tcPr>
            <w:tcW w:w="0" w:type="auto"/>
            <w:vAlign w:val="center"/>
          </w:tcPr>
          <w:p w14:paraId="6B804F56">
            <w:r>
              <w:t>RGV-007</w:t>
            </w:r>
          </w:p>
        </w:tc>
        <w:tc>
          <w:tcPr>
            <w:tcW w:w="0" w:type="auto"/>
            <w:vAlign w:val="center"/>
          </w:tcPr>
          <w:p w14:paraId="6A65F2F1">
            <w:r>
              <w:t>液压系统原理图</w:t>
            </w:r>
          </w:p>
        </w:tc>
        <w:tc>
          <w:tcPr>
            <w:tcW w:w="0" w:type="auto"/>
            <w:vAlign w:val="center"/>
          </w:tcPr>
          <w:p w14:paraId="6EC260CC">
            <w:r>
              <w:t>档案室B柜2号抽屉</w:t>
            </w:r>
          </w:p>
        </w:tc>
        <w:tc>
          <w:tcPr>
            <w:tcW w:w="0" w:type="auto"/>
            <w:vAlign w:val="center"/>
          </w:tcPr>
          <w:p w14:paraId="755FFE7A">
            <w:r>
              <w:t>V1.0</w:t>
            </w:r>
          </w:p>
        </w:tc>
      </w:tr>
      <w:tr w14:paraId="4BC54802">
        <w:tc>
          <w:tcPr>
            <w:tcW w:w="0" w:type="auto"/>
            <w:vAlign w:val="center"/>
          </w:tcPr>
          <w:p w14:paraId="2F549F50">
            <w:r>
              <w:t>RGV-008</w:t>
            </w:r>
          </w:p>
        </w:tc>
        <w:tc>
          <w:tcPr>
            <w:tcW w:w="0" w:type="auto"/>
            <w:vAlign w:val="center"/>
          </w:tcPr>
          <w:p w14:paraId="657A71AF">
            <w:r>
              <w:t>气动系统原理图</w:t>
            </w:r>
          </w:p>
        </w:tc>
        <w:tc>
          <w:tcPr>
            <w:tcW w:w="0" w:type="auto"/>
            <w:vAlign w:val="center"/>
          </w:tcPr>
          <w:p w14:paraId="1A5C0ED5">
            <w:r>
              <w:t>档案室B柜2号抽屉</w:t>
            </w:r>
          </w:p>
        </w:tc>
        <w:tc>
          <w:tcPr>
            <w:tcW w:w="0" w:type="auto"/>
            <w:vAlign w:val="center"/>
          </w:tcPr>
          <w:p w14:paraId="555BABC0">
            <w:r>
              <w:t>V1.0</w:t>
            </w:r>
          </w:p>
        </w:tc>
      </w:tr>
      <w:tr w14:paraId="60DB323E">
        <w:tc>
          <w:tcPr>
            <w:tcW w:w="0" w:type="auto"/>
            <w:vAlign w:val="center"/>
          </w:tcPr>
          <w:p w14:paraId="0000BFE7">
            <w:r>
              <w:t>RGV-009</w:t>
            </w:r>
          </w:p>
        </w:tc>
        <w:tc>
          <w:tcPr>
            <w:tcW w:w="0" w:type="auto"/>
            <w:vAlign w:val="center"/>
          </w:tcPr>
          <w:p w14:paraId="4A5D5AD6">
            <w:r>
              <w:t>轨道安装图</w:t>
            </w:r>
          </w:p>
        </w:tc>
        <w:tc>
          <w:tcPr>
            <w:tcW w:w="0" w:type="auto"/>
            <w:vAlign w:val="center"/>
          </w:tcPr>
          <w:p w14:paraId="3EB5E10D">
            <w:r>
              <w:t>档案室C柜1号抽屉</w:t>
            </w:r>
          </w:p>
        </w:tc>
        <w:tc>
          <w:tcPr>
            <w:tcW w:w="0" w:type="auto"/>
            <w:vAlign w:val="center"/>
          </w:tcPr>
          <w:p w14:paraId="506A01A0">
            <w:r>
              <w:t>V1.0</w:t>
            </w:r>
          </w:p>
        </w:tc>
      </w:tr>
      <w:tr w14:paraId="6C1E78BC">
        <w:tc>
          <w:tcPr>
            <w:tcW w:w="0" w:type="auto"/>
            <w:vAlign w:val="center"/>
          </w:tcPr>
          <w:p w14:paraId="7EC9DBA7">
            <w:r>
              <w:t>RGV-010</w:t>
            </w:r>
          </w:p>
        </w:tc>
        <w:tc>
          <w:tcPr>
            <w:tcW w:w="0" w:type="auto"/>
            <w:vAlign w:val="center"/>
          </w:tcPr>
          <w:p w14:paraId="6AC76CFE">
            <w:r>
              <w:t>安全防护装置图</w:t>
            </w:r>
          </w:p>
        </w:tc>
        <w:tc>
          <w:tcPr>
            <w:tcW w:w="0" w:type="auto"/>
            <w:vAlign w:val="center"/>
          </w:tcPr>
          <w:p w14:paraId="7720BEDC">
            <w:r>
              <w:t>档案室C柜1号抽屉</w:t>
            </w:r>
          </w:p>
        </w:tc>
        <w:tc>
          <w:tcPr>
            <w:tcW w:w="0" w:type="auto"/>
            <w:vAlign w:val="center"/>
          </w:tcPr>
          <w:p w14:paraId="1D130711">
            <w:r>
              <w:t>V1.0</w:t>
            </w:r>
          </w:p>
        </w:tc>
      </w:tr>
    </w:tbl>
    <w:p w14:paraId="09F92245">
      <w:pPr>
        <w:pStyle w:val="31"/>
        <w:bidi w:val="0"/>
        <w:rPr>
          <w:rFonts w:hint="eastAsia"/>
          <w:lang w:val="en-US" w:eastAsia="zh-CN"/>
        </w:rPr>
      </w:pPr>
    </w:p>
    <w:bookmarkEnd w:id="0"/>
    <w:bookmarkEnd w:id="1"/>
    <w:sectPr>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微软雅黑">
    <w:altName w:val="汉仪旗黑KW 55S"/>
    <w:panose1 w:val="020B0503020204020204"/>
    <w:charset w:val="86"/>
    <w:family w:val="auto"/>
    <w:pitch w:val="default"/>
    <w:sig w:usb0="00000000" w:usb1="00000000" w:usb2="00000016" w:usb3="00000000" w:csb0="0004001F" w:csb1="00000000"/>
  </w:font>
  <w:font w:name="汉仪旗黑KW 55S">
    <w:panose1 w:val="00020600040101010101"/>
    <w:charset w:val="86"/>
    <w:family w:val="auto"/>
    <w:pitch w:val="default"/>
    <w:sig w:usb0="A00002BF" w:usb1="3ACF7CFA" w:usb2="00000016" w:usb3="00000000" w:csb0="0004009F" w:csb1="DFD70000"/>
  </w:font>
  <w:font w:name="Cambria">
    <w:altName w:val="Georgia"/>
    <w:panose1 w:val="02040503050406030204"/>
    <w:charset w:val="86"/>
    <w:family w:val="auto"/>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Copperplate">
    <w:altName w:val="仓耳屏显楷体 W04"/>
    <w:panose1 w:val="02000504000000020004"/>
    <w:charset w:val="00"/>
    <w:family w:val="auto"/>
    <w:pitch w:val="default"/>
    <w:sig w:usb0="00000000" w:usb1="00000000" w:usb2="00000000" w:usb3="00000000" w:csb0="20000111" w:csb1="40000000"/>
  </w:font>
  <w:font w:name="仓耳屏显楷体 W04">
    <w:panose1 w:val="02020400000000000000"/>
    <w:charset w:val="86"/>
    <w:family w:val="auto"/>
    <w:pitch w:val="default"/>
    <w:sig w:usb0="80000003" w:usb1="08012000" w:usb2="00000012" w:usb3="00000000" w:csb0="00040001" w:csb1="00000000"/>
  </w:font>
  <w:font w:name="Segoe UI">
    <w:altName w:val="Arial"/>
    <w:panose1 w:val="00000000000000000000"/>
    <w:charset w:val="00"/>
    <w:family w:val="auto"/>
    <w:pitch w:val="default"/>
    <w:sig w:usb0="00000000" w:usb1="00000000" w:usb2="00000000" w:usb3="00000000" w:csb0="00000000" w:csb1="00000000"/>
  </w:font>
  <w:font w:name="乐见体">
    <w:panose1 w:val="02020400000000000000"/>
    <w:charset w:val="86"/>
    <w:family w:val="auto"/>
    <w:pitch w:val="default"/>
    <w:sig w:usb0="80000003" w:usb1="08012000" w:usb2="00000012" w:usb3="00000000" w:csb0="00040001" w:csb1="00000000"/>
  </w:font>
  <w:font w:name="华文中宋">
    <w:panose1 w:val="02010600040101010101"/>
    <w:charset w:val="86"/>
    <w:family w:val="auto"/>
    <w:pitch w:val="default"/>
    <w:sig w:usb0="00000287" w:usb1="080F0000" w:usb2="00000000" w:usb3="00000000" w:csb0="0004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ind w:firstLine="480"/>
      </w:pPr>
      <w:r>
        <w:separator/>
      </w:r>
    </w:p>
  </w:footnote>
  <w:footnote w:type="continuationSeparator" w:id="1">
    <w:p>
      <w:pPr>
        <w:spacing w:before="0" w:after="0"/>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E456F9"/>
    <w:multiLevelType w:val="singleLevel"/>
    <w:tmpl w:val="A7E456F9"/>
    <w:lvl w:ilvl="0" w:tentative="0">
      <w:start w:val="1"/>
      <w:numFmt w:val="decimal"/>
      <w:pStyle w:val="37"/>
      <w:lvlText w:val="%1."/>
      <w:lvlJc w:val="left"/>
      <w:pPr>
        <w:tabs>
          <w:tab w:val="left" w:pos="2040"/>
        </w:tabs>
        <w:ind w:left="2040" w:hanging="360"/>
      </w:pPr>
    </w:lvl>
  </w:abstractNum>
  <w:abstractNum w:abstractNumId="1">
    <w:nsid w:val="B1B9B92F"/>
    <w:multiLevelType w:val="singleLevel"/>
    <w:tmpl w:val="B1B9B92F"/>
    <w:lvl w:ilvl="0" w:tentative="0">
      <w:start w:val="1"/>
      <w:numFmt w:val="bullet"/>
      <w:pStyle w:val="15"/>
      <w:lvlText w:val=""/>
      <w:lvlJc w:val="left"/>
      <w:pPr>
        <w:tabs>
          <w:tab w:val="left" w:pos="1620"/>
        </w:tabs>
        <w:ind w:left="1620" w:hanging="360"/>
      </w:pPr>
      <w:rPr>
        <w:rFonts w:hint="default" w:ascii="Wingdings" w:hAnsi="Wingdings"/>
      </w:rPr>
    </w:lvl>
  </w:abstractNum>
  <w:abstractNum w:abstractNumId="2">
    <w:nsid w:val="B7BA28C9"/>
    <w:multiLevelType w:val="singleLevel"/>
    <w:tmpl w:val="B7BA28C9"/>
    <w:lvl w:ilvl="0" w:tentative="0">
      <w:start w:val="1"/>
      <w:numFmt w:val="decimal"/>
      <w:pStyle w:val="28"/>
      <w:lvlText w:val="%1."/>
      <w:lvlJc w:val="left"/>
      <w:pPr>
        <w:tabs>
          <w:tab w:val="left" w:pos="1620"/>
        </w:tabs>
        <w:ind w:left="1620" w:hanging="360"/>
      </w:pPr>
    </w:lvl>
  </w:abstractNum>
  <w:abstractNum w:abstractNumId="3">
    <w:nsid w:val="F47960A0"/>
    <w:multiLevelType w:val="singleLevel"/>
    <w:tmpl w:val="F47960A0"/>
    <w:lvl w:ilvl="0" w:tentative="0">
      <w:start w:val="1"/>
      <w:numFmt w:val="decimal"/>
      <w:pStyle w:val="22"/>
      <w:lvlText w:val="%1."/>
      <w:lvlJc w:val="left"/>
      <w:pPr>
        <w:tabs>
          <w:tab w:val="left" w:pos="1200"/>
        </w:tabs>
        <w:ind w:left="1200" w:hanging="360"/>
      </w:pPr>
    </w:lvl>
  </w:abstractNum>
  <w:abstractNum w:abstractNumId="4">
    <w:nsid w:val="FEB58EF3"/>
    <w:multiLevelType w:val="singleLevel"/>
    <w:tmpl w:val="FEB58EF3"/>
    <w:lvl w:ilvl="0" w:tentative="0">
      <w:start w:val="1"/>
      <w:numFmt w:val="bullet"/>
      <w:pStyle w:val="18"/>
      <w:lvlText w:val=""/>
      <w:lvlJc w:val="left"/>
      <w:pPr>
        <w:tabs>
          <w:tab w:val="left" w:pos="360"/>
        </w:tabs>
        <w:ind w:left="360" w:hanging="360"/>
      </w:pPr>
      <w:rPr>
        <w:rFonts w:hint="default" w:ascii="Wingdings" w:hAnsi="Wingdings"/>
      </w:rPr>
    </w:lvl>
  </w:abstractNum>
  <w:abstractNum w:abstractNumId="5">
    <w:nsid w:val="FF9BA098"/>
    <w:multiLevelType w:val="singleLevel"/>
    <w:tmpl w:val="FF9BA098"/>
    <w:lvl w:ilvl="0" w:tentative="0">
      <w:start w:val="1"/>
      <w:numFmt w:val="bullet"/>
      <w:pStyle w:val="26"/>
      <w:lvlText w:val=""/>
      <w:lvlJc w:val="left"/>
      <w:pPr>
        <w:tabs>
          <w:tab w:val="left" w:pos="780"/>
        </w:tabs>
        <w:ind w:left="780" w:hanging="360"/>
      </w:pPr>
      <w:rPr>
        <w:rFonts w:hint="default" w:ascii="Wingdings" w:hAnsi="Wingdings"/>
      </w:rPr>
    </w:lvl>
  </w:abstractNum>
  <w:abstractNum w:abstractNumId="6">
    <w:nsid w:val="FFA86893"/>
    <w:multiLevelType w:val="singleLevel"/>
    <w:tmpl w:val="FFA86893"/>
    <w:lvl w:ilvl="0" w:tentative="0">
      <w:start w:val="1"/>
      <w:numFmt w:val="bullet"/>
      <w:pStyle w:val="27"/>
      <w:lvlText w:val=""/>
      <w:lvlJc w:val="left"/>
      <w:pPr>
        <w:tabs>
          <w:tab w:val="left" w:pos="2040"/>
        </w:tabs>
        <w:ind w:left="2040" w:hanging="360"/>
      </w:pPr>
      <w:rPr>
        <w:rFonts w:hint="default" w:ascii="Wingdings" w:hAnsi="Wingdings"/>
      </w:rPr>
    </w:lvl>
  </w:abstractNum>
  <w:abstractNum w:abstractNumId="7">
    <w:nsid w:val="052FBF93"/>
    <w:multiLevelType w:val="singleLevel"/>
    <w:tmpl w:val="052FBF93"/>
    <w:lvl w:ilvl="0" w:tentative="0">
      <w:start w:val="1"/>
      <w:numFmt w:val="decimal"/>
      <w:pStyle w:val="16"/>
      <w:lvlText w:val="%1."/>
      <w:lvlJc w:val="left"/>
      <w:pPr>
        <w:tabs>
          <w:tab w:val="left" w:pos="360"/>
        </w:tabs>
        <w:ind w:left="360" w:hanging="360"/>
      </w:pPr>
    </w:lvl>
  </w:abstractNum>
  <w:abstractNum w:abstractNumId="8">
    <w:nsid w:val="1FFE05E1"/>
    <w:multiLevelType w:val="singleLevel"/>
    <w:tmpl w:val="1FFE05E1"/>
    <w:lvl w:ilvl="0" w:tentative="0">
      <w:start w:val="1"/>
      <w:numFmt w:val="bullet"/>
      <w:pStyle w:val="24"/>
      <w:lvlText w:val=""/>
      <w:lvlJc w:val="left"/>
      <w:pPr>
        <w:ind w:left="420" w:hanging="420"/>
      </w:pPr>
      <w:rPr>
        <w:rFonts w:hint="default" w:ascii="Wingdings" w:hAnsi="Wingdings"/>
      </w:rPr>
    </w:lvl>
  </w:abstractNum>
  <w:abstractNum w:abstractNumId="9">
    <w:nsid w:val="29AA8454"/>
    <w:multiLevelType w:val="multilevel"/>
    <w:tmpl w:val="29AA8454"/>
    <w:lvl w:ilvl="0" w:tentative="0">
      <w:start w:val="1"/>
      <w:numFmt w:val="chineseCounting"/>
      <w:suff w:val="nothing"/>
      <w:lvlText w:val="%1、"/>
      <w:lvlJc w:val="left"/>
      <w:pPr>
        <w:tabs>
          <w:tab w:val="left" w:pos="0"/>
        </w:tabs>
        <w:ind w:left="0" w:firstLine="0"/>
      </w:pPr>
      <w:rPr>
        <w:rFonts w:hint="eastAsia" w:ascii="黑体" w:hAnsi="黑体" w:eastAsia="黑体"/>
      </w:rPr>
    </w:lvl>
    <w:lvl w:ilvl="1" w:tentative="0">
      <w:start w:val="1"/>
      <w:numFmt w:val="chineseCounting"/>
      <w:suff w:val="nothing"/>
      <w:lvlText w:val="（%2）"/>
      <w:lvlJc w:val="left"/>
      <w:pPr>
        <w:tabs>
          <w:tab w:val="left" w:pos="0"/>
        </w:tabs>
        <w:ind w:left="0" w:firstLine="0"/>
      </w:pPr>
      <w:rPr>
        <w:rFonts w:hint="eastAsia" w:ascii="黑体" w:hAnsi="黑体" w:eastAsia="黑体"/>
      </w:rPr>
    </w:lvl>
    <w:lvl w:ilvl="2" w:tentative="0">
      <w:start w:val="1"/>
      <w:numFmt w:val="decimal"/>
      <w:suff w:val="nothing"/>
      <w:lvlText w:val="%3．"/>
      <w:lvlJc w:val="left"/>
      <w:pPr>
        <w:tabs>
          <w:tab w:val="left" w:pos="0"/>
        </w:tabs>
        <w:ind w:left="0" w:firstLine="400"/>
      </w:pPr>
      <w:rPr>
        <w:rFonts w:hint="eastAsia" w:ascii="黑体" w:hAnsi="黑体" w:eastAsia="黑体"/>
      </w:rPr>
    </w:lvl>
    <w:lvl w:ilvl="3" w:tentative="0">
      <w:start w:val="1"/>
      <w:numFmt w:val="decimal"/>
      <w:suff w:val="nothing"/>
      <w:lvlText w:val="（%4）"/>
      <w:lvlJc w:val="left"/>
      <w:pPr>
        <w:tabs>
          <w:tab w:val="left" w:pos="0"/>
        </w:tabs>
        <w:ind w:left="0" w:firstLine="402"/>
      </w:pPr>
      <w:rPr>
        <w:rFonts w:hint="eastAsia" w:ascii="黑体" w:hAnsi="黑体" w:eastAsia="黑体"/>
      </w:rPr>
    </w:lvl>
    <w:lvl w:ilvl="4" w:tentative="0">
      <w:start w:val="1"/>
      <w:numFmt w:val="decimalEnclosedCircleChinese"/>
      <w:pStyle w:val="6"/>
      <w:suff w:val="nothing"/>
      <w:lvlText w:val="%5"/>
      <w:lvlJc w:val="left"/>
      <w:pPr>
        <w:tabs>
          <w:tab w:val="left" w:pos="0"/>
        </w:tabs>
        <w:ind w:left="0" w:firstLine="402"/>
      </w:pPr>
      <w:rPr>
        <w:rFonts w:hint="eastAsia" w:ascii="黑体" w:hAnsi="黑体" w:eastAsia="黑体"/>
      </w:rPr>
    </w:lvl>
    <w:lvl w:ilvl="5" w:tentative="0">
      <w:start w:val="1"/>
      <w:numFmt w:val="decimal"/>
      <w:pStyle w:val="8"/>
      <w:suff w:val="nothing"/>
      <w:lvlText w:val="%6）"/>
      <w:lvlJc w:val="left"/>
      <w:pPr>
        <w:ind w:left="0" w:firstLine="402"/>
      </w:pPr>
      <w:rPr>
        <w:rFonts w:hint="eastAsia"/>
      </w:rPr>
    </w:lvl>
    <w:lvl w:ilvl="6" w:tentative="0">
      <w:start w:val="1"/>
      <w:numFmt w:val="lowerLetter"/>
      <w:pStyle w:val="9"/>
      <w:suff w:val="nothing"/>
      <w:lvlText w:val="%7．"/>
      <w:lvlJc w:val="left"/>
      <w:pPr>
        <w:ind w:left="0" w:firstLine="402"/>
      </w:pPr>
      <w:rPr>
        <w:rFonts w:hint="eastAsia"/>
      </w:rPr>
    </w:lvl>
    <w:lvl w:ilvl="7" w:tentative="0">
      <w:start w:val="1"/>
      <w:numFmt w:val="lowerLetter"/>
      <w:pStyle w:val="10"/>
      <w:suff w:val="nothing"/>
      <w:lvlText w:val="%8）"/>
      <w:lvlJc w:val="left"/>
      <w:pPr>
        <w:ind w:left="0" w:firstLine="402"/>
      </w:pPr>
      <w:rPr>
        <w:rFonts w:hint="eastAsia"/>
      </w:rPr>
    </w:lvl>
    <w:lvl w:ilvl="8" w:tentative="0">
      <w:start w:val="1"/>
      <w:numFmt w:val="lowerRoman"/>
      <w:pStyle w:val="11"/>
      <w:suff w:val="nothing"/>
      <w:lvlText w:val="%9 "/>
      <w:lvlJc w:val="left"/>
      <w:pPr>
        <w:ind w:left="0" w:firstLine="402"/>
      </w:pPr>
      <w:rPr>
        <w:rFonts w:hint="eastAsia"/>
      </w:rPr>
    </w:lvl>
  </w:abstractNum>
  <w:abstractNum w:abstractNumId="10">
    <w:nsid w:val="6FFE7285"/>
    <w:multiLevelType w:val="singleLevel"/>
    <w:tmpl w:val="6FFE7285"/>
    <w:lvl w:ilvl="0" w:tentative="0">
      <w:start w:val="1"/>
      <w:numFmt w:val="bullet"/>
      <w:pStyle w:val="21"/>
      <w:lvlText w:val=""/>
      <w:lvlJc w:val="left"/>
      <w:pPr>
        <w:tabs>
          <w:tab w:val="left" w:pos="1200"/>
        </w:tabs>
        <w:ind w:left="1200" w:hanging="360"/>
      </w:pPr>
      <w:rPr>
        <w:rFonts w:hint="default" w:ascii="Wingdings" w:hAnsi="Wingdings"/>
      </w:rPr>
    </w:lvl>
  </w:abstractNum>
  <w:abstractNum w:abstractNumId="11">
    <w:nsid w:val="7EFB0518"/>
    <w:multiLevelType w:val="singleLevel"/>
    <w:tmpl w:val="7EFB0518"/>
    <w:lvl w:ilvl="0" w:tentative="0">
      <w:start w:val="1"/>
      <w:numFmt w:val="decimal"/>
      <w:pStyle w:val="13"/>
      <w:lvlText w:val="%1."/>
      <w:lvlJc w:val="left"/>
      <w:pPr>
        <w:tabs>
          <w:tab w:val="left" w:pos="780"/>
        </w:tabs>
        <w:ind w:left="780" w:hanging="360"/>
      </w:pPr>
    </w:lvl>
  </w:abstractNum>
  <w:num w:numId="1">
    <w:abstractNumId w:val="9"/>
  </w:num>
  <w:num w:numId="2">
    <w:abstractNumId w:val="11"/>
  </w:num>
  <w:num w:numId="3">
    <w:abstractNumId w:val="1"/>
  </w:num>
  <w:num w:numId="4">
    <w:abstractNumId w:val="7"/>
  </w:num>
  <w:num w:numId="5">
    <w:abstractNumId w:val="4"/>
  </w:num>
  <w:num w:numId="6">
    <w:abstractNumId w:val="10"/>
  </w:num>
  <w:num w:numId="7">
    <w:abstractNumId w:val="3"/>
  </w:num>
  <w:num w:numId="8">
    <w:abstractNumId w:val="8"/>
  </w:num>
  <w:num w:numId="9">
    <w:abstractNumId w:val="5"/>
  </w:num>
  <w:num w:numId="10">
    <w:abstractNumId w:val="6"/>
  </w:num>
  <w:num w:numId="11">
    <w:abstractNumId w:val="2"/>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NotTrackMoves/>
  <w:documentProtection w:enforcement="0"/>
  <w:defaultTabStop w:val="720"/>
  <w:drawingGridHorizontalSpacing w:val="360"/>
  <w:drawingGridVerticalSpacing w:val="360"/>
  <w:displayHorizontalDrawingGridEvery w:val="0"/>
  <w:displayVerticalDrawingGridEvery w:val="2"/>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useFELayout/>
    <w:doNotUseIndentAsNumberingTabStop/>
    <w:splitPgBreakAndParaMark/>
    <w:compatSetting w:name="compatibilityMode" w:uri="http://schemas.microsoft.com/office/word" w:val="12"/>
  </w:compat>
  <w:docVars>
    <w:docVar w:name="commondata" w:val="eyJoZGlkIjoiOTgxM2RjOGM4NmFhZTkyOTlkMmE4MWQ0Zjg2YjZhY2IifQ=="/>
  </w:docVars>
  <w:rsids>
    <w:rsidRoot w:val="00000000"/>
    <w:rsid w:val="01503613"/>
    <w:rsid w:val="0E925DBF"/>
    <w:rsid w:val="0FE732EF"/>
    <w:rsid w:val="15205ED3"/>
    <w:rsid w:val="17872A04"/>
    <w:rsid w:val="18A902D0"/>
    <w:rsid w:val="1A442B9B"/>
    <w:rsid w:val="1A5F56EF"/>
    <w:rsid w:val="1E896318"/>
    <w:rsid w:val="1F4965EB"/>
    <w:rsid w:val="25C83238"/>
    <w:rsid w:val="26CA0473"/>
    <w:rsid w:val="2B924E09"/>
    <w:rsid w:val="2CE307C7"/>
    <w:rsid w:val="2F436F36"/>
    <w:rsid w:val="31994BEB"/>
    <w:rsid w:val="3FEA17AB"/>
    <w:rsid w:val="3FF2F4D6"/>
    <w:rsid w:val="410B542B"/>
    <w:rsid w:val="41A71B16"/>
    <w:rsid w:val="427B35B9"/>
    <w:rsid w:val="435B43F6"/>
    <w:rsid w:val="45B00A41"/>
    <w:rsid w:val="4FD75668"/>
    <w:rsid w:val="55426F5C"/>
    <w:rsid w:val="55853555"/>
    <w:rsid w:val="575278AD"/>
    <w:rsid w:val="5DA12EF6"/>
    <w:rsid w:val="5DE3706A"/>
    <w:rsid w:val="608A7C71"/>
    <w:rsid w:val="61615C49"/>
    <w:rsid w:val="6401649C"/>
    <w:rsid w:val="653D4140"/>
    <w:rsid w:val="65907A54"/>
    <w:rsid w:val="665629F7"/>
    <w:rsid w:val="66BB5808"/>
    <w:rsid w:val="69F47232"/>
    <w:rsid w:val="6A2B7DCF"/>
    <w:rsid w:val="6B550DD6"/>
    <w:rsid w:val="6FE07705"/>
    <w:rsid w:val="6FFD907A"/>
    <w:rsid w:val="74A83031"/>
    <w:rsid w:val="76962A74"/>
    <w:rsid w:val="7B77B008"/>
    <w:rsid w:val="7FF6C12C"/>
    <w:rsid w:val="BCB98261"/>
    <w:rsid w:val="DFFF61A3"/>
    <w:rsid w:val="F3EB132D"/>
    <w:rsid w:val="FEF70171"/>
    <w:rsid w:val="FFCF9603"/>
  </w:rsids>
  <m:mathPr>
    <m:mathFont m:val="Cambria Math"/>
    <m:brkBin m:val="before"/>
    <m:brkBinSub m:val="--"/>
    <m:smallFrac m:val="0"/>
    <m:dispDef/>
    <m:lMargin m:val="0"/>
    <m:rMargin m:val="0"/>
    <m:defJc m:val="centerGroup"/>
    <m:wrapRight m:val="1"/>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qFormat="1" w:unhideWhenUsed="0" w:uiPriority="0" w:semiHidden="0" w:name="index 1"/>
    <w:lsdException w:qFormat="1"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unhideWhenUsed="0" w:uiPriority="0" w:semiHidden="0" w:name="List Continue 4"/>
    <w:lsdException w:unhideWhenUsed="0" w:uiPriority="0" w:semiHidden="0" w:name="List Continue 5"/>
    <w:lsdException w:qFormat="1"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qFormat="1" w:unhideWhenUsed="0" w:uiPriority="0" w:semiHidden="0" w:name="Emphasis"/>
    <w:lsdException w:qFormat="1"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semiHidden="0" w:name="Normal Table"/>
    <w:lsdException w:qFormat="1"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ind w:firstLine="601" w:firstLineChars="200"/>
      <w:jc w:val="both"/>
    </w:pPr>
    <w:rPr>
      <w:rFonts w:ascii="微软雅黑" w:hAnsi="微软雅黑" w:eastAsia="微软雅黑" w:cstheme="minorBidi"/>
      <w:sz w:val="24"/>
      <w:szCs w:val="24"/>
      <w:lang w:val="en-US" w:eastAsia="en-US" w:bidi="ar-SA"/>
    </w:rPr>
  </w:style>
  <w:style w:type="paragraph" w:styleId="2">
    <w:name w:val="heading 1"/>
    <w:basedOn w:val="1"/>
    <w:next w:val="1"/>
    <w:qFormat/>
    <w:uiPriority w:val="0"/>
    <w:pPr>
      <w:keepNext/>
      <w:keepLines/>
      <w:spacing w:before="260" w:beforeLines="0" w:beforeAutospacing="0" w:after="260" w:afterLines="0" w:afterAutospacing="0" w:line="413" w:lineRule="auto"/>
      <w:jc w:val="center"/>
      <w:outlineLvl w:val="0"/>
    </w:pPr>
    <w:rPr>
      <w:b/>
      <w:kern w:val="44"/>
      <w:sz w:val="30"/>
    </w:rPr>
  </w:style>
  <w:style w:type="paragraph" w:styleId="3">
    <w:name w:val="heading 2"/>
    <w:next w:val="1"/>
    <w:unhideWhenUsed/>
    <w:qFormat/>
    <w:uiPriority w:val="0"/>
    <w:pPr>
      <w:keepNext/>
      <w:keepLines/>
      <w:spacing w:before="260" w:beforeLines="0" w:beforeAutospacing="0" w:after="260" w:afterLines="0" w:afterAutospacing="0" w:line="413" w:lineRule="auto"/>
      <w:outlineLvl w:val="1"/>
    </w:pPr>
    <w:rPr>
      <w:rFonts w:ascii="Arial" w:hAnsi="Arial" w:eastAsia="微软雅黑" w:cs="Times New Roman"/>
      <w:b/>
      <w:sz w:val="28"/>
    </w:rPr>
  </w:style>
  <w:style w:type="paragraph" w:styleId="4">
    <w:name w:val="heading 3"/>
    <w:next w:val="1"/>
    <w:unhideWhenUsed/>
    <w:qFormat/>
    <w:uiPriority w:val="0"/>
    <w:pPr>
      <w:keepNext/>
      <w:keepLines/>
      <w:numPr>
        <w:ilvl w:val="0"/>
        <w:numId w:val="0"/>
      </w:numPr>
      <w:spacing w:before="260" w:beforeLines="0" w:beforeAutospacing="0" w:after="260" w:afterLines="0" w:afterAutospacing="0" w:line="413" w:lineRule="auto"/>
      <w:outlineLvl w:val="2"/>
    </w:pPr>
    <w:rPr>
      <w:rFonts w:ascii="Times New Roman" w:hAnsi="Times New Roman" w:eastAsia="微软雅黑" w:cs="Times New Roman"/>
      <w:b/>
      <w:sz w:val="24"/>
    </w:rPr>
  </w:style>
  <w:style w:type="paragraph" w:styleId="5">
    <w:name w:val="heading 4"/>
    <w:next w:val="1"/>
    <w:unhideWhenUsed/>
    <w:qFormat/>
    <w:uiPriority w:val="0"/>
    <w:pPr>
      <w:keepNext/>
      <w:keepLines/>
      <w:numPr>
        <w:ilvl w:val="0"/>
        <w:numId w:val="0"/>
      </w:numPr>
      <w:spacing w:before="280" w:beforeLines="0" w:beforeAutospacing="0" w:after="290" w:afterLines="0" w:afterAutospacing="0" w:line="372" w:lineRule="auto"/>
      <w:outlineLvl w:val="3"/>
    </w:pPr>
    <w:rPr>
      <w:rFonts w:ascii="Arial" w:hAnsi="Arial" w:eastAsia="微软雅黑" w:cs="Times New Roman"/>
      <w:i/>
      <w:sz w:val="24"/>
    </w:rPr>
  </w:style>
  <w:style w:type="paragraph" w:styleId="6">
    <w:name w:val="heading 5"/>
    <w:basedOn w:val="1"/>
    <w:next w:val="7"/>
    <w:unhideWhenUsed/>
    <w:qFormat/>
    <w:uiPriority w:val="9"/>
    <w:pPr>
      <w:keepNext/>
      <w:keepLines/>
      <w:numPr>
        <w:ilvl w:val="4"/>
        <w:numId w:val="1"/>
      </w:numPr>
      <w:spacing w:before="200" w:after="0"/>
      <w:ind w:firstLine="402"/>
      <w:outlineLvl w:val="4"/>
    </w:pPr>
    <w:rPr>
      <w:rFonts w:ascii="微软雅黑" w:hAnsi="微软雅黑" w:eastAsia="微软雅黑" w:cstheme="majorBidi"/>
      <w:iCs/>
      <w:color w:val="auto"/>
    </w:rPr>
  </w:style>
  <w:style w:type="paragraph" w:styleId="8">
    <w:name w:val="heading 6"/>
    <w:basedOn w:val="1"/>
    <w:next w:val="7"/>
    <w:unhideWhenUsed/>
    <w:qFormat/>
    <w:uiPriority w:val="9"/>
    <w:pPr>
      <w:keepNext/>
      <w:keepLines/>
      <w:numPr>
        <w:ilvl w:val="5"/>
        <w:numId w:val="1"/>
      </w:numPr>
      <w:spacing w:before="200" w:after="0"/>
      <w:ind w:firstLine="402"/>
      <w:outlineLvl w:val="5"/>
    </w:pPr>
    <w:rPr>
      <w:rFonts w:ascii="微软雅黑" w:hAnsi="微软雅黑" w:eastAsia="微软雅黑" w:cstheme="majorBidi"/>
      <w:color w:val="auto"/>
    </w:rPr>
  </w:style>
  <w:style w:type="paragraph" w:styleId="9">
    <w:name w:val="heading 7"/>
    <w:basedOn w:val="1"/>
    <w:next w:val="7"/>
    <w:unhideWhenUsed/>
    <w:qFormat/>
    <w:uiPriority w:val="9"/>
    <w:pPr>
      <w:keepNext/>
      <w:keepLines/>
      <w:numPr>
        <w:ilvl w:val="6"/>
        <w:numId w:val="1"/>
      </w:numPr>
      <w:spacing w:before="200" w:after="0"/>
      <w:ind w:firstLine="402"/>
      <w:outlineLvl w:val="6"/>
    </w:pPr>
    <w:rPr>
      <w:rFonts w:ascii="微软雅黑" w:hAnsi="微软雅黑" w:eastAsia="微软雅黑" w:cstheme="majorBidi"/>
      <w:color w:val="auto"/>
    </w:rPr>
  </w:style>
  <w:style w:type="paragraph" w:styleId="10">
    <w:name w:val="heading 8"/>
    <w:basedOn w:val="1"/>
    <w:next w:val="7"/>
    <w:unhideWhenUsed/>
    <w:qFormat/>
    <w:uiPriority w:val="9"/>
    <w:pPr>
      <w:keepNext/>
      <w:keepLines/>
      <w:numPr>
        <w:ilvl w:val="7"/>
        <w:numId w:val="1"/>
      </w:numPr>
      <w:spacing w:before="200" w:after="0"/>
      <w:ind w:firstLine="402"/>
      <w:outlineLvl w:val="7"/>
    </w:pPr>
    <w:rPr>
      <w:rFonts w:ascii="微软雅黑" w:hAnsi="微软雅黑" w:eastAsia="微软雅黑" w:cstheme="majorBidi"/>
      <w:color w:val="auto"/>
    </w:rPr>
  </w:style>
  <w:style w:type="paragraph" w:styleId="11">
    <w:name w:val="heading 9"/>
    <w:basedOn w:val="1"/>
    <w:next w:val="7"/>
    <w:unhideWhenUsed/>
    <w:qFormat/>
    <w:uiPriority w:val="9"/>
    <w:pPr>
      <w:keepNext/>
      <w:keepLines/>
      <w:numPr>
        <w:ilvl w:val="8"/>
        <w:numId w:val="1"/>
      </w:numPr>
      <w:spacing w:before="200" w:after="0"/>
      <w:ind w:firstLine="402"/>
      <w:outlineLvl w:val="8"/>
    </w:pPr>
    <w:rPr>
      <w:rFonts w:ascii="微软雅黑" w:hAnsi="微软雅黑" w:eastAsia="微软雅黑" w:cstheme="majorBidi"/>
      <w:color w:val="auto"/>
    </w:rPr>
  </w:style>
  <w:style w:type="character" w:default="1" w:styleId="51">
    <w:name w:val="Default Paragraph Font"/>
    <w:semiHidden/>
    <w:qFormat/>
    <w:uiPriority w:val="0"/>
  </w:style>
  <w:style w:type="table" w:default="1" w:styleId="50">
    <w:name w:val="Normal Table"/>
    <w:qFormat/>
    <w:uiPriority w:val="0"/>
    <w:tblPr>
      <w:tblCellMar>
        <w:top w:w="0" w:type="dxa"/>
        <w:left w:w="108" w:type="dxa"/>
        <w:bottom w:w="0" w:type="dxa"/>
        <w:right w:w="108" w:type="dxa"/>
      </w:tblCellMar>
    </w:tblPr>
  </w:style>
  <w:style w:type="paragraph" w:styleId="7">
    <w:name w:val="Body Text"/>
    <w:basedOn w:val="1"/>
    <w:link w:val="57"/>
    <w:qFormat/>
    <w:uiPriority w:val="0"/>
    <w:pPr>
      <w:spacing w:before="180" w:after="180"/>
      <w:ind w:firstLine="560" w:firstLineChars="200"/>
      <w:jc w:val="both"/>
    </w:pPr>
  </w:style>
  <w:style w:type="paragraph" w:styleId="12">
    <w:name w:val="List 3"/>
    <w:basedOn w:val="1"/>
    <w:qFormat/>
    <w:uiPriority w:val="0"/>
    <w:pPr>
      <w:ind w:left="100" w:leftChars="400" w:hanging="200" w:hangingChars="200"/>
    </w:pPr>
  </w:style>
  <w:style w:type="paragraph" w:styleId="13">
    <w:name w:val="List Number 2"/>
    <w:basedOn w:val="1"/>
    <w:qFormat/>
    <w:uiPriority w:val="0"/>
    <w:pPr>
      <w:numPr>
        <w:ilvl w:val="0"/>
        <w:numId w:val="2"/>
      </w:numPr>
    </w:pPr>
  </w:style>
  <w:style w:type="paragraph" w:styleId="14">
    <w:name w:val="table of authorities"/>
    <w:basedOn w:val="1"/>
    <w:next w:val="1"/>
    <w:qFormat/>
    <w:uiPriority w:val="0"/>
    <w:pPr>
      <w:ind w:left="420" w:leftChars="200"/>
    </w:pPr>
  </w:style>
  <w:style w:type="paragraph" w:styleId="15">
    <w:name w:val="List Bullet 4"/>
    <w:basedOn w:val="1"/>
    <w:qFormat/>
    <w:uiPriority w:val="0"/>
    <w:pPr>
      <w:numPr>
        <w:ilvl w:val="0"/>
        <w:numId w:val="3"/>
      </w:numPr>
    </w:pPr>
  </w:style>
  <w:style w:type="paragraph" w:styleId="16">
    <w:name w:val="List Number"/>
    <w:basedOn w:val="1"/>
    <w:qFormat/>
    <w:uiPriority w:val="0"/>
    <w:pPr>
      <w:numPr>
        <w:ilvl w:val="0"/>
        <w:numId w:val="4"/>
      </w:numPr>
    </w:pPr>
  </w:style>
  <w:style w:type="paragraph" w:styleId="17">
    <w:name w:val="caption"/>
    <w:basedOn w:val="1"/>
    <w:qFormat/>
    <w:uiPriority w:val="0"/>
    <w:pPr>
      <w:spacing w:before="0" w:after="120"/>
    </w:pPr>
    <w:rPr>
      <w:i/>
    </w:rPr>
  </w:style>
  <w:style w:type="paragraph" w:styleId="18">
    <w:name w:val="List Bullet"/>
    <w:basedOn w:val="1"/>
    <w:qFormat/>
    <w:uiPriority w:val="0"/>
    <w:pPr>
      <w:numPr>
        <w:ilvl w:val="0"/>
        <w:numId w:val="5"/>
      </w:numPr>
      <w:ind w:left="0" w:firstLine="0" w:firstLineChars="0"/>
    </w:pPr>
  </w:style>
  <w:style w:type="paragraph" w:styleId="19">
    <w:name w:val="Document Map"/>
    <w:basedOn w:val="1"/>
    <w:qFormat/>
    <w:uiPriority w:val="0"/>
    <w:pPr>
      <w:shd w:val="clear" w:color="auto" w:fill="000080"/>
    </w:pPr>
  </w:style>
  <w:style w:type="paragraph" w:styleId="20">
    <w:name w:val="annotation text"/>
    <w:basedOn w:val="1"/>
    <w:qFormat/>
    <w:uiPriority w:val="0"/>
    <w:pPr>
      <w:jc w:val="left"/>
    </w:pPr>
  </w:style>
  <w:style w:type="paragraph" w:styleId="21">
    <w:name w:val="List Bullet 3"/>
    <w:basedOn w:val="1"/>
    <w:qFormat/>
    <w:uiPriority w:val="0"/>
    <w:pPr>
      <w:numPr>
        <w:ilvl w:val="0"/>
        <w:numId w:val="6"/>
      </w:numPr>
    </w:pPr>
  </w:style>
  <w:style w:type="paragraph" w:styleId="22">
    <w:name w:val="List Number 3"/>
    <w:basedOn w:val="1"/>
    <w:qFormat/>
    <w:uiPriority w:val="0"/>
    <w:pPr>
      <w:numPr>
        <w:ilvl w:val="0"/>
        <w:numId w:val="7"/>
      </w:numPr>
    </w:pPr>
  </w:style>
  <w:style w:type="paragraph" w:styleId="23">
    <w:name w:val="List 2"/>
    <w:basedOn w:val="1"/>
    <w:qFormat/>
    <w:uiPriority w:val="0"/>
    <w:pPr>
      <w:ind w:left="100" w:leftChars="200" w:hanging="200" w:hangingChars="200"/>
    </w:pPr>
  </w:style>
  <w:style w:type="paragraph" w:styleId="24">
    <w:name w:val="List Continue"/>
    <w:basedOn w:val="1"/>
    <w:qFormat/>
    <w:uiPriority w:val="0"/>
    <w:pPr>
      <w:numPr>
        <w:ilvl w:val="0"/>
        <w:numId w:val="8"/>
      </w:numPr>
      <w:spacing w:after="120" w:afterLines="0" w:afterAutospacing="0"/>
      <w:ind w:left="0" w:leftChars="200" w:firstLine="0" w:firstLineChars="0"/>
    </w:pPr>
  </w:style>
  <w:style w:type="paragraph" w:styleId="25">
    <w:name w:val="Block Text"/>
    <w:basedOn w:val="7"/>
    <w:next w:val="7"/>
    <w:unhideWhenUsed/>
    <w:qFormat/>
    <w:uiPriority w:val="9"/>
    <w:pPr>
      <w:spacing w:before="100" w:after="100"/>
      <w:ind w:left="480" w:right="480" w:firstLine="0"/>
    </w:pPr>
  </w:style>
  <w:style w:type="paragraph" w:styleId="26">
    <w:name w:val="List Bullet 2"/>
    <w:basedOn w:val="1"/>
    <w:qFormat/>
    <w:uiPriority w:val="0"/>
    <w:pPr>
      <w:numPr>
        <w:ilvl w:val="0"/>
        <w:numId w:val="9"/>
      </w:numPr>
    </w:pPr>
  </w:style>
  <w:style w:type="paragraph" w:styleId="27">
    <w:name w:val="List Bullet 5"/>
    <w:basedOn w:val="1"/>
    <w:qFormat/>
    <w:uiPriority w:val="0"/>
    <w:pPr>
      <w:numPr>
        <w:ilvl w:val="0"/>
        <w:numId w:val="10"/>
      </w:numPr>
    </w:pPr>
  </w:style>
  <w:style w:type="paragraph" w:styleId="28">
    <w:name w:val="List Number 4"/>
    <w:basedOn w:val="1"/>
    <w:qFormat/>
    <w:uiPriority w:val="0"/>
    <w:pPr>
      <w:numPr>
        <w:ilvl w:val="0"/>
        <w:numId w:val="11"/>
      </w:numPr>
    </w:pPr>
  </w:style>
  <w:style w:type="paragraph" w:styleId="29">
    <w:name w:val="Date"/>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styleId="30">
    <w:name w:val="endnote text"/>
    <w:basedOn w:val="1"/>
    <w:qFormat/>
    <w:uiPriority w:val="0"/>
    <w:pPr>
      <w:snapToGrid w:val="0"/>
      <w:jc w:val="left"/>
    </w:pPr>
  </w:style>
  <w:style w:type="paragraph" w:styleId="31">
    <w:name w:val="Balloon Text"/>
    <w:basedOn w:val="1"/>
    <w:qFormat/>
    <w:uiPriority w:val="0"/>
    <w:pPr>
      <w:ind w:firstLine="0" w:firstLineChars="0"/>
    </w:pPr>
    <w:rPr>
      <w:sz w:val="18"/>
    </w:rPr>
  </w:style>
  <w:style w:type="paragraph" w:styleId="32">
    <w:name w:val="footer"/>
    <w:basedOn w:val="1"/>
    <w:qFormat/>
    <w:uiPriority w:val="0"/>
    <w:pPr>
      <w:tabs>
        <w:tab w:val="center" w:pos="4153"/>
        <w:tab w:val="right" w:pos="8306"/>
      </w:tabs>
      <w:snapToGrid w:val="0"/>
      <w:jc w:val="left"/>
    </w:pPr>
    <w:rPr>
      <w:sz w:val="18"/>
    </w:rPr>
  </w:style>
  <w:style w:type="paragraph" w:styleId="3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34">
    <w:name w:val="toc 1"/>
    <w:basedOn w:val="1"/>
    <w:next w:val="1"/>
    <w:qFormat/>
    <w:uiPriority w:val="0"/>
  </w:style>
  <w:style w:type="paragraph" w:styleId="35">
    <w:name w:val="Subtitle"/>
    <w:basedOn w:val="36"/>
    <w:next w:val="7"/>
    <w:qFormat/>
    <w:uiPriority w:val="0"/>
    <w:pPr>
      <w:keepNext/>
      <w:keepLines/>
      <w:spacing w:before="240" w:after="240"/>
      <w:jc w:val="center"/>
    </w:pPr>
    <w:rPr>
      <w:rFonts w:ascii="微软雅黑" w:hAnsi="微软雅黑"/>
      <w:sz w:val="30"/>
      <w:szCs w:val="30"/>
    </w:rPr>
  </w:style>
  <w:style w:type="paragraph" w:styleId="36">
    <w:name w:val="Title"/>
    <w:basedOn w:val="1"/>
    <w:qFormat/>
    <w:uiPriority w:val="0"/>
    <w:pPr>
      <w:spacing w:before="240" w:beforeLines="0" w:beforeAutospacing="0" w:after="60" w:afterLines="0" w:afterAutospacing="0"/>
      <w:jc w:val="center"/>
      <w:outlineLvl w:val="0"/>
    </w:pPr>
    <w:rPr>
      <w:rFonts w:ascii="Arial" w:hAnsi="Arial"/>
      <w:b/>
      <w:sz w:val="32"/>
    </w:rPr>
  </w:style>
  <w:style w:type="paragraph" w:styleId="37">
    <w:name w:val="List Number 5"/>
    <w:basedOn w:val="1"/>
    <w:qFormat/>
    <w:uiPriority w:val="0"/>
    <w:pPr>
      <w:numPr>
        <w:ilvl w:val="0"/>
        <w:numId w:val="12"/>
      </w:numPr>
    </w:pPr>
  </w:style>
  <w:style w:type="paragraph" w:styleId="38">
    <w:name w:val="List"/>
    <w:basedOn w:val="1"/>
    <w:qFormat/>
    <w:uiPriority w:val="0"/>
    <w:pPr>
      <w:ind w:left="200" w:hanging="200" w:hangingChars="200"/>
    </w:pPr>
  </w:style>
  <w:style w:type="paragraph" w:styleId="39">
    <w:name w:val="footnote text"/>
    <w:basedOn w:val="1"/>
    <w:unhideWhenUsed/>
    <w:qFormat/>
    <w:uiPriority w:val="9"/>
    <w:rPr>
      <w:rFonts w:ascii="微软雅黑" w:hAnsi="微软雅黑" w:eastAsia="微软雅黑"/>
    </w:rPr>
  </w:style>
  <w:style w:type="paragraph" w:styleId="40">
    <w:name w:val="List 5"/>
    <w:basedOn w:val="1"/>
    <w:qFormat/>
    <w:uiPriority w:val="0"/>
    <w:pPr>
      <w:ind w:left="100" w:leftChars="800" w:hanging="200" w:hangingChars="200"/>
    </w:pPr>
  </w:style>
  <w:style w:type="paragraph" w:styleId="41">
    <w:name w:val="table of figures"/>
    <w:basedOn w:val="1"/>
    <w:next w:val="1"/>
    <w:qFormat/>
    <w:uiPriority w:val="0"/>
    <w:pPr>
      <w:ind w:leftChars="0" w:firstLine="0" w:firstLineChars="0"/>
      <w:jc w:val="left"/>
    </w:pPr>
    <w:rPr>
      <w:rFonts w:ascii="微软雅黑" w:hAnsi="微软雅黑" w:eastAsia="微软雅黑"/>
    </w:rPr>
  </w:style>
  <w:style w:type="paragraph" w:styleId="42">
    <w:name w:val="List 4"/>
    <w:basedOn w:val="1"/>
    <w:qFormat/>
    <w:uiPriority w:val="0"/>
    <w:pPr>
      <w:ind w:left="100" w:leftChars="600" w:hanging="200" w:hangingChars="200"/>
    </w:pPr>
  </w:style>
  <w:style w:type="paragraph" w:styleId="43">
    <w:name w:val="List Continue 2"/>
    <w:basedOn w:val="1"/>
    <w:qFormat/>
    <w:uiPriority w:val="0"/>
    <w:pPr>
      <w:spacing w:after="120" w:afterLines="0" w:afterAutospacing="0"/>
      <w:ind w:left="840" w:leftChars="400"/>
    </w:pPr>
  </w:style>
  <w:style w:type="paragraph" w:styleId="4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45">
    <w:name w:val="Normal (Web)"/>
    <w:basedOn w:val="1"/>
    <w:qFormat/>
    <w:uiPriority w:val="0"/>
    <w:pPr>
      <w:spacing w:before="-2147483648" w:beforeAutospacing="1" w:after="-2147483648" w:afterAutospacing="1"/>
      <w:ind w:left="0" w:right="0" w:firstLine="560" w:firstLineChars="200"/>
      <w:jc w:val="both"/>
    </w:pPr>
    <w:rPr>
      <w:rFonts w:ascii="微软雅黑" w:hAnsi="微软雅黑" w:eastAsia="微软雅黑"/>
      <w:lang w:eastAsia="zh-CN" w:bidi="ar"/>
    </w:rPr>
  </w:style>
  <w:style w:type="paragraph" w:styleId="46">
    <w:name w:val="List Continue 3"/>
    <w:basedOn w:val="1"/>
    <w:qFormat/>
    <w:uiPriority w:val="0"/>
    <w:pPr>
      <w:spacing w:after="120" w:afterLines="0" w:afterAutospacing="0"/>
      <w:ind w:left="1260" w:leftChars="600"/>
    </w:pPr>
  </w:style>
  <w:style w:type="paragraph" w:styleId="47">
    <w:name w:val="index 1"/>
    <w:basedOn w:val="1"/>
    <w:next w:val="1"/>
    <w:qFormat/>
    <w:uiPriority w:val="0"/>
  </w:style>
  <w:style w:type="paragraph" w:styleId="48">
    <w:name w:val="index 2"/>
    <w:basedOn w:val="1"/>
    <w:next w:val="1"/>
    <w:qFormat/>
    <w:uiPriority w:val="0"/>
    <w:pPr>
      <w:ind w:left="200" w:leftChars="200"/>
    </w:pPr>
  </w:style>
  <w:style w:type="paragraph" w:styleId="49">
    <w:name w:val="annotation subject"/>
    <w:basedOn w:val="20"/>
    <w:next w:val="20"/>
    <w:qFormat/>
    <w:uiPriority w:val="0"/>
    <w:rPr>
      <w:b/>
    </w:rPr>
  </w:style>
  <w:style w:type="character" w:styleId="52">
    <w:name w:val="endnote reference"/>
    <w:basedOn w:val="51"/>
    <w:qFormat/>
    <w:uiPriority w:val="0"/>
    <w:rPr>
      <w:vertAlign w:val="superscript"/>
    </w:rPr>
  </w:style>
  <w:style w:type="character" w:styleId="53">
    <w:name w:val="page number"/>
    <w:basedOn w:val="51"/>
    <w:qFormat/>
    <w:uiPriority w:val="0"/>
  </w:style>
  <w:style w:type="character" w:styleId="54">
    <w:name w:val="Emphasis"/>
    <w:basedOn w:val="51"/>
    <w:qFormat/>
    <w:uiPriority w:val="0"/>
    <w:rPr>
      <w:i/>
    </w:rPr>
  </w:style>
  <w:style w:type="character" w:styleId="55">
    <w:name w:val="line number"/>
    <w:basedOn w:val="51"/>
    <w:qFormat/>
    <w:uiPriority w:val="0"/>
  </w:style>
  <w:style w:type="character" w:styleId="56">
    <w:name w:val="Hyperlink"/>
    <w:basedOn w:val="57"/>
    <w:qFormat/>
    <w:uiPriority w:val="0"/>
    <w:rPr>
      <w:color w:val="0070C0"/>
      <w:u w:val="single"/>
    </w:rPr>
  </w:style>
  <w:style w:type="character" w:customStyle="1" w:styleId="57">
    <w:name w:val="Body Text Char"/>
    <w:basedOn w:val="51"/>
    <w:link w:val="7"/>
    <w:qFormat/>
    <w:uiPriority w:val="0"/>
    <w:rPr>
      <w:rFonts w:ascii="微软雅黑" w:hAnsi="微软雅黑" w:eastAsia="微软雅黑"/>
    </w:rPr>
  </w:style>
  <w:style w:type="character" w:styleId="58">
    <w:name w:val="annotation reference"/>
    <w:basedOn w:val="51"/>
    <w:qFormat/>
    <w:uiPriority w:val="0"/>
    <w:rPr>
      <w:sz w:val="21"/>
    </w:rPr>
  </w:style>
  <w:style w:type="character" w:styleId="59">
    <w:name w:val="footnote reference"/>
    <w:basedOn w:val="57"/>
    <w:qFormat/>
    <w:uiPriority w:val="0"/>
    <w:rPr>
      <w:vertAlign w:val="superscript"/>
    </w:rPr>
  </w:style>
  <w:style w:type="paragraph" w:customStyle="1" w:styleId="60">
    <w:name w:val="First Paragraph"/>
    <w:basedOn w:val="7"/>
    <w:next w:val="7"/>
    <w:qFormat/>
    <w:uiPriority w:val="0"/>
    <w:pPr>
      <w:ind w:firstLine="720" w:firstLineChars="200"/>
      <w:jc w:val="both"/>
    </w:pPr>
  </w:style>
  <w:style w:type="paragraph" w:customStyle="1" w:styleId="61">
    <w:name w:val="Compact"/>
    <w:basedOn w:val="7"/>
    <w:qFormat/>
    <w:uiPriority w:val="0"/>
    <w:pPr>
      <w:spacing w:before="36" w:after="36"/>
    </w:pPr>
  </w:style>
  <w:style w:type="paragraph" w:customStyle="1" w:styleId="62">
    <w:name w:val="Author"/>
    <w:next w:val="7"/>
    <w:qFormat/>
    <w:uiPriority w:val="0"/>
    <w:pPr>
      <w:keepNext/>
      <w:keepLines/>
      <w:spacing w:after="200"/>
      <w:jc w:val="center"/>
    </w:pPr>
    <w:rPr>
      <w:rFonts w:ascii="微软雅黑" w:hAnsi="微软雅黑" w:eastAsia="微软雅黑" w:cstheme="minorBidi"/>
      <w:sz w:val="24"/>
      <w:szCs w:val="24"/>
      <w:lang w:val="en-US" w:eastAsia="en-US" w:bidi="ar-SA"/>
    </w:rPr>
  </w:style>
  <w:style w:type="paragraph" w:customStyle="1" w:styleId="63">
    <w:name w:val="Abstract Title"/>
    <w:basedOn w:val="1"/>
    <w:next w:val="64"/>
    <w:qFormat/>
    <w:uiPriority w:val="0"/>
    <w:pPr>
      <w:keepNext/>
      <w:keepLines/>
      <w:spacing w:before="300" w:after="0"/>
      <w:jc w:val="center"/>
    </w:pPr>
    <w:rPr>
      <w:b/>
      <w:color w:val="345A8A"/>
      <w:sz w:val="20"/>
      <w:szCs w:val="20"/>
    </w:rPr>
  </w:style>
  <w:style w:type="paragraph" w:customStyle="1" w:styleId="64">
    <w:name w:val="Abstract"/>
    <w:basedOn w:val="1"/>
    <w:next w:val="7"/>
    <w:qFormat/>
    <w:uiPriority w:val="0"/>
    <w:pPr>
      <w:keepNext/>
      <w:keepLines/>
      <w:spacing w:before="100" w:after="300"/>
    </w:pPr>
    <w:rPr>
      <w:rFonts w:ascii="微软雅黑" w:hAnsi="微软雅黑" w:eastAsia="微软雅黑"/>
      <w:sz w:val="20"/>
      <w:szCs w:val="20"/>
    </w:rPr>
  </w:style>
  <w:style w:type="paragraph" w:customStyle="1" w:styleId="65">
    <w:name w:val="Bibliography"/>
    <w:basedOn w:val="1"/>
    <w:qFormat/>
    <w:uiPriority w:val="0"/>
  </w:style>
  <w:style w:type="paragraph" w:customStyle="1" w:styleId="66">
    <w:name w:val="Footnote Block Text"/>
    <w:unhideWhenUsed/>
    <w:qFormat/>
    <w:uiPriority w:val="9"/>
    <w:pPr>
      <w:spacing w:before="100" w:after="100"/>
      <w:ind w:left="480" w:right="480" w:firstLine="0"/>
    </w:pPr>
    <w:rPr>
      <w:rFonts w:asciiTheme="minorHAnsi" w:hAnsiTheme="minorHAnsi" w:eastAsiaTheme="minorHAnsi" w:cstheme="minorBidi"/>
      <w:sz w:val="24"/>
      <w:szCs w:val="24"/>
      <w:lang w:val="en-US" w:eastAsia="en-US" w:bidi="ar-SA"/>
    </w:rPr>
  </w:style>
  <w:style w:type="table" w:customStyle="1" w:styleId="6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customStyle="1" w:styleId="68">
    <w:name w:val="Definition Term"/>
    <w:basedOn w:val="1"/>
    <w:next w:val="69"/>
    <w:qFormat/>
    <w:uiPriority w:val="0"/>
    <w:pPr>
      <w:keepNext/>
      <w:keepLines/>
      <w:spacing w:after="0"/>
    </w:pPr>
    <w:rPr>
      <w:rFonts w:ascii="微软雅黑" w:hAnsi="微软雅黑" w:eastAsia="微软雅黑"/>
      <w:b/>
    </w:rPr>
  </w:style>
  <w:style w:type="paragraph" w:customStyle="1" w:styleId="69">
    <w:name w:val="Definition"/>
    <w:basedOn w:val="1"/>
    <w:qFormat/>
    <w:uiPriority w:val="0"/>
    <w:rPr>
      <w:rFonts w:ascii="微软雅黑" w:hAnsi="微软雅黑" w:eastAsia="微软雅黑"/>
    </w:rPr>
  </w:style>
  <w:style w:type="paragraph" w:customStyle="1" w:styleId="70">
    <w:name w:val="Table Caption"/>
    <w:basedOn w:val="17"/>
    <w:qFormat/>
    <w:uiPriority w:val="0"/>
    <w:pPr>
      <w:keepNext/>
    </w:pPr>
    <w:rPr>
      <w:rFonts w:ascii="微软雅黑" w:hAnsi="微软雅黑" w:eastAsia="微软雅黑"/>
    </w:rPr>
  </w:style>
  <w:style w:type="paragraph" w:customStyle="1" w:styleId="71">
    <w:name w:val="Image Caption"/>
    <w:basedOn w:val="17"/>
    <w:qFormat/>
    <w:uiPriority w:val="0"/>
    <w:rPr>
      <w:rFonts w:ascii="微软雅黑" w:hAnsi="微软雅黑" w:eastAsia="微软雅黑"/>
    </w:rPr>
  </w:style>
  <w:style w:type="paragraph" w:customStyle="1" w:styleId="72">
    <w:name w:val="Figure"/>
    <w:basedOn w:val="1"/>
    <w:qFormat/>
    <w:uiPriority w:val="0"/>
  </w:style>
  <w:style w:type="paragraph" w:customStyle="1" w:styleId="73">
    <w:name w:val="Captioned Figure"/>
    <w:basedOn w:val="72"/>
    <w:qFormat/>
    <w:uiPriority w:val="0"/>
    <w:pPr>
      <w:keepNext/>
    </w:pPr>
  </w:style>
  <w:style w:type="character" w:customStyle="1" w:styleId="74">
    <w:name w:val="Verbatim Char"/>
    <w:basedOn w:val="57"/>
    <w:qFormat/>
    <w:uiPriority w:val="0"/>
    <w:rPr>
      <w:rFonts w:ascii="Copperplate" w:hAnsi="Copperplate"/>
      <w:sz w:val="22"/>
    </w:rPr>
  </w:style>
  <w:style w:type="character" w:customStyle="1" w:styleId="75">
    <w:name w:val="Section Number"/>
    <w:basedOn w:val="57"/>
    <w:qFormat/>
    <w:uiPriority w:val="0"/>
  </w:style>
  <w:style w:type="paragraph" w:customStyle="1" w:styleId="76">
    <w:name w:val="TOC Heading"/>
    <w:basedOn w:val="2"/>
    <w:next w:val="7"/>
    <w:unhideWhenUsed/>
    <w:qFormat/>
    <w:uiPriority w:val="39"/>
    <w:pPr>
      <w:tabs>
        <w:tab w:val="left" w:pos="0"/>
      </w:tabs>
      <w:spacing w:before="240" w:line="259" w:lineRule="auto"/>
      <w:outlineLvl w:val="9"/>
    </w:pPr>
    <w:rPr>
      <w:rFonts w:asciiTheme="majorHAnsi" w:hAnsiTheme="majorHAnsi" w:eastAsiaTheme="majorEastAsia" w:cstheme="majorBidi"/>
      <w:b w:val="0"/>
      <w:color w:val="366091" w:themeColor="accent1" w:themeShade="BF"/>
    </w:rPr>
  </w:style>
  <w:style w:type="paragraph" w:customStyle="1" w:styleId="77">
    <w:name w:val="Source Code"/>
    <w:qFormat/>
    <w:uiPriority w:val="0"/>
    <w:pPr>
      <w:wordWrap w:val="0"/>
    </w:pPr>
    <w:rPr>
      <w:rFonts w:asciiTheme="minorHAnsi" w:hAnsiTheme="minorHAnsi" w:eastAsiaTheme="minorHAnsi" w:cstheme="minorBidi"/>
    </w:rPr>
  </w:style>
  <w:style w:type="character" w:customStyle="1" w:styleId="78">
    <w:name w:val="KeywordTok"/>
    <w:qFormat/>
    <w:uiPriority w:val="0"/>
    <w:rPr>
      <w:b/>
      <w:color w:val="007020"/>
    </w:rPr>
  </w:style>
  <w:style w:type="character" w:customStyle="1" w:styleId="79">
    <w:name w:val="DataTypeTok"/>
    <w:qFormat/>
    <w:uiPriority w:val="0"/>
    <w:rPr>
      <w:color w:val="902000"/>
    </w:rPr>
  </w:style>
  <w:style w:type="character" w:customStyle="1" w:styleId="80">
    <w:name w:val="DecValTok"/>
    <w:qFormat/>
    <w:uiPriority w:val="0"/>
    <w:rPr>
      <w:color w:val="40A070"/>
    </w:rPr>
  </w:style>
  <w:style w:type="character" w:customStyle="1" w:styleId="81">
    <w:name w:val="BaseNTok"/>
    <w:qFormat/>
    <w:uiPriority w:val="0"/>
    <w:rPr>
      <w:color w:val="40A070"/>
    </w:rPr>
  </w:style>
  <w:style w:type="character" w:customStyle="1" w:styleId="82">
    <w:name w:val="FloatTok"/>
    <w:qFormat/>
    <w:uiPriority w:val="0"/>
    <w:rPr>
      <w:color w:val="40A070"/>
    </w:rPr>
  </w:style>
  <w:style w:type="character" w:customStyle="1" w:styleId="83">
    <w:name w:val="ConstantTok"/>
    <w:qFormat/>
    <w:uiPriority w:val="0"/>
    <w:rPr>
      <w:color w:val="880000"/>
    </w:rPr>
  </w:style>
  <w:style w:type="character" w:customStyle="1" w:styleId="84">
    <w:name w:val="CharTok"/>
    <w:qFormat/>
    <w:uiPriority w:val="0"/>
    <w:rPr>
      <w:color w:val="4070A0"/>
    </w:rPr>
  </w:style>
  <w:style w:type="character" w:customStyle="1" w:styleId="85">
    <w:name w:val="SpecialCharTok"/>
    <w:qFormat/>
    <w:uiPriority w:val="0"/>
    <w:rPr>
      <w:color w:val="4070A0"/>
    </w:rPr>
  </w:style>
  <w:style w:type="character" w:customStyle="1" w:styleId="86">
    <w:name w:val="StringTok"/>
    <w:qFormat/>
    <w:uiPriority w:val="0"/>
    <w:rPr>
      <w:color w:val="4070A0"/>
    </w:rPr>
  </w:style>
  <w:style w:type="character" w:customStyle="1" w:styleId="87">
    <w:name w:val="VerbatimStringTok"/>
    <w:qFormat/>
    <w:uiPriority w:val="0"/>
    <w:rPr>
      <w:color w:val="4070A0"/>
    </w:rPr>
  </w:style>
  <w:style w:type="character" w:customStyle="1" w:styleId="88">
    <w:name w:val="SpecialStringTok"/>
    <w:qFormat/>
    <w:uiPriority w:val="0"/>
    <w:rPr>
      <w:color w:val="BB6688"/>
    </w:rPr>
  </w:style>
  <w:style w:type="character" w:customStyle="1" w:styleId="89">
    <w:name w:val="ImportTok"/>
    <w:qFormat/>
    <w:uiPriority w:val="0"/>
    <w:rPr>
      <w:b/>
      <w:color w:val="008000"/>
    </w:rPr>
  </w:style>
  <w:style w:type="character" w:customStyle="1" w:styleId="90">
    <w:name w:val="CommentTok"/>
    <w:qFormat/>
    <w:uiPriority w:val="0"/>
    <w:rPr>
      <w:i/>
      <w:color w:val="60A0B0"/>
    </w:rPr>
  </w:style>
  <w:style w:type="character" w:customStyle="1" w:styleId="91">
    <w:name w:val="DocumentationTok"/>
    <w:qFormat/>
    <w:uiPriority w:val="0"/>
    <w:rPr>
      <w:i/>
      <w:color w:val="BA2121"/>
    </w:rPr>
  </w:style>
  <w:style w:type="character" w:customStyle="1" w:styleId="92">
    <w:name w:val="AnnotationTok"/>
    <w:qFormat/>
    <w:uiPriority w:val="0"/>
    <w:rPr>
      <w:b/>
      <w:i/>
      <w:color w:val="60A0B0"/>
    </w:rPr>
  </w:style>
  <w:style w:type="character" w:customStyle="1" w:styleId="93">
    <w:name w:val="CommentVarTok"/>
    <w:qFormat/>
    <w:uiPriority w:val="0"/>
    <w:rPr>
      <w:b/>
      <w:i/>
      <w:color w:val="60A0B0"/>
    </w:rPr>
  </w:style>
  <w:style w:type="character" w:customStyle="1" w:styleId="94">
    <w:name w:val="OtherTok"/>
    <w:qFormat/>
    <w:uiPriority w:val="0"/>
    <w:rPr>
      <w:color w:val="007020"/>
    </w:rPr>
  </w:style>
  <w:style w:type="character" w:customStyle="1" w:styleId="95">
    <w:name w:val="FunctionTok"/>
    <w:qFormat/>
    <w:uiPriority w:val="0"/>
    <w:rPr>
      <w:color w:val="06287E"/>
    </w:rPr>
  </w:style>
  <w:style w:type="character" w:customStyle="1" w:styleId="96">
    <w:name w:val="VariableTok"/>
    <w:qFormat/>
    <w:uiPriority w:val="0"/>
    <w:rPr>
      <w:color w:val="19177C"/>
    </w:rPr>
  </w:style>
  <w:style w:type="character" w:customStyle="1" w:styleId="97">
    <w:name w:val="ControlFlowTok"/>
    <w:qFormat/>
    <w:uiPriority w:val="0"/>
    <w:rPr>
      <w:b/>
      <w:color w:val="007020"/>
    </w:rPr>
  </w:style>
  <w:style w:type="character" w:customStyle="1" w:styleId="98">
    <w:name w:val="OperatorTok"/>
    <w:qFormat/>
    <w:uiPriority w:val="0"/>
    <w:rPr>
      <w:color w:val="666666"/>
    </w:rPr>
  </w:style>
  <w:style w:type="character" w:customStyle="1" w:styleId="99">
    <w:name w:val="BuiltInTok"/>
    <w:qFormat/>
    <w:uiPriority w:val="0"/>
    <w:rPr>
      <w:color w:val="008000"/>
    </w:rPr>
  </w:style>
  <w:style w:type="character" w:customStyle="1" w:styleId="100">
    <w:name w:val="ExtensionTok"/>
    <w:qFormat/>
    <w:uiPriority w:val="0"/>
  </w:style>
  <w:style w:type="character" w:customStyle="1" w:styleId="101">
    <w:name w:val="PreprocessorTok"/>
    <w:qFormat/>
    <w:uiPriority w:val="0"/>
    <w:rPr>
      <w:color w:val="BC7A00"/>
    </w:rPr>
  </w:style>
  <w:style w:type="character" w:customStyle="1" w:styleId="102">
    <w:name w:val="AttributeTok"/>
    <w:qFormat/>
    <w:uiPriority w:val="0"/>
    <w:rPr>
      <w:color w:val="7D9029"/>
    </w:rPr>
  </w:style>
  <w:style w:type="character" w:customStyle="1" w:styleId="103">
    <w:name w:val="RegionMarkerTok"/>
    <w:qFormat/>
    <w:uiPriority w:val="0"/>
  </w:style>
  <w:style w:type="character" w:customStyle="1" w:styleId="104">
    <w:name w:val="InformationTok"/>
    <w:qFormat/>
    <w:uiPriority w:val="0"/>
    <w:rPr>
      <w:b/>
      <w:i/>
      <w:color w:val="60A0B0"/>
    </w:rPr>
  </w:style>
  <w:style w:type="character" w:customStyle="1" w:styleId="105">
    <w:name w:val="WarningTok"/>
    <w:qFormat/>
    <w:uiPriority w:val="0"/>
    <w:rPr>
      <w:b/>
      <w:i/>
      <w:color w:val="60A0B0"/>
    </w:rPr>
  </w:style>
  <w:style w:type="character" w:customStyle="1" w:styleId="106">
    <w:name w:val="AlertTok"/>
    <w:qFormat/>
    <w:uiPriority w:val="0"/>
    <w:rPr>
      <w:b/>
      <w:color w:val="FF0000"/>
    </w:rPr>
  </w:style>
  <w:style w:type="character" w:customStyle="1" w:styleId="107">
    <w:name w:val="ErrorTok"/>
    <w:qFormat/>
    <w:uiPriority w:val="0"/>
    <w:rPr>
      <w:b/>
      <w:color w:val="FF0000"/>
    </w:rPr>
  </w:style>
  <w:style w:type="character" w:customStyle="1" w:styleId="108">
    <w:name w:val="NormalTok"/>
    <w:qFormat/>
    <w:uiPriority w:val="0"/>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28</Pages>
  <Words>450</Words>
  <Characters>502</Characters>
  <Lines>1</Lines>
  <Paragraphs>1</Paragraphs>
  <TotalTime>12</TotalTime>
  <ScaleCrop>false</ScaleCrop>
  <LinksUpToDate>false</LinksUpToDate>
  <CharactersWithSpaces>502</CharactersWithSpaces>
  <Application>WPS Office WWO_wpscloud_20250925191819-314b3f48ed</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2024-11-15T15:05:00Z</dcterms:created>
  <dc:creator>bowen</dc:creator>
  <cp:lastModifiedBy>张运哲</cp:lastModifiedBy>
  <dcterms:modified xsi:type="dcterms:W3CDTF">2025-09-29T15:25:15Z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2052-12.9.0.23117</vt:lpwstr>
  </property>
  <property fmtid="{D5CDD505-2E9C-101B-9397-08002B2CF9AE}" pid="3" name="ICV">
    <vt:lpwstr>248CA56D74C38BE75B34DA6897DFD300_43</vt:lpwstr>
  </property>
  <property fmtid="{D5CDD505-2E9C-101B-9397-08002B2CF9AE}" pid="4" name="KSOTemplateDocerSaveRecord">
    <vt:lpwstr>eyJoZGlkIjoiNzI4YmNmYThhZjA0NTVhODllNDhjMGZiNmFkMDJjN2YiLCJ1c2VySWQiOiIxNjA5OTI0MDI0In0=</vt:lpwstr>
  </property>
</Properties>
</file>