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765B5">
      <w:pPr>
        <w:pStyle w:val="2"/>
      </w:pPr>
    </w:p>
    <w:p w14:paraId="208CBF7C">
      <w:pPr>
        <w:pStyle w:val="2"/>
        <w:ind w:left="0" w:leftChars="0" w:firstLine="0" w:firstLineChars="0"/>
      </w:pPr>
      <w:r>
        <w:t>干变浇注车间浇注转运RGV技术手册</w:t>
      </w:r>
    </w:p>
    <w:p w14:paraId="31D54DFF">
      <w:pPr>
        <w:pStyle w:val="3"/>
      </w:pPr>
      <w:r>
        <w:t>一、RGV概述与应用场景</w:t>
      </w:r>
    </w:p>
    <w:p w14:paraId="3323D6FF">
      <w:pPr>
        <w:pStyle w:val="4"/>
      </w:pPr>
      <w:r>
        <w:t>1.1 RGV基本定义与分类</w:t>
      </w:r>
    </w:p>
    <w:p w14:paraId="57178F12">
      <w:r>
        <w:t>RGV（轨式自动导车，又称轨道穿梭车）是一种沿固定轨道运行的自动化物料搬运设备，其核心功能是在预设轨道上实现物料的精准转运与定位，广泛应用于工业生产中的物料流转环节。作为自动化物流系统的关键设备，RGV具有结构简单、运行稳定、维护成本低等特点，对外部环境抗干扰能力强，能适应高温、粉尘等复杂生产场景。</w:t>
      </w:r>
    </w:p>
    <w:p w14:paraId="0C7DA3B4">
      <w:r>
        <w:t>根据功能差异，RGV可分为组装型和运输型两类。组装型RGV主要用于车间内物料的组装对接，具备多工位协同作业能力；运输型RGV则专注于物料的点对点转运，承载能力强，运行效率高，是干变浇注车间的主要应用类型。根据运动模式，RGV可分为环轨式和直线往复式：环轨式RGV系统通过环形轨道布局，支持多车同时工作，作业效率较高，适用于大规模、多节点的物料转运需求；直线往复式RGV通常为单辆车运行，沿直线轨道在两个或多个工位间往返，结构简单但效率相对较低，适用于固定路径的物料转运。</w:t>
      </w:r>
    </w:p>
    <w:p w14:paraId="6A935988">
      <w:r>
        <w:t>在干式变压器生产中，运输型直线往复式RGV应用最为广泛。由于干变浇注过程涉及变压器线圈、模具等重型工件（重量可达数百公斤至数吨）的转运，RGV凭借其承载能力强（部分型号可达1-300吨）、运行精度高的优势，能够满足从原料区到浇注工位、浇注工位到固化炉、固化炉到后续加工区域的全流程物料转运需求，实现生产环节的无缝衔接。</w:t>
      </w:r>
    </w:p>
    <w:p w14:paraId="494CE3D5">
      <w:pPr>
        <w:pStyle w:val="4"/>
      </w:pPr>
      <w:r>
        <w:t>1.2 干变浇注车间RGV应用价值</w:t>
      </w:r>
    </w:p>
    <w:p w14:paraId="1D181B55">
      <w:r>
        <w:t>干变浇注车间是干式变压器生产的核心环节，涉及环氧树脂浇注、固化等关键工艺，对物料转运的稳定性、精准性和安全性要求极高。RGV在该场景中的应用价值主要体现在以下方面：</w:t>
      </w:r>
    </w:p>
    <w:p w14:paraId="222F83C2">
      <w:r>
        <w:t>首先，提升转运效率与精度。传统人工搬运或叉车运输存在承载能力有限、定位误差大（通常超过±10mm）、人力成本高等问题，而RGV通过伺服驱动系统和精密定位机构，可实现±0.5mm级的定位精度，确保模具与浇注工位、固化炉的精准对接。以某车间为例，采用RGV后，单次物料转运时间从人工搬运的15分钟缩短至3分钟，每小时可完成20次以上转运任务，大幅提升了生产节奏。</w:t>
      </w:r>
    </w:p>
    <w:p w14:paraId="5B218D6F">
      <w:r>
        <w:t>其次，保障重载工况下的运行安全。干变浇注模具及工件总重可达数吨，RGV的加强型车架和多轮组设计（如6轮驱动配置）能有效分散载荷，配合制动系统（制动响应时间≤0.5秒），可在紧急情况下快速停车，避免重载物料滑落或碰撞事故。某案例显示，采用RGV后，车间物料转运事故率下降80%，直接减少因碰撞导致的模具损坏成本约10万元/年。</w:t>
      </w:r>
    </w:p>
    <w:p w14:paraId="0A431292">
      <w:r>
        <w:t>再次，适应车间特殊环境。干变浇注过程中存在高温（固化炉区域温度可达150℃）、粉尘（环氧树脂打磨粉尘）及化学蒸汽（树脂挥发物）等恶劣因素，RGV通过耐高温隔热设计（如硅酸铝棉隔热层）、防尘密封（IP65防护等级电气柜）及防腐蚀材质（304不锈钢车体），可在复杂环境下稳定运行，平均无故障运行时间（MTBF）达5000小时以上，远高于传统搬运设备。</w:t>
      </w:r>
    </w:p>
    <w:p w14:paraId="262F854B">
      <w:r>
        <w:t>最后，实现生产流程自动化衔接。RGV通过与车间MES系统、固化炉控制系统的实时数据交互，可自动识别物料批次信息、执行预设运输路径，并根据生产计划动态调整转运任务。例如，当某浇注工位完成作业后，RGV可自动接收指令将模具转运至固化炉，同时调度空模具至该工位，实现“无人化”生产流转，减少人工干预导致的流程中断。</w:t>
      </w:r>
    </w:p>
    <w:p w14:paraId="5FCCC786">
      <w:pPr>
        <w:pStyle w:val="4"/>
      </w:pPr>
      <w:r>
        <w:t>1.3 特殊环境设计要求</w:t>
      </w:r>
    </w:p>
    <w:p w14:paraId="70860EF8">
      <w:r>
        <w:t>干变浇注车间的高温、粉尘、化学腐蚀及重载工况，对RGV的环境适应性设计提出了特殊要求，具体包括以下方面：</w:t>
      </w:r>
    </w:p>
    <w:p w14:paraId="722005F8">
      <w:r>
        <w:t>耐高温设计是核心要求之一。环氧树脂固化过程需在60-180℃环境中进行，RGV在固化炉区域运行时，车体需采用双层隔热结构：内层为50mm厚硅酸铝棉隔热层，外层为镀铝锌钢板，可有效阻隔热量传递。关键电子元件如PLC、触摸屏需安装在独立温控箱内，内置200W散热风扇，确保箱内温度不超过45℃。电机及驱动部件需满足F级绝缘标准（允许温升100K），并配备温度传感器，当检测到环境温度超过60℃时自动切换至低速运行模式，避免元件过热老化。</w:t>
      </w:r>
    </w:p>
    <w:p w14:paraId="3F221C06">
      <w:r>
        <w:t>防腐蚀设计需应对环氧树脂蒸汽及清洗残留液体的侵蚀。车体主体采用304不锈钢材质，表面经喷砂+钝化处理形成致密氧化膜，耐盐雾性能达500小时以上。轨道系统选用热浸锌工艺处理的轻轨，配合氟橡胶密封圈实现电气柜的IP65防护等级，防止粉尘和液体侵入。运动部件如轴承、导轨采用固体润滑脂（而非传统润滑油），避免油脂遇高温碳化或与化学物质反应失效，同时在布线槽设置独立通风排气孔，防止挥发性气体积聚。</w:t>
      </w:r>
    </w:p>
    <w:p w14:paraId="3A6E2441">
      <w:r>
        <w:t>防爆与防静电设计保障生产安全。RGV的驱动系统采用无刷电机配合防爆型减速器（Ex d IIB T4级），所有外露接口配置防爆格兰头，避免电火花产生。车身需通过截面积不小于4mm²的接地线与车间接地网连接，接地电阻≤4Ω，同时在轨道接缝处加装铜质跨接线确保导电连续性，防止静电积聚引燃挥发性气体。操作面板及急停按钮需采用防爆型，按钮防护等级达IP66，可在粉尘环境下可靠操作。</w:t>
      </w:r>
    </w:p>
    <w:p w14:paraId="0F791DC3">
      <w:r>
        <w:t>粉尘防护设计确保设备稳定运行。激光定位传感器、光电开关等精密元件需配备自动清洁装置，每15分钟通过压缩空气吹扫镜头，防止树脂粉尘覆盖导致信号衰减（信号强度需维持在70%以上）。轨道系统需设置清轨器，可自动清除轨道表面的铁屑、树脂残渣等异物，避免车轮卡滞。电气柜通风口安装HEPA高效过滤器，过滤效率达99.97%，防止粉尘进入柜内造成短路故障。</w:t>
      </w:r>
    </w:p>
    <w:p w14:paraId="0DBDB783">
      <w:r>
        <w:t>重载与冲击吸收设计适应模具转运需求。针对变压器线圈及模具的重载特性（单套模具重量可达5吨），RGV的承载平台采用加强型框架结构，主梁厚度达12mm，关键焊缝进行无损探伤检测。平台下方安装4组螺旋弹簧减震器（刚度系数25N/mm），可吸收模具放置时产生的50%以上冲击能量，减少对车体结构的损伤。车轮组采用6轮配置（主动轮+从动轮组合），单个车轮额定承载能力达1.5吨，确保重载下的运行稳定性。</w:t>
      </w:r>
    </w:p>
    <w:p w14:paraId="00CAB13B">
      <w:pPr>
        <w:pStyle w:val="3"/>
      </w:pPr>
      <w:r>
        <w:t>二、RGV结构组成与功能特点</w:t>
      </w:r>
    </w:p>
    <w:p w14:paraId="2B7A99DC">
      <w:pPr>
        <w:pStyle w:val="4"/>
      </w:pPr>
      <w:r>
        <w:t>2.1 车架与承载系统</w:t>
      </w:r>
    </w:p>
    <w:p w14:paraId="21FD646D">
      <w:r>
        <w:t>车架是RGV的基础承载部件，其结构强度和稳定性直接影响设备的承载能力和运行精度。干变浇注车间RGV的车架采用Q235低碳钢材质，通过数控剪切、冲孔、折叠焊接而成，典型尺寸为长2800mm×宽1560mm×高400mm（3吨负载车型），主梁表面经酸洗喷涂防刮皱粉处理，增强耐用性。为提升刚性，车架设计中融入多处弧形元素（如边角圆弧过渡）和加强筋结构，加强筋厚度8mm，间距300mm，确保在额定载荷150%工况下无永久变形。</w:t>
      </w:r>
    </w:p>
    <w:p w14:paraId="7B6EC8A6">
      <w:r>
        <w:t>承载平台作为直接接触物料的部件，采用模块化设计，台面铺设5mm厚防滑橡胶垫，摩擦系数≥0.8，防止模具转运过程中滑移。平台四角集成气动定位销机构，定位销直径20mm，行程30mm，可与模具底部定位孔精准配合，定位误差≤±2mm。针对不同规格的变压器模具，承载平台可通过更换模块化面板实现快速适配，更换时间≤30分钟，提高设备通用性。</w:t>
      </w:r>
    </w:p>
    <w:p w14:paraId="44B25D2F">
      <w:r>
        <w:t>车架与承载系统的连接采用高强度螺栓（8.8级）紧固，螺栓预紧扭矩根据规格设定（如M12螺栓预紧扭矩35-40N·m），防止运行中松动。关键连接部位设置应变片传感器，实时监测结构应力变化，当应力超过设计值的80%时发出预警，避免过载导致的结构损坏。</w:t>
      </w:r>
    </w:p>
    <w:p w14:paraId="29B4207D">
      <w:pPr>
        <w:pStyle w:val="4"/>
      </w:pPr>
      <w:r>
        <w:t>2.2 驱动轮组与从动轮系统</w:t>
      </w:r>
    </w:p>
    <w:p w14:paraId="3A0A5E8D">
      <w:r>
        <w:t>驱动轮组是RGV的动力核心，直接影响设备的运行速度和承载能力。驱动轮采用45#钢精车淬火回火处理，轮缘硬度达HRC55-60，直径226mm，轮面宽度50mm，可适应轨道顶面宽度40mm的轻轨。驱动轮与传动系统的连接方式分为刚性传动和柔性传动：刚性传动通过键连接或胀紧套直接与减速器输出轴固定，结构简单但对安装同轴度要求高（允许误差≤0.1mm）；柔性传动采用梅花联轴器连接，可补偿±0.2mm的安装误差和吸收振动，适用于重载或高速运行场景。</w:t>
      </w:r>
    </w:p>
    <w:p w14:paraId="6E5AAB99">
      <w:r>
        <w:t>驱动系统配置伺服电机+行星齿轮减速器组合，电机额定功率4.5KW，额定转速3000rpm，通过1:20的减速比后，车轮输出转速150rpm，对应运行速度：空载1.0-1.2m/s（3.6-4.32km/h），负载0.5-0.9m/s（1.8-3.24km/h）。电机配备绝对值编码器（分辨率1024线/圈），实现速度和位置的闭环控制，动态响应时间≤50ms。供电采用三相380V/50Hz滑触线系统，集电器从4m/段的铜条导轨取电，电阻率低（≤0.017Ω/m），电压损耗≤3%，确保动力稳定供应。</w:t>
      </w:r>
    </w:p>
    <w:p w14:paraId="0A15D076">
      <w:r>
        <w:t>从动轮（随动轮）与驱动轮配合实现车体平衡支撑，材质同样为45#钢，数量根据车架长度配置，每侧2-4个，轮径150mm，通过铰链机构与车架连接，可适应轨道±3mm的垂直偏差和±1mm/m的水平偏差。从动轮轴承选用深沟球轴承，额定动载荷≥50KN，确保在车体及货物总重（通常500kg-5t）作用下的使用寿命达10000小时以上。前后保险杠采用弹性聚氨酯材质，厚度50mm，具备机械防撞缓冲功能，碰撞变形量≤20mm时可自动恢复，同时配备光电传感器实现障碍物检测，检测距离0-3m可调，响应时间≤100ms。</w:t>
      </w:r>
    </w:p>
    <w:p w14:paraId="775A1926">
      <w:pPr>
        <w:pStyle w:val="4"/>
      </w:pPr>
      <w:r>
        <w:t>2.3 链条输送机与物料转运装置</w:t>
      </w:r>
    </w:p>
    <w:p w14:paraId="3E2D27C8">
      <w:r>
        <w:t>链条输送机是RGV实现物料自动装卸的核心部件，用于完成模具与浇注工位、固化炉的对接转运。输送机辊筒采用89×2.75mm精密焊管，表面经抛光、酸洗、磷化处理后喷涂热电涂层（耐高温200℃），防止环氧树脂粘连。辊筒间距150mm，通过链条传动连接，驱动电机为0.75KW变频电机，输送速度7-10m/min可调，满足不同工况下的转运效率需求。</w:t>
      </w:r>
    </w:p>
    <w:p w14:paraId="5F6D8AAA">
      <w:r>
        <w:t>双站车型设计中，链条输送机可实现单站最大1.5T的载荷能力，通过MES系统指令完成与装车站料斗的自动快速转换。输送机两侧设置导向挡板，高度100mm，间距可通过调节螺杆在800-1200mm范围内调整，适应不同宽度的模具。为确保物料居中输送，输送机中部安装光电对中传感器，当检测到模具偏移超过10mm时，通过两侧气缸推动挡板进行纠偏，纠偏时间≤2秒。</w:t>
      </w:r>
    </w:p>
    <w:p w14:paraId="311C9F66">
      <w:r>
        <w:t>链条张紧度需定期调整，张紧装置采用螺杆调节结构，通过测量链条下垂量控制张紧度：在两链轮中心距1.5m时，下垂量应控制在20-30mm（约1.5%跨度），避免过紧导致链条磨损加剧或过松导致跳齿。输送机底部设置接油盘，收集链条润滑油脂，防止滴落污染车间地面，接油盘需每日清洁，确保无积液。</w:t>
      </w:r>
    </w:p>
    <w:p w14:paraId="76F50CD5">
      <w:pPr>
        <w:pStyle w:val="4"/>
      </w:pPr>
      <w:r>
        <w:t>2.4 电气元件仓与安全防护装置</w:t>
      </w:r>
    </w:p>
    <w:p w14:paraId="1FD0F7F2">
      <w:r>
        <w:t>电气元件仓集成了RGV的控制核心与动力分配系统，采用密封式柜体结构，尺寸800mm×600mm×400mm，材质为2mm厚冷轧钢板，表面喷塑处理（RAL7035色），防护等级IP65。柜内布局遵循“强弱电分离”原则：上部安装PLC控制器（如西门子S7-1200系列）、人机界面（10.1英寸触摸屏）、通讯模块（无线Mesh或以太网模块）；下部安装断路器、接触器、变频器等强电元件；中部为接线端子排，采用凤凰端子，每个端子允许最大电流20A，确保接线牢固可靠。</w:t>
      </w:r>
    </w:p>
    <w:p w14:paraId="061AC87D">
      <w:r>
        <w:t>人机界面支持中文操作界面，可实时显示设备运行状态（速度、位置、电量）、故障报警信息（代码及处理建议）、任务进度等，具备手动/自动模式切换、参数设置（如运行速度、定位精度）、历史数据查询（最近100条故障记录）等功能。通讯模块支持PROFINET或Modbus协议，与上位机的通讯速率≥100Mbps，数据丢包率≤0.1%，确保调度指令的实时响应。</w:t>
      </w:r>
    </w:p>
    <w:p w14:paraId="3394D72D">
      <w:r>
        <w:t>安全防护装置是保障设备与人身安全的关键，包括以下组件：紧急停止按钮分布在车体前后两侧及操作面板，采用蘑菇头自锁式设计，按下后需顺时针旋转复位，触发时立即切断驱动电源，制动系统失电抱闸；激光障碍物传感器安装在车体前后保险杠下方，检测角度180°，检测距离0-3m可调，在0.2-0.5m危险区域检测到障碍物时触发减速或停车；急停拉绳沿车体两侧布置，拉动任意位置均可触发急停，响应时间≤100ms；安全光栅安装在输送机两侧，防护高度500mm，分辨率20mm，当光束被遮挡时立即停止输送机运行，防止人员手部进入危险区域。</w:t>
      </w:r>
    </w:p>
    <w:p w14:paraId="32D62AE3">
      <w:r>
        <w:t>此外，RGV还配备声光报警装置，在设备启动、运行、故障时发出不同频率的声光提示：启动时发出持续3秒的“滴滴”声+黄色闪烁灯光；运行时发出间歇“滴-滴”声+绿色常亮灯光；故障时发出连续蜂鸣声+红色闪烁灯光，提醒周围人员注意安全。</w:t>
      </w:r>
    </w:p>
    <w:p w14:paraId="35D857F1">
      <w:pPr>
        <w:pStyle w:val="3"/>
      </w:pPr>
      <w:r>
        <w:t>三、机械原理与传动系统分析</w:t>
      </w:r>
    </w:p>
    <w:p w14:paraId="27413F4E">
      <w:pPr>
        <w:pStyle w:val="4"/>
      </w:pPr>
      <w:r>
        <w:t>3.1 驱动系统工作原理</w:t>
      </w:r>
    </w:p>
    <w:p w14:paraId="2EDE7142">
      <w:r>
        <w:t>RGV驱动系统根据供电方式分为轨道供电式和蓄电池供电式两种，其工作原理与技术特点存在显著差异，适用于不同的应用场景。</w:t>
      </w:r>
    </w:p>
    <w:p w14:paraId="7A7D218B">
      <w:r>
        <w:t>轨道供电式驱动系统通过滑触线持续获取电力，是干变浇注车间重载、连续作业场景的主流选择。该系统由铜条导轨（4m/段，截面积10mm²）、集电器、电缆拖链及电源管理模块组成：铜条导轨沿轨道敷设，通过绝缘子固定在轨道侧面，集电器安装在RGV车体底部，通过碳刷与铜条接触取电，取电电流可达100A以上，满足重载驱动需求。电源管理模块将AC380V输入转换为DC24V（控制回路）和AC380V（电机回路），并配备过压、过流、缺相保护功能，当检测到电压波动超过±10%或电流超过额定值120%时，立即切断输出，保护设备安全。轨道供电式的核心优势在于无续航限制，可实现24小时不间断运行，避免了充电导致的停机时间，同时供电稳定性高，电压波动≤2%，确保驱动系统的平稳运行。但其缺点是轨道铺设工程量大，路径一旦确定后改造难度高，适合固定路径、高频次转运场景，如浇注工位与固化炉之间的直线往复转运。</w:t>
      </w:r>
    </w:p>
    <w:p w14:paraId="018CC644">
      <w:r>
        <w:t>蓄电池供电式驱动系统采用锂电池作为动力源，是中小负载、路径灵活场景的理想选择。目前主流配置为48V100AH磷酸铁锂电池，能量密度达150Wh/kg，体积较传统铅酸电池缩小40%，重量减轻约40%，支持RGV连续运行8-10小时（空载速度1m/s工况下）。锂电池配备BMS（电池管理系统），可实时监测单体电压（精度±5mV）、温度（精度±1℃）和充放电状态，实现过充（单体电压＞3.65V）、过放（单体电压＜2.5V）、短路（电流＞200A）保护，并通过CAN通讯协议与设备控制系统联动，提供电量预警（剩余电量＜20%时发出报警）和故障诊断（如电池均衡失效、温度异常）。充电方式支持手动充电（通过车载充电接口）和自动充电（通过地面充电座，对接精度±50mm），快充技术可实现1C充电（1小时充满80%容量），满足间歇作业场景的补能需求。蓄电池供电式的优势在于路径灵活性高，地面改造工程量小，适合需要频繁更换轨道或多路径切换的场景，如多工位柔性生产线；但其承载能力相对有限（通常≤5吨），且电池更换维护增加了管理成本。</w:t>
      </w:r>
    </w:p>
    <w:p w14:paraId="5E5A17F6">
      <w:r>
        <w:t>两种驱动系统的动力传递路径基本一致：外部电源（轨道或电池）→电源管理模块→伺服驱动器→伺服电机→减速机构→驱动轮。伺服驱动器接收PLC的速度指令（模拟量或脉冲信号），通过矢量控制算法调节电机输出扭矩和转速，电机编码器实时反馈转速和位置信号，形成闭环控制。以轨道供电式为例，当PLC发出“以0.8m/s速度运行至A工位”指令时，驱动器将指令转换为电机目标转速（根据轮径226mm计算，转速=0.8m/s×60/(π×0.226m)≈67rpm），通过PID调节实现转速稳定（波动≤±1%），同时编码器每旋转一圈产生1024个脉冲信号，PLC通过计数脉冲计算实际位置，当接近目标位置时，自动触发减速程序（S型减速曲线），确保精准停车。</w:t>
      </w:r>
    </w:p>
    <w:p w14:paraId="532B8B9F">
      <w:pPr>
        <w:pStyle w:val="4"/>
      </w:pPr>
      <w:r>
        <w:t>3.2 传动机构与动力传递</w:t>
      </w:r>
    </w:p>
    <w:p w14:paraId="6416BF90">
      <w:r>
        <w:t>RGV传动机构负责将电机动力传递至驱动轮，其结构形式直接影响动力传递效率、运行平稳性和定位精度，干变浇注车间常用的传动机构包括齿轮齿条传动和链条传动两种，配合不同的连接方式实现动力传递。</w:t>
      </w:r>
    </w:p>
    <w:p w14:paraId="0974203F">
      <w:r>
        <w:t>齿轮齿条传动是高精度、高负载场景的首选方案，广泛应用于干变浇注车间的RGV定位与驱动系统。该机构由斜齿轮（模数2-3，压力角20°）和齿条（长度1-3m/段，齿距6.28-9.42mm）组成，斜齿轮安装在减速器输出轴上，齿条沿轨道侧面固定。相比直齿轮，斜齿轮具有啮合平稳、承载能力高（重合度≥1.5）、噪音低（≤65dB）的优势，适合高速运行场景（最高速度可达3m/s）。动力传递路径为：电机输出扭矩→减速器放大扭矩（减速比1:20-1:50）→斜齿轮旋转→齿条固定不动→反作用力推动车体前进。为确保传动精度，齿条安装需满足严格的平行度要求（直线度误差≤0.1mm/m），齿轮与齿条的啮合间隙需控制在0.1-0.3mm，通过调整齿轮箱位置实现间隙调节。某案例显示，采用斜齿轮齿条传动的RGV，在高速运行（2m/s）时仍能保持±0.5mm的动态定位精度，满足模具对接的高精度需求。</w:t>
      </w:r>
    </w:p>
    <w:p w14:paraId="7A357D87">
      <w:r>
        <w:t>链条传动是中低速、大中心距场景的常用方案，主要应用于RGV的链条输送机系统。该机构由滚子链条（节距12.7-25.4mm）、链轮（齿数17-21齿）、张紧装置组成，通过链条与链轮的啮合传递动力。链条传动的优势在于结构简单、成本低、维护方便，可适应较大的中心距（最大可达3m），但其缺点是运行平稳性差（速度波动≤3%）、噪音较高（≥75dB），适合输送速度≤10m/min的场景。动力传递路径为：输送电机→减速器→主动链轮→链条→从动链轮→辊筒旋转→物料输送。为避免链条跳齿，需通过张紧装置（螺杆调节或重锤张紧）控制链条下垂量：在两链轮中心距1.5m时，下垂量应控制在20-30mm（约1.5%跨度），同时需定期润滑（每50小时加注锂基润滑脂），减少链条与链轮的磨损，延长使用寿命（通常可达5000小时）。</w:t>
      </w:r>
    </w:p>
    <w:p w14:paraId="2925FD66">
      <w:r>
        <w:t>驱动轮与传动系统的连接方式分为刚性连接和柔性连接，影响动力传递的稳定性和设备对安装误差的适应性。刚性连接通过键连接或胀紧套实现减速器输出轴与驱动轮轴的固定，键连接采用平键（宽度8-12mm，长度20-30mm），传递扭矩可达500N·m以上，适用于重载场景；胀紧套通过摩擦力传递扭矩，无应力集中，拆卸方便，适用于需要频繁维护的场景。刚性连接的安装同轴度要求极高，若减速器输出轴与驱动轮轴的同轴度误差超过0.1mm，会导致轴承发热、噪音增大，甚至出现“卡死”现象。柔性连接则通过联轴器（如梅花联轴器、膜片联轴器）吸收安装误差，梅花联轴器可补偿±0.2mm的径向偏差和±1°的角向偏差，适用于中低转速（≤1500rpm）场景；膜片联轴器可补偿±0.1mm的径向偏差和±0.5°的角向偏差，传递扭矩大（可达1000N·m），适用于高速、高精度场景。在干变浇注车间，考虑到重载和安装误差，驱动轮组常采用膜片联轴器柔性连接，以减少振动对定位精度的影响。</w:t>
      </w:r>
    </w:p>
    <w:p w14:paraId="752B563C">
      <w:r>
        <w:t>动力传递效率是传动系统的关键指标，受传动机构类型、润滑状况和安装精度影响。齿轮齿条传动的效率通常为95%-98%（润滑良好时），链条传动的效率为90%-95%，而轴承、联轴器等部件的效率损失约1%-3%。以4.5KW驱动电机为例，在齿轮齿条传动系统中，实际传递至驱动轮的功率约4.5KW×95%×98%≈4.15KW，可驱动RGV实现5吨负载下0.8m/s的运行速度。为确保传动效率，需定期检查齿轮啮合状况（无断齿、齿面磨损≤0.2mm）、链条张紧度（下垂量≤2%跨度）及轴承温度（运行温度≤60℃），及时更换磨损部件和补充润滑油脂。</w:t>
      </w:r>
    </w:p>
    <w:p w14:paraId="66F2E582">
      <w:pPr>
        <w:pStyle w:val="4"/>
      </w:pPr>
      <w:r>
        <w:t>3.3 定位机构与精度控制</w:t>
      </w:r>
    </w:p>
    <w:p w14:paraId="1DF7227C">
      <w:r>
        <w:t>RGV定位机构是实现模具精准对接的核心，干变浇注车间对定位精度要求极高（通常≤±2mm），目前主流的定位技术包括液压定位、齿轮齿条定位和条码带定位，其工作原理与精度控制方式各有特点。</w:t>
      </w:r>
    </w:p>
    <w:p w14:paraId="75CCBE1E">
      <w:r>
        <w:t>液压定位机构适用于静态精确定位，通过液压油缸驱动定位销与轨道或地面定位孔配合实现定位。该机构由液压泵站（工作压力6-10MPa）、双作用油缸（行程50mm，缸径40mm）、定位销（直径20mm，锥度1:50）、位移传感器（精度±0.01mm）及单向阀组成：当RGV运行至目标位置附近（±50mm）时，PLC发出定位指令，液压泵站启动，油缸伸出推动定位销插入定位孔，位移传感器实时监测定位销位置，当检测到完全插入（到位信号）后，单向阀锁定油缸位置，实现刚性定位，定位精度可达±0.1mm。液压定位的优势在于定位刚性高，可承受较大的侧向力（≥5000N），防止模具转运过程中RGV移位，适合重载、静态对接场景，如浇注工位与模具的对接。但其缺点是响应速度慢（定位动作时间约0.5-1秒），且存在油液泄漏风险，需定期检查液压管路密封性（压力保持≥80%/5分钟）。</w:t>
      </w:r>
    </w:p>
    <w:p w14:paraId="55E86A27">
      <w:r>
        <w:t>齿轮齿条定位机构通过伺服电机驱动齿轮齿条实现动态连续定位，是干变浇注车间动态运行中精度控制的核心。该机构由伺服电机（带绝对值编码器）、精密齿轮齿条（模数2，齿距误差≤0.02mm）、减速机（减速比1:50）及PLC位置控制模块组成：编码器实时反馈电机旋转角度（分辨率1024线/圈），PLC通过计算齿轮旋转圈数×齿距×减速比，得到RGV的实际位置，与目标位置对比后，通过PID算法调节电机转速，实现位置闭环控制。为提高定位精度，系统采用“粗定位+精定位”双阶段控制：粗定位阶段以1m/s速度运行至目标位置±100mm处；精定位阶段切换至0.2m/s低速运行，同时引入激光测距传感器（精度±0.5mm）进行位置校正，最终定位精度可达±0.5mm。齿轮齿条定位的优势是响应速度快（动态调整时间≤0.1秒），可在运行过程中实时修正位置偏差，适合需要频繁启停、动态调整的场景，如多工位之间的转运。</w:t>
      </w:r>
    </w:p>
    <w:p w14:paraId="6B8ADB61">
      <w:r>
        <w:t>条码带定位技术通过光学读头识别轨道侧面的高精度条码实现定位，是低成本、易维护的定位方案。条码带采用PET材质，宽度50mm，长度100m/卷，条码分辨率0.1mm，每100mm包含一个绝对位置编码。光学读头安装在RGV车体侧面，距离条码带10-20mm，通过LED光源照射条码带，CCD相机采集条码图像，解码后得到绝对位置信息（精度±1mm），并与编码器里程计数据融合（卡尔曼滤波算法），进一步提高定位可靠性。条码带定位的优势是安装维护便捷（粘贴式安装，更换时间≤30分钟），成本仅为激光定位的50%，适合直线轨道、中低精度场景（±1mm）。但其缺点是对环境要求高，在粉尘、油污环境中易出现读码错误，需配备空气吹扫装置（每15分钟清洁一次读头镜头），确保识别成功率≥99.9%。</w:t>
      </w:r>
    </w:p>
    <w:p w14:paraId="7039A1ED">
      <w:r>
        <w:t>干变浇注车间的定位精度控制需多技术协同，通常采用“条码带粗定位（±1mm）+齿轮齿条动态修正（±0.5mm）+液压销精确定位（±0.1mm）”的三级定位方案：RGV在运行过程中通过条码带和齿轮齿条实现±1mm的动态定位；到达目标位置后，液压定位销插入定位孔，实现最终±0.1mm的静态定位，满足模具与浇注工位的高精度对接需求。为确保长期定位精度，需定期进行精度校准：每周使用激光干涉仪检测RGV的直线度误差（≤0.1mm/m）；每月校准条码带读头与轨道的平行度（偏差≤0.5mm）；每季度检查齿轮齿条啮合间隙（0.1-0.3mm），通过调整齿轮箱位置进行间隙补偿。</w:t>
      </w:r>
    </w:p>
    <w:p w14:paraId="00F98811">
      <w:pPr>
        <w:pStyle w:val="4"/>
      </w:pPr>
      <w:r>
        <w:t>3.4 机械防护与减震设计</w:t>
      </w:r>
    </w:p>
    <w:p w14:paraId="777E601D">
      <w:r>
        <w:t>干变浇注车间的重载、冲击、粉尘环境，要求RGV具备完善的机械防护与减震设计，以保障设备运行稳定性和使用寿命，具体包括防震缓冲、轨道偏差适应、冲击吸收及防尘防水等方面。</w:t>
      </w:r>
    </w:p>
    <w:p w14:paraId="59E6D3F1">
      <w:r>
        <w:t>防震缓冲设计主要应对RGV运行过程中的冲击振动，分为主动减震和被动减震两类。主动减震通过控制系统实现，当RGV启动或停止时，采用S型速度曲线（加速度0.3-0.5m/s²），避免速度突变产生的冲击；运行过程中，若通过振动传感器（压电式加速度计）检测到加速度超过0.5g时，自动降低运行速度20%，减少振动传递。被动减震通过机械结构实现，驱动单元与车体连接部位采用聚氨酯减震垫（硬度60 Shore A），厚度20mm，可吸收50%以上的振动能量；承载平台下方安装4组螺旋弹簧减震器（刚度系数25N/mm，最大压缩量50mm），当模具放置时，弹簧可吸收70%的冲击能量，降低对车体结构的损伤。某案例显示，加装减震装置后，RGV的定位精度从±1.5mm提升至±0.8mm，传感器故障率下降62%。</w:t>
      </w:r>
    </w:p>
    <w:p w14:paraId="022881C4">
      <w:r>
        <w:t>轨道偏差适应设计确保RGV在轨道存在微小变形时仍能平稳运行。从动轮通过铰链机构与车架连接，可实现±3°的转向角度调整，适应轨道水平弯曲；轮轴与轴承座之间采用球面轴承连接，可补偿±2mm的轨道垂直偏差；轨道接缝处采用斜口过渡设计，落差控制在0.2mm以内，宽度50mm，避免车轮通过接缝时产生冲击。为监测轨道状态，RGV安装轨道偏差检测传感器（激光位移传感器，精度±0.01mm），实时测量轨道的垂直和水平偏差，当偏差超过±5mm时发出预警，提醒维护人员进行轨道校正。</w:t>
      </w:r>
    </w:p>
    <w:p w14:paraId="3C308E86">
      <w:r>
        <w:t>冲击吸收设计主要针对碰撞事故的防护，前后保险杠采用“弹性体+金属骨架”复合结构：外层为50mm厚弹性聚氨酯（邵氏硬度50A），可吸收80%的碰撞能量；内层为Q235钢骨架（厚度10mm），确保在5km/h碰撞速度下不变形。保险杠内置防撞传感器（压力传感器，触发压力500N），当检测到碰撞力超过设定值时，立即触发紧急制动，制动响应时间≤0.1秒，制动距离≤0.3m（速度1m/s工况下）。此外，RGV两侧安装可伸缩防护栏（伸出长度500mm），在物料转运过程中自动伸出，防止物料超出车体范围与其他设备碰撞。</w:t>
      </w:r>
    </w:p>
    <w:p w14:paraId="4E5CA4A5">
      <w:r>
        <w:t>防尘防水设计是干变浇注车间RGV长期稳定运行的关键。车体电气柜采用IP65防护等级，柜门密封条为氟橡胶材质（耐温-20-200℃），确保粉尘和水喷射（从任何方向喷水无损害）无法侵入；电机及驱动部件采用IP54防护等级，防止粉尘堆积和滴水侵入；传感器镜头安装自动清洁装置，每15分钟喷气清洁一次（压缩空气压力0.4-0.6MPa），确保信号稳定。轨道系统配备清轨器，安装在RGV车体底部，由尼龙刮板（厚度10mm）和毛刷（长度50mm）组成，可清除轨道表面的铁屑、树脂粉尘等异物，防止车轮卡滞。某铸造车间的实践表明，未加装防护的条码读头在连续工作8小时后，识别成功率从99.9%降至87%，通过增加防尘罩和定期清洁可恢复性能。</w:t>
      </w:r>
    </w:p>
    <w:p w14:paraId="49D052D4">
      <w:pPr>
        <w:pStyle w:val="3"/>
      </w:pPr>
      <w:r>
        <w:t>四、控制系统原理与电气系统</w:t>
      </w:r>
    </w:p>
    <w:p w14:paraId="793DB25B">
      <w:pPr>
        <w:pStyle w:val="4"/>
      </w:pPr>
      <w:r>
        <w:t>4.1 供电系统与电气配置</w:t>
      </w:r>
    </w:p>
    <w:p w14:paraId="2D22860B">
      <w:r>
        <w:t>RGV供电系统是保障设备稳定运行的基础，根据驱动方式分为轨道供电和蓄电池供电两种，其电气配置与工作原理存在显著差异，需结合干变浇注车间的实际需求进行设计。</w:t>
      </w:r>
    </w:p>
    <w:p w14:paraId="6A08FC17">
      <w:r>
        <w:t>轨道供电系统适用于固定路径、重载连续作业，其电气配置包括滑触线、集电器、电源转换模块及保护装置。滑触线采用三相五线制铜条导轨（T型结构，铜条截面积10mm²），沿轨道敷设，每4米为一段，通过连接器拼接，接缝电阻≤0.01Ω，确保电流传输稳定。集电器安装在RGV车体底部，配备6组碳刷（铜石墨材质，截面积10mm×10mm），与滑触线接触压力5-8N，保证接触可靠，碳刷磨损量超过5mm时需及时更换。电源转换模块将AC380V滑触线输入转换为：AC380V（驱动电机）、DC24V（控制回路，功率500W）、DC5V（传感器回路，功率100W），并配备EMC滤波器（抑制高频干扰）和隔离变压器（容量5KVA），确保输出电压纹波≤5%。保护装置包括：过载保护器（整定电流为电机额定电流的1.2倍）、缺相保护器（响应时间≤0.1秒）、接地故障保护器（动作电流30mA），当检测到异常时立即切断电源，保护设备安全。</w:t>
      </w:r>
    </w:p>
    <w:p w14:paraId="7364B692">
      <w:r>
        <w:t>蓄电池供电系统适用于灵活路径、中小负载场景，电气配置包括锂电池组、BMS、充电机及电源管理模块。锂电池组采用48V100AH磷酸铁锂电池，由16节单体电池（3.2V/100AH）串联组成，能量密度150Wh/kg，循环寿命≥2000次（80%DOD）。BMS（电池管理系统）实时监测单体电压（精度±5mV）、温度（精度±1℃）、总电压（精度±0.5V）和充放电电流（精度±1A），实现过充（单体电压＞3.65V）、过放（单体电压＜2.5V）、过流（充放电电流＞100A）、短路（电流＞200A）及温度异常（＞55℃或＜-20℃）保护。充电机采用智能充电机（输出电压58.4V，电流20A），支持恒流-恒压充电模式，充满时间约5小时，同时具备CAN通讯功能，可与BMS交互获取电池状态信息，动态调整充电参数。电源管理模块将电池电压转换为DC24V（控制回路）和AC380V（通过逆变器，功率2KW），确保控制回路和辅助设备的稳定供电。</w:t>
      </w:r>
    </w:p>
    <w:p w14:paraId="159860BF">
      <w:r>
        <w:t>电气元件布局遵循“分区集中”原则，将强电（电机、接触器）、弱电（PLC、传感器）、通讯（无线模块）及电源模块分区布置，减少电磁干扰。强电区域与弱电区域间距≥200mm，电缆敷设采用屏蔽电缆（控制电缆）和铠装电缆（动力电缆），屏蔽层单端接地（接地电阻≤4Ω）。电气柜内安装轴流风扇（风量200m³/h）和温湿度传感器（精度±1℃/±5%RH），当柜内温度超过40℃或湿度超过85%RH时，风扇自动启动散热除湿，确保元件工作环境满足要求（温度0-55℃，湿度10%-90%RH无凝结）。</w:t>
      </w:r>
    </w:p>
    <w:p w14:paraId="471409A4">
      <w:pPr>
        <w:pStyle w:val="4"/>
      </w:pPr>
      <w:r>
        <w:t>4.2 PLC控制原理与逻辑流程</w:t>
      </w:r>
    </w:p>
    <w:p w14:paraId="6CF98F97">
      <w:r>
        <w:t>PLC（可编程逻辑控制器）是RGV控制系统的核心，负责接收指令、处理信号、执行控制算法及协调各部件工作，其控制原理与逻辑流程直接决定了RGV的运行性能和可靠性。</w:t>
      </w:r>
    </w:p>
    <w:p w14:paraId="2FE6F216">
      <w:r>
        <w:t>干变浇注车间RGV通常采用西门子S7-1200系列PLC（如1214C DC/DC/DC型号），具备14点数字量输入、10点数字量输出、2点模拟量输入和1点模拟量输出，支持PROFINET、Modbus等通讯协议，可满足复杂控制需求。PLC控制核心包括主程序、初始化程序、手动/自动控制程序、故障诊断程序及通讯程序：初始化程序在RGV上电时执行，完成I/O模块检测、参数初始化（如速度、加速度、定位参数）、通讯建立及安全状态检查，初始化时间≤3秒；主程序为循环执行程序（扫描周期≤10ms），完成信号采集、逻辑判断、控制输出及状态更新；手动/自动控制程序实现操作模式切换，手动模式下通过HMI点动控制各执行部件（如前进/后退、输送启动/停止），自动模式下执行预设的转运任务；故障诊断程序实时监测设备状态，当检测到故障时触发报警并执行安全保护动作；通讯程序实现与上位机、HMI及传感器的实时数据交互。</w:t>
      </w:r>
    </w:p>
    <w:p w14:paraId="6645D6C7">
      <w:r>
        <w:t>控制逻辑流程以自动转运任务为例，可分为任务接收、路径规划、运行控制、定位对接及任务完成五个阶段。任务接收阶段：PLC通过工业以太网接收上位机（MES系统）发送的转运任务（包括起点、终点、物料信息、优先级），任务数据格式采用JSON格式，包含任务ID、目标位置坐标、运行速度、对接方式等信息，PLC对接收到的任务进行校验（合法性、完整性），校验通过后存入任务队列。路径规划阶段：PLC根据当前位置和目标位置，调用路径规划算法（如A*算法）生成最优路径，避开障碍物和已占用轨道区域，路径规划时间≤100ms。运行控制阶段：PLC根据规划路径和设定速度（如空载1m/s，负载0.8m/s），通过模拟量输出模块（精度±0.1%）向伺服驱动器发送速度指令，同时接收编码器反馈的实际速度和位置信号，通过PID算法（比例系数Kp=0.5，积分系数Ki=0.1，微分系数Kd=0.05）调节输出，实现速度闭环控制，速度波动≤±1%。定位对接阶段：当RGV运行至目标位置±50mm时，PLC切换至位置闭环控制，通过激光测距传感器（精度±0.5mm）和编码器数据融合，控制RGV以0.2m/s低速运行，最终停靠在目标位置（定位误差≤±1mm），随后启动液压定位机构完成精确定位（±0.1mm）。任务完成阶段：PLC向物料输送装置（如链条输送机）发送启动指令，完成物料装卸后，向MES系统发送任务完成信号（包含实际运行时间、定位精度、物料状态），并清除当前任务，准备接收新任务。</w:t>
      </w:r>
    </w:p>
    <w:p w14:paraId="6F0FD188">
      <w:r>
        <w:t>安全控制逻辑是PLC程序的关键组成部分，采用“多层次防护”设计：第一层为硬件防护，通过急停按钮、安全光栅、防撞传感器的硬接线接入PLC的安全输入模块（如西门子F-DI模块），实现安全信号的快速响应（响应时间≤10ms）；第二层为软件防护，PLC程序中设置安全联锁逻辑，如急停信号触发时，立即切断所有输出（电机驱动、液压系统、输送装置），并将状态反馈至上位机；第三层为冗余防护，关键传感器（如定位传感器、速度传感器）采用双冗余配置，当两个传感器信号偏差超过±5%时，触发故障报警并切换至安全模式（低速运行至最近停靠点）。安全控制逻辑需通过TÜV SIL2认证，确保满足工业安全标准。</w:t>
      </w:r>
    </w:p>
    <w:p w14:paraId="600B78AE">
      <w:pPr>
        <w:pStyle w:val="4"/>
      </w:pPr>
      <w:r>
        <w:t>4.3 传感器网络与信号处理</w:t>
      </w:r>
    </w:p>
    <w:p w14:paraId="1B74BFB5">
      <w:r>
        <w:t>RGV传感器网络是实现自动化运行的“感知器官”，通过多类型传感器协同工作，实时采集位置、速度、状态及环境信号，经处理后为控制系统提供决策依据，干变浇注车间RGV传感器网络主要包括位置传感器、状态传感器、安全传感器及环境传感器四类。</w:t>
      </w:r>
    </w:p>
    <w:p w14:paraId="6DE5F2E0">
      <w:r>
        <w:t>位置传感器用于实时获取RGV的绝对位置和相对位置，是定位控制的核心。主流配置包括：条码带读头（安装在车体侧面，识别距离10-20mm，分辨率0.1mm），通过读取轨道侧面的条码带获取绝对位置信息（精度±1mm）；绝对值编码器（安装在驱动电机轴端，分辨率1024线/圈），通过电机旋转角度计算相对位置（精度±0.1mm/m）；激光测距传感器（安装在车体前后，检测距离0.1-10m，精度±0.5mm），用于目标位置精确定位和障碍物检测；接近开关（安装在车体底部，检测距离5-10mm），用于轨道定位孔识别和限位检测。位置信号采用“多源融合”处理，通过卡尔曼滤波算法融合条码带、编码器和激光测距传感器数据，提高位置测量精度（融合后精度±0.3mm），同时当某一传感器故障时，系统自动切换至其他传感器数据，确保定位连续性。</w:t>
      </w:r>
    </w:p>
    <w:p w14:paraId="78FA2E11">
      <w:r>
        <w:t>状态传感器监测RGV各部件的运行状态，及时发现异常并预警。电机状态传感器包括电流传感器（检测范围0-50A，精度±1%）、温度传感器（检测范围-20-150℃，精度±1℃）和振动传感器（检测范围0-10g，频率10-1000Hz），实时监测电机的负载、温度和振动状态，当电流超过额定值120%、温度超过100℃或振动加速度超过5g时，触发过载、过热或异常振动报警。驱动系统状态传感器包括压力传感器（液压系统，检测范围0-20MPa，精度±0.5%）和位移传感器（油缸位置，检测范围0-100mm，精度±0.01mm），监测液压系统压力和定位销位置，确保定位机构正常工作。电源状态传感器包括电压传感器（检测范围AC0-500V，精度±0.5%）和电流传感器（检测范围0-100A，精度±1%），监测供电系统的电压、电流和功率，当电压波动超过±10%或电流超过额定值时，触发电源故障报警。</w:t>
      </w:r>
    </w:p>
    <w:p w14:paraId="1C98D746">
      <w:r>
        <w:t>安全传感器是保障人员和设备安全的最后一道防线，包括急停按钮（蘑菇头自锁式，IP65防护等级）、安全光栅（检测高度500mm，分辨率20mm，响应时间≤10ms）、激光障碍物传感器（检测角度180°，检测距离0-3m可调）和防撞条（接触式，触发力50N）。安全传感器信号采用“双通道”输入PLC安全模块，当任一通道检测到异常时，立即触发紧急制动，同时切断驱动电源，确保在危险发生前停止设备运行。例如，当激光障碍物传感器检测到前方300mm处有障碍物时，PLC在10ms内发出减速指令，使RGV在0.3m内停车，避免碰撞事故。</w:t>
      </w:r>
    </w:p>
    <w:p w14:paraId="00FD9B53">
      <w:r>
        <w:t>信号处理流程包括信号采集、滤波、转换、融合及决策五个环节。信号采集通过PLC的模拟量输入模块（16位精度，采样频率100Hz）和数字量输入模块（响应时间≤1ms）实现，将传感器的物理信号（如电流、电压、位移）转换为电信号；滤波处理采用低通滤波器（截止频率100Hz）去除高频噪声，对于周期性干扰采用陷波滤波器（如50Hz工频干扰）；A/D转换将模拟信号转换为数字信号（16位分辨率），数字量信号直接读取状态；信号融合采用加权平均法（对不同精度传感器赋予不同权重，如激光传感器权重0.7，编码器权重0.3），提高测量可靠性；决策环节根据融合后的信号与设定阈值对比，判断设备状态（正常、预警、故障），并执行相应控制动作（继续运行、减速、停车、报警）。</w:t>
      </w:r>
    </w:p>
    <w:p w14:paraId="0950BFE2">
      <w:pPr>
        <w:pStyle w:val="4"/>
      </w:pPr>
      <w:r>
        <w:t>4.4 通信协议与系统集成</w:t>
      </w:r>
    </w:p>
    <w:p w14:paraId="41B2785D">
      <w:r>
        <w:t>RGV通信系统是实现设备与上位机、设备与设备间信息交互的关键，其通信协议与系统集成方案直接影响数据传输的实时性、可靠性和系统扩展性，干变浇注车间RGV常用的通信协议包括PROFIBUS-DP、Modbus及工业以太网，系统集成则涉及与MES、WMS及车间设备的协同。</w:t>
      </w:r>
    </w:p>
    <w:p w14:paraId="0CBCA60E">
      <w:r>
        <w:t>PROFIBUS-DP是一种高速、低成本的现场总线协议，广泛应用于RGV与传感器、驱动器的底层通信。该协议采用主从通信方式，传输速率12Mbps时通信距离可达100m（无中继），支持32个从站，采用差分信号传输，抗干扰能力强（共模抑制比≥80dB）。在RGV控制系统中，PLC作为主站，伺服驱动器、条码阅读器、激光传感器等作为从站，通过PROFIBUS-DP总线实现数据交换：主站周期发送控制指令（如速度给定、位置指令），从站实时反馈状态信息（如实际速度、位置、报警代码），通信周期≤10ms，满足实时控制需求。为提高系统可靠性，PROFIBUS-DP采用冗余设计，主站配备双端口DP接口，当一个接口故障时自动切换至另一个接口，切换时间≤100ms，确保通信不中断。</w:t>
      </w:r>
    </w:p>
    <w:p w14:paraId="71C2BDFF">
      <w:r>
        <w:t>Modbus协议是一种应用层协议，适用于RGV与上位机（如HMI、SCADA）的监控数据通信。该协议支持RTU（二进制）和ASCII（文本）两种传输模式，采用RS-485物理层（传输距离1200m，支持32个节点）或TCP/IP以太网（传输速率100Mbps），数据帧格式简单（地址码+功能码+数据+校验码），易于实现和调试。在RGV系统中，Modbus协议主要用于传输非实时数据，如设备状态（运行/停止/故障）、参数设置（速度、加速度、定位参数）、报警信息（故障代码、故障时间）及统计数据（运行时间、转运次数、故障次数）。例如，HMI通过Modbus TCP/IP协议读取PLC的保持寄存器数据（地址40001-40100）获取RGV的实时位置、速度和电量，同时向PLC的线圈寄存器（地址00001-00010）写入控制指令（如启动、停止、急停），实现人机交互。</w:t>
      </w:r>
    </w:p>
    <w:p w14:paraId="0E2A8229">
      <w:r>
        <w:t>工业以太网是RGV与MES系统、车间其他设备协同的核心通信技术，目前主流采用PROFINET协议，支持实时通信（IRT，等时实时）和非实时通信，传输速率100Mbps全双工，通信延迟≤1ms（IRT模式），满足多设备协同的实时性需求。在干变浇注车间，RGV通过工业以太网接入车间局域网，与MES系统、固化炉、浇注设备等组成分布式控制系统：MES系统向RGV下达转运任务（JSON格式数据），RGV实时反馈任务执行状态；固化炉向RGV发送炉门状态（开/关）和温度信息，RGV根据炉门状态决定是否进入固化区域；浇注设备向RGV发送模具准备就绪信号，RGV根据信号执行对接动作。工业以太网采用星型拓扑结构，通过工业交换机（如西门子X204-2交换机）实现设备互联，交换机支持冗余环网（MRP协议），当网络出现故障时，环网重构时间≤200ms，确保通信不中断。</w:t>
      </w:r>
    </w:p>
    <w:p w14:paraId="6FFF9DF6">
      <w:r>
        <w:t>系统集成架构采用“三层架构”设计：设备层（RGV、传感器、驱动器）通过PROFIBUS-DP实现底层数据采集与控制；控制层（PLC、HMI、SCADA）通过工业以太网实现设备间协同和监控；管理层（MES、WMS）通过企业局域网实现生产计划、任务调度和数据管理。各层级之间通过标准化接口（如OPC UA、WebService）实现数据交互，确保信息流畅通。例如，MES系统通过OPC UA接口读取PLC的实时数据（RGV位置、状态、任务进度），进行生产过程监控和任务优化；同时通过WebService接口向PLC下达生产任务，实现生产流程的自动化衔接。为保障数据安全，通信系统采用数据加密（AES-128加密算法）、访问控制（基于角色的权限管理）和日志审计（记录所有通信操作），防止数据泄露和非法访问。</w:t>
      </w:r>
    </w:p>
    <w:p w14:paraId="011E15CF">
      <w:pPr>
        <w:pStyle w:val="3"/>
      </w:pPr>
      <w:r>
        <w:t>四、机械原理与传动系统分析</w:t>
      </w:r>
    </w:p>
    <w:p w14:paraId="797638BA">
      <w:pPr>
        <w:pStyle w:val="4"/>
      </w:pPr>
      <w:r>
        <w:t>3.1 驱动系统工作原理</w:t>
      </w:r>
    </w:p>
    <w:p w14:paraId="0E38823A">
      <w:r>
        <w:t>RGV驱动系统根据供电方式分为轨道供电式和蓄电池供电式两种，其工作原理与技术特点存在显著差异，适用于不同的应用场景。</w:t>
      </w:r>
    </w:p>
    <w:p w14:paraId="1CB01926">
      <w:r>
        <w:t>轨道供电式驱动系统通过滑触线持续获取电力，是干变浇注车间重载、连续作业场景的主流选择。该系统由铜条导轨（4m/段，截面积10mm²）、集电器、电缆拖链及电源管理模块组成：铜条导轨沿轨道敷设，通过绝缘子固定在轨道侧面，集电器安装在RGV车体底部，通过碳刷与铜条接触取电，取电电流可达100A以上，满足重载驱动需求。电源管理模块将AC380V输入转换为DC24V（控制回路）和AC380V（电机回路），并配备过压、过流、缺相保护功能，当检测到电压波动超过±10%或电流超过额定值120%时，立即切断输出，保护设备安全。轨道供电式的核心优势在于无续航限制，可实现24小时不间断运行，避免了充电导致的停机时间，同时供电稳定性高，电压波动≤2%，确保驱动系统的平稳运行。但其缺点是轨道铺设工程量大，路径一旦确定后改造难度高，适合固定路径、高频次转运场景，如浇注工位与固化炉之间的直线往复转运。</w:t>
      </w:r>
    </w:p>
    <w:p w14:paraId="0E7CA38B">
      <w:r>
        <w:t>蓄电池供电式驱动系统采用锂电池作为动力源，是中小负载、路径灵活场景的理想选择。目前主流配置为48V100AH磷酸铁锂电池，能量密度达150Wh/kg，体积较传统铅酸电池缩小40%，重量减轻约40%，支持RGV连续运行8-10小时（空载速度1m/s工况下）。锂电池配备BMS（电池管理系统），可实时监测单体电压（精度±5mV）、温度（精度±1℃）和充放电状态，实现过充（单体电压＞3.65V）、过放（单体电压＜2.5V）、短路（电流＞200A）保护，并通过CAN通讯协议与设备控制系统联动，提供电量预警（剩余电量＜20%时发出报警）和故障诊断（如电池均衡失效、温度异常）。充电方式支持手动充电（通过车载充电接口）和自动充电（通过地面充电座，对接精度±50mm），快充技术可实现1C充电（1小时充满80%容量），满足间歇作业场景的补能需求。蓄电池供电式的优势在于路径灵活性高，地面改造工程量小，适合需要频繁更换轨道或多路径切换的场景，如多工位柔性生产线；但其承载能力相对有限（通常≤5吨），且电池更换维护增加了管理成本。</w:t>
      </w:r>
    </w:p>
    <w:p w14:paraId="58A2A4A9">
      <w:r>
        <w:t>两种驱动系统的动力传递路径基本一致：外部电源（轨道或电池）→电源管理模块→伺服驱动器→伺服电机→减速机构→驱动轮。伺服驱动器接收PLC的速度指令（模拟量或脉冲信号），通过矢量控制算法调节电机输出扭矩和转速，电机编码器实时反馈转速和位置信号，形成闭环控制。以轨道供电式为例，当PLC发出“以0.8m/s速度运行至A工位”指令时，驱动器将指令转换为电机目标转速（根据轮径226mm计算，转速=0.8m/s×60/(π×0.226m)≈67rpm），通过PID调节实现转速稳定（波动≤±1%），同时编码器每旋转一圈产生1024个脉冲信号，PLC通过计数脉冲计算实际位置，当接近目标位置时，自动触发减速程序（S型减速曲线），确保精准停车。</w:t>
      </w:r>
    </w:p>
    <w:p w14:paraId="44D793E7">
      <w:pPr>
        <w:pStyle w:val="4"/>
      </w:pPr>
      <w:r>
        <w:t>3.2 传动机构与动力传递</w:t>
      </w:r>
    </w:p>
    <w:p w14:paraId="2A1A62C4">
      <w:r>
        <w:t>RGV传动机构负责将电机动力传递至驱动轮，其结构形式直接影响动力传递效率、运行平稳性和定位精度，干变浇注车间常用的传动机构包括齿轮齿条传动和链条传动两种，配合不同的连接方式实现动力传递。</w:t>
      </w:r>
    </w:p>
    <w:p w14:paraId="3309F975">
      <w:r>
        <w:t>齿轮齿条传动是高精度、高负载场景的首选方案，广泛应用于干变浇注车间的RGV定位与驱动系统。该机构由斜齿轮（模数2-3，压力角20°）和齿条（长度1-3m/段，齿距6.28-9.42mm）组成，斜齿轮安装在减速器输出轴上，齿条沿轨道侧面固定。相比直齿轮，斜齿轮具有啮合平稳、承载能力高（重合度≥1.5）、噪音低（≤65dB）的优势，适合高速运行场景（最高速度可达3m/s）。动力传递路径为：电机输出扭矩→减速器放大扭矩（减速比1:20-1:50）→斜齿轮旋转→齿条固定不动→反作用力推动车体前进。为确保传动精度，齿条安装需满足严格的平行度要求（直线度误差≤0.1mm/m），齿轮与齿条的啮合间隙需控制在0.1-0.3mm，通过调整齿轮箱位置实现间隙调节。某案例显示，采用斜齿轮齿条传动的RGV，在高速运行（2m/s）时仍能保持±0.5mm的动态定位精度，满足模具对接的高精度需求。</w:t>
      </w:r>
    </w:p>
    <w:p w14:paraId="5DCAC7BC">
      <w:r>
        <w:t>链条传动是中低速、大中心距场景的常用方案，主要应用于RGV的链条输送机系统。该机构由滚子链条（节距12.7-25.4mm）、链轮（齿数17-21齿）、张紧装置组成，通过链条与链轮的啮合传递动力。链条传动的优势在于结构简单、成本低、维护方便，可适应较大的中心距（最大可达3m），但其缺点是运行平稳性差（速度波动≤3%）、噪音较高（≥75dB），适合输送速度≤10m/min的场景。动力传递路径为：输送电机→减速器→主动链轮→链条→从动链轮→辊筒旋转→物料输送。为避免链条跳齿，需通过张紧装置（螺杆调节或重锤张紧）控制链条下垂量：在两链轮中心距1.5m时，下垂量应控制在20-30mm（约1.5%跨度），同时需定期润滑（每50小时加注锂基润滑脂），减少链条与链轮的磨损，延长使用寿命（通常可达5000小时）。</w:t>
      </w:r>
    </w:p>
    <w:p w14:paraId="4A3CA427">
      <w:r>
        <w:t>驱动轮与传动系统的连接方式分为刚性传动和柔性传动两类。刚性传动中，减速器输出轴通过键连接或胀紧套直接与车轮轴刚性固定，结构简单但对安装同轴度要求高（允许误差≤0.1mm）；柔性传动则采用联轴器（如梅花联轴器、膜片联轴器）连接，可补偿安装误差和吸收振动。部分重载RGV采用双轮驱动设计，即左右驱动轮分别由独立电机-减速器单元控制，通过差速实现转向，例如对角线驱动方式中，右前轮与左后轮作为驱动轮，配备回转电机调节车轮角度，左前轮与右后轮为万向从动轮，通过轴承座与车体连接，可360度自由转动以适应轨道方向变化。</w:t>
      </w:r>
    </w:p>
    <w:p w14:paraId="149D3EAA">
      <w:r>
        <w:t>动力传递效率是传动系统的关键指标，受传动机构类型、润滑状况和安装精度影响。齿轮齿条传动的效率通常为95%-98%（润滑良好时），链条传动的效率为90%-95%，而轴承、联轴器等部件的效率损失约1%-3%。以4.5KW驱动电机为例，在齿轮齿条传动系统中，实际传递至驱动轮的功率约4.5KW×95%×98%≈4.15KW，可驱动RGV实现5吨负载下0.8m/s的运行速度。为确保传动效率，需定期检查齿轮啮合状况（无断齿、齿面磨损≤0.2mm）、链条张紧度（下垂量≤2%跨度）及轴承温度（运行温度≤60℃），及时更换磨损部件和补充润滑油脂。</w:t>
      </w:r>
    </w:p>
    <w:p w14:paraId="32CCC551">
      <w:pPr>
        <w:pStyle w:val="4"/>
      </w:pPr>
      <w:r>
        <w:t>3.3 定位机构与精度控制</w:t>
      </w:r>
    </w:p>
    <w:p w14:paraId="0E72C4EC">
      <w:r>
        <w:t>RGV定位机构是实现模具精准对接的核心，干变浇注车间对定位精度要求极高（通常≤±2mm），目前主流的定位技术包括液压定位、齿轮齿条定位和条码带定位，其工作原理与精度控制方式各有特点。</w:t>
      </w:r>
    </w:p>
    <w:p w14:paraId="44BD13AA">
      <w:r>
        <w:t>液压定位机构适用于静态精确定位，通过液压油缸驱动定位销与轨道或地面定位孔配合实现定位。该机构由液压泵站（工作压力6-10MPa）、双作用油缸（行程50mm，缸径40mm）、定位销（直径20mm，锥度1:50）、位移传感器（精度±0.01mm）及单向阀组成：当RGV运行至目标位置附近（±50mm）时，PLC发出定位指令，液压泵站启动，油缸伸出推动定位销插入定位孔，位移传感器实时监测定位销位置，当检测到完全插入（到位信号）后，单向阀锁定油缸位置，实现刚性定位，定位精度可达±0.1mm。液压定位的优势在于定位刚性高，可承受较大的侧向力（≥5000N），防止模具转运过程中RGV移位，适合重载、静态对接场景，如浇注工位与模具的对接。但其缺点是响应速度慢（定位动作时间约0.5-1秒），且存在油液泄漏风险，需定期检查液压管路密封性（压力保持≥80%/5分钟）。</w:t>
      </w:r>
    </w:p>
    <w:p w14:paraId="2F6355D1">
      <w:r>
        <w:t>齿轮齿条定位机构通过伺服电机驱动齿轮齿条实现动态连续定位，是干变浇注车间动态运行中精度控制的核心。该机构由伺服电机（带绝对值编码器）、精密齿轮齿条（模数2，齿距误差≤0.02mm）、减速机（减速比1:50）及PLC位置控制模块组成：编码器实时反馈电机旋转角度（分辨率1024线/圈），PLC通过计算齿轮旋转圈数×齿距×减速比，得到RGV的实际位置，与目标位置对比后，通过PID算法调节电机转速，实现位置闭环控制。为提高定位精度，系统采用“粗定位+精定位”双阶段控制：粗定位阶段以1m/s速度运行至目标位置±100mm处；精定位阶段切换至0.2m/s低速运行，同时引入激光测距传感器（精度±0.5mm）进行位置校正，最终定位精度可达±0.5mm。齿轮齿条定位的优势是响应速度快（动态调整时间≤0.1秒），可在运行过程中实时修正位置偏差，适合需要频繁启停、动态调整的场景，如多工位之间的转运。</w:t>
      </w:r>
    </w:p>
    <w:p w14:paraId="4C3B7D44">
      <w:r>
        <w:t>条码带定位技术通过光学读头识别轨道侧面的高精度条码实现定位，是低成本、易维护的定位方案。条码带采用PET材质，宽度50mm，长度100m/卷，条码分辨率0.1mm，每100mm包含一个绝对位置编码。光学读头安装在RGV车体侧面，距离条码带10-20mm，通过LED光源照射条码带，CCD相机采集条码图像，解码后得到绝对位置信息（精度±1mm），并与编码器里程计数据融合（卡尔曼滤波算法），进一步提高定位可靠性。条码带定位的优势是安装维护便捷（粘贴式安装，更换时间≤30分钟），成本仅为激光定位的50%，适合直线轨道、中低精度场景（±1mm）。但其缺点是对环境要求高，在粉尘、油污环境中易出现读码错误，需配备空气吹扫装置（每15分钟清洁一次读头镜头），确保识别成功率≥99.9%。</w:t>
      </w:r>
    </w:p>
    <w:p w14:paraId="7C14C519">
      <w:r>
        <w:t>干变浇注车间的定位精度控制需多技术协同，通常采用“条码带粗定位（±1mm）+齿轮齿条动态修正（±0.5mm）+液压销精确定位（±0.1mm）”的三级定位方案：RGV在运行过程中通过条码带和齿轮齿条实现±1mm的动态定位；到达目标位置后，液压定位机构完成最终±0.1mm的静态定位，满足模具与浇注工位的高精度对接需求。为确保长期定位精度，需定期进行精度校准：每周使用激光干涉仪检测RGV的直线度误差（≤0.1mm/m）；每月校准条码带读头与轨道的平行度（偏差≤0.5mm）；每季度检查齿轮齿条啮合间隙（0.1-0.3mm），通过调整齿轮箱位置进行间隙补偿。</w:t>
      </w:r>
    </w:p>
    <w:p w14:paraId="38E73F1E">
      <w:pPr>
        <w:pStyle w:val="4"/>
      </w:pPr>
      <w:r>
        <w:t>3.4 机械防护与减震设计</w:t>
      </w:r>
    </w:p>
    <w:p w14:paraId="7A508110">
      <w:r>
        <w:t>干变浇注车间的重载、冲击、粉尘环境，要求RGV具备完善的机械防护与减震设计，以保障设备运行稳定性和使用寿命，具体包括防震缓冲、轨道偏差适应、冲击吸收及防尘防水等方面。</w:t>
      </w:r>
    </w:p>
    <w:p w14:paraId="7C01E389">
      <w:r>
        <w:t>防震缓冲设计主要应对RGV运行过程中的冲击振动，分为主动减震和被动减震两类。主动减震通过控制系统实现，当RGV启动或停止时，采用S型速度曲线（加速度0.3-0.5m/s²），避免速度突变产生的冲击；运行过程中，若通过振动传感器（压电式加速度计）检测到加速度超过0.5g时，自动降低运行速度20%，减少振动传递。被动减震通过机械结构实现，驱动单元与车体连接部位采用聚氨酯减震垫（硬度60 Shore A），厚度20mm，可吸收50%以上的振动能量；承载平台下方安装4组螺旋弹簧减震器（刚度系数25N/mm，最大压缩量50mm），当模具放置时，弹簧可吸收70%的冲击能量，降低对车体结构的损伤。某案例显示，加装减震装置后，RGV的定位精度从±1.5mm提升至±0.8mm，传感器故障率下降62%。</w:t>
      </w:r>
    </w:p>
    <w:p w14:paraId="094CABEB">
      <w:r>
        <w:t>轨道偏差适应设计确保RGV在轨道存在微小变形时仍能平稳运行。从动轮通过铰链机构与车架连接，可实现±3°的转向角度调整，适应轨道水平弯曲；轮轴与轴承座之间采用球面轴承连接，可补偿±2mm的轨道垂直偏差；轨道接缝处采用斜口过渡设计，落差控制在0.2mm以内，宽度50mm，避免车轮通过接缝时产生冲击。为监测轨道状态，RGV安装轨道偏差检测传感器（激光位移传感器，精度±0.01mm），实时测量轨道的垂直和水平偏差，当偏差超过±5mm时发出预警，提醒维护人员进行轨道校正。</w:t>
      </w:r>
    </w:p>
    <w:p w14:paraId="3A44AE9C">
      <w:r>
        <w:t>冲击吸收设计主要针对碰撞事故的防护，前后保险杠采用“弹性体+金属骨架”复合结构：外层为50mm厚弹性聚氨酯（邵氏硬度50A），可吸收80%的碰撞能量；内层为Q235钢骨架（厚度10mm），确保在5km/h碰撞速度下不变形。保险杠内置防撞传感器（压力传感器，触发压力500N），当检测到碰撞力超过设定值时，立即触发紧急制动，制动响应时间≤0.1秒，制动距离≤0.3m（速度1m/s工况下）。此外，RGV两侧安装可伸缩防护栏（伸出长度500mm），在物料转运过程中自动伸出，防止物料超出车体范围与其他设备碰撞。</w:t>
      </w:r>
    </w:p>
    <w:p w14:paraId="159FEB2B">
      <w:r>
        <w:t>防尘防水设计是干变浇注车间RGV长期稳定运行的关键。车体电气柜采用IP65防护等级，柜门密封条为氟橡胶材质（耐温-20-200℃），确保粉尘和水喷射（从任何方向喷水无损害）无法侵入；电机及驱动部件采用IP54防护等级，防止粉尘堆积和滴水侵入；传感器镜头安装自动清洁装置，每15分钟喷气清洁一次（压缩空气压力0.4-0.6MPa），确保信号稳定。轨道系统配备清轨器，安装在RGV车体底部，由尼龙刮板（厚度10mm）和毛刷（长度50mm）组成，可清除轨道表面的铁屑、树脂粉尘等异物，防止车轮卡滞。某铸造车间的实践表明，未加装防护的条码读头在连续工作8小时后，识别成功率从99.9%降至87%，通过增加防尘罩和定期清洁可恢复性能。</w:t>
      </w:r>
    </w:p>
    <w:p w14:paraId="50ABD20F">
      <w:pPr>
        <w:pStyle w:val="3"/>
      </w:pPr>
      <w:r>
        <w:t>四、控制系统原理与电气系统</w:t>
      </w:r>
    </w:p>
    <w:p w14:paraId="6C4DFBFE">
      <w:pPr>
        <w:pStyle w:val="4"/>
      </w:pPr>
      <w:r>
        <w:t>4.1 供电系统与电气配置</w:t>
      </w:r>
    </w:p>
    <w:p w14:paraId="369F2CC5">
      <w:r>
        <w:t>RGV供电系统是保障设备稳定运行的基础，根据驱动方式分为轨道供电和蓄电池供电两种，其电气配置与工作原理存在显著差异，需结合干变浇注车间的实际需求进行设计。</w:t>
      </w:r>
    </w:p>
    <w:p w14:paraId="11CCEC26">
      <w:r>
        <w:t>轨道供电系统适用于固定路径、重载连续作业，其电气配置包括滑触线、集电器、电源转换模块及保护装置。滑触线采用三相五线制铜条导轨（T型结构，铜条截面积10mm²），沿轨道敷设，每4米为一段，通过连接器拼接，接缝电阻≤0.01Ω，确保电流传输稳定。集电器安装在RGV车体底部，配备6组碳刷（铜石墨材质，截面积10mm×10mm），与滑触线接触压力5-8N，保证接触可靠，碳刷磨损量超过5mm时需及时更换。电源管理模块将AC380V输入转换为DC24V（控制回路）和AC380V（电机回路），并配备过压、过流、缺相保护功能，当检测到电压波动超过±10%或电流超过额定值120%时，立即切断输出，保护设备安全。轨道供电式的核心优势在于无续航限制，可实现24小时不间断运行，避免了充电导致的停机时间，同时供电稳定性高，电压波动≤2%，确保驱动系统的平稳运行。但其缺点是轨道铺设工程量大，路径一旦确定后改造难度高，适合固定路径、高频次转运场景，如浇注工位与固化炉之间的直线往复转运。</w:t>
      </w:r>
    </w:p>
    <w:p w14:paraId="107D6AB6">
      <w:r>
        <w:t>蓄电池供电式驱动系统采用锂电池作为动力源，是中小负载、路径灵活场景的理想选择。目前主流配置为48V100AH磷酸铁锂电池，由16节单体电池（3.2V/100AH）串联组成，能量密度150Wh/kg，循环寿命≥2000次（80%DOD）。锂电池配备BMS（电池管理系统），可实时监测单体电压（精度±5mV）、温度（精度±1℃）、总电压（精度±0.5V）和充放电电流（精度±1A），实现过充（单体电压＞3.65V）、过放（单体电压＜2.5V）、过流（充放电电流＞100A）、短路（电流＞200A）及温度异常（＞55℃或＜-20℃）保护。充电机采用智能充电机（输出电压58.4V，电流20A），支持恒流-恒压充电模式，充满时间约5小时，同时具备CAN通讯功能，可与BMS交互获取电池状态信息，动态调整充电参数。电源管理模块将电池电压转换为DC24V（控制回路）和AC380V（通过逆变器，功率2KW），确保控制回路和辅助设备的稳定供电。</w:t>
      </w:r>
    </w:p>
    <w:p w14:paraId="578AE20E">
      <w:r>
        <w:t>电气元件布局遵循“分区集中”原则，将强电（电机、接触器）、弱电（PLC、传感器）、通讯（无线模块）及电源模块分区布置，减少电磁干扰。强电区域与弱电区域间距≥200mm，电缆敷设采用屏蔽电缆（控制电缆）和铠装电缆（动力电缆），屏蔽层单端接地（接地电阻≤4Ω）。电气柜内安装轴流风扇（风量200m³/h）和温湿度传感器（精度±1℃/±5%RH），当柜内温度超过40℃或湿度超过85%RH时，风扇自动启动散热除湿，确保元件工作环境满足要求（温度0-55℃，湿度10%-90%RH无凝结）。</w:t>
      </w:r>
    </w:p>
    <w:p w14:paraId="5AF0B636">
      <w:pPr>
        <w:pStyle w:val="4"/>
      </w:pPr>
      <w:r>
        <w:t>4.2 PLC控制原理与逻辑流程</w:t>
      </w:r>
    </w:p>
    <w:p w14:paraId="1281BC49">
      <w:r>
        <w:t>PLC（可编程逻辑控制器）是RGV控制系统的核心，负责接收指令、处理信号、执行控制算法及协调各部件工作，其控制原理与逻辑流程直接决定了RGV的运行性能和可靠性。</w:t>
      </w:r>
    </w:p>
    <w:p w14:paraId="318C408D">
      <w:r>
        <w:t>干变浇注车间RGV通常采用西门子S7-1200系列PLC（如1214C DC/DC/DC型号），具备14点数字量输入、10点数字量输出、2点模拟量输入和1点模拟量输出，支持PROFINET、Modbus等通讯协议，可满足复杂控制需求。PLC控制核心包括主程序、初始化程序、手动/自动控制程序、故障诊断程序及通讯程序：初始化程序在RGV上电时执行，完成I/O模块检测、参数初始化（如速度、加速度、定位参数）、通讯建立及安全状态检查，初始化时间≤3秒；主程序为循环执行程序（扫描周期≤10ms），完成信号采集、逻辑判断、控制输出及状态更新；手动/自动控制程序实现操作模式切换，手动模式下通过HMI点动控制各执行部件（如前进/后退、输送启动/停止），自动模式下执行预设的转运任务；故障诊断程序实时监测设备状态，当检测到故障时触发报警并执行安全保护动作；通讯程序实现与上位机、HMI及传感器的实时数据交互。</w:t>
      </w:r>
    </w:p>
    <w:p w14:paraId="2B5832F0">
      <w:r>
        <w:t>控制逻辑流程以自动转运任务为例，可分为任务接收、路径规划、运行控制、定位对接及任务完成五个阶段。任务接收阶段：PLC通过工业以太网接收上位机（MES系统）发送的转运任务（包括起点、终点、物料信息、优先级），任务数据格式采用JSON格式包含任务ID、目标位置坐标、运行速度、对接方式等信息，PLC对接收到的任务进行校验（合法性、完整性），校验通过后存入任务队列。路径规划阶段：PLC根据当前位置和目标位置，调用路径规划算法（如A*算法）生成最优路径，避开障碍物和已占用轨道区域，路径规划时间≤100ms。运行控制阶段：PLC根据规划路径和设定速度（如空载1m/s，负载0.8m/s），通过模拟量输出模块（精度±0.1%）向伺服驱动器发送速度指令，同时接收编码器反馈的实际速度和位置信号，通过PID算法（比例系数Kp=0.5，积分系数Ki=0.1，微分系数Kd=0.05）调节输出，实现速度闭环控制，速度波动≤±1%。定位对接阶段：当RGV运行至目标位置±50mm时，PLC切换至位置闭环控制，通过激光测距传感器（精度±0.5mm）和编码器数据融合，控制RGV以0.2m/s低速运行，最终停靠在目标位置（定位误差≤±1mm），随后启动液压定位机构完成精确定位（±0.1mm）。任务完成阶段：PLC向物料输送装置（如链条输送机）发送启动指令，完成物料装卸后，向MES系统发送任务完成信号（包含实际运行时间、定位精度、物料状态），并清除当前任务，准备接收新任务。</w:t>
      </w:r>
    </w:p>
    <w:p w14:paraId="65D6BAD8">
      <w:r>
        <w:t>安全控制逻辑是PLC程序的关键组成部分，采用“多层次防护”设计：第一层为硬件防护，通过急停按钮、安全光栅、防撞传感器的硬接线接入PLC的安全输入模块（如西门子F-DI模块），实现安全信号的快速响应（响应时间≤10ms）；第二层为软件防护，PLC程序中设置安全联锁逻辑，如急停信号触发时，立即切断所有输出（电机驱动、液压系统、输送装置），并将状态反馈至上位机；第三层为冗余防护，关键传感器（如定位传感器、速度传感器）采用双冗余配置，当两个传感器信号偏差超过±5%时，触发故障报警并切换至安全模式（低速运行至最近停靠点）。安全控制逻辑需通过TÜV SIL2认证，确保满足工业安全标准。</w:t>
      </w:r>
    </w:p>
    <w:p w14:paraId="7471BD55">
      <w:pPr>
        <w:pStyle w:val="4"/>
      </w:pPr>
      <w:r>
        <w:t>4.3 传感器网络与信号处理</w:t>
      </w:r>
    </w:p>
    <w:p w14:paraId="0BAD08C8">
      <w:r>
        <w:t>RGV传感器网络是实现自动化运行的“感知器官”，通过多类型传感器协同工作，实时采集位置、速度、状态及环境信号，经处理后为控制系统提供决策依据，干变浇注车间RGV常用的传感器包括位置传感器、状态传感器、安全传感器及环境传感器四类。</w:t>
      </w:r>
    </w:p>
    <w:p w14:paraId="26ADA02B">
      <w:r>
        <w:t>位置传感器用于实时获取RGV的绝对位置和相对位置，是定位控制的核心。主流配置包括：条码带读头（安装在车体侧面，识别距离10-20mm，分辨率0.1mm），通过读取轨道侧面的条码带获取绝对位置信息（精度±1mm）；绝对值编码器（安装在驱动电机轴端，分辨率1024线/圈），通过电机旋转角度计算相对位置（精度±0.1mm/m）；激光测距传感器（安装在车体前后，检测距离0.1-10m，精度±0.5mm），用于目标位置精确定位和位置校正。位置信号采用“多源融合”处理，通过卡尔曼滤波算法融合条码带、编码器和激光测距传感器数据，提高位置测量精度（融合后精度±0.3mm），同时当某一传感器故障时，系统自动切换至其他传感器数据，确保定位连续性。</w:t>
      </w:r>
    </w:p>
    <w:p w14:paraId="205136AD">
      <w:r>
        <w:t>状态传感器监测RGV各部件的运行状态，及时发现异常并预警。电机状态传感器包括电流传感器（检测范围0-50A，精度±1%）、温度传感器（检测范围-20-150℃）和振动传感器（检测范围0-10g，频率10-1000Hz），实时监测电机的负载、温度和振动状态，当电流超过额定值120%、温度超过100℃或振动加速度超过5g时，触发过载、过热或异常振动报警。驱动系统状态传感器包括压力传感器（液压系统，检测范围0-20MPa）和位移传感器（油缸位置，检测范围0-100mm），监测液压系统压力和定位销位置，确保定位机构正常工作。电源状态传感器包括电压传感器（检测范围AC0-500V）和电流传感器（检测范围0-100A），监测供电系统的电压、电流和功率，当电压波动超过±10%或电流超过额定值时，触发电源故障报警。</w:t>
      </w:r>
    </w:p>
    <w:p w14:paraId="2F380118">
      <w:r>
        <w:t>安全传感器是保障人员和设备安全的最后一道防线，包括急停按钮（蘑菇头自锁式，IP65防护等级）、安全光栅（检测高度500mm，分辨率20mm，响应时间≤10ms）、激光障碍物传感器（检测角度180°，检测距离0-3m可调）和防撞条（接触式，触发力50N）。安全传感器信号采用“双通道”输入PLC安全模块，当任一通道检测到异常时，立即触发紧急制动，同时切断驱动电源，确保在危险发生前停止设备运行。例如，当激光障碍物传感器检测到前方300mm处有障碍物时，PLC在10ms内发出减速指令，使RGV在0.3m内停车，避免碰撞事故。</w:t>
      </w:r>
    </w:p>
    <w:p w14:paraId="57600FD1">
      <w:r>
        <w:t>信号处理流程包括信号采集、滤波、转换、融合及决策五个环节。信号采集通过PLC的模拟量输入模块（16位精度，采样频率100Hz）和数字量输入模块（响应时间≤1ms）实现，将传感器的物理信号转换为电信号；滤波处理采用低通滤波器（截止频率100Hz）去除高频噪声，对于周期性干扰采用陷波滤波器（如50Hz工频干扰）；A/D转换将模拟信号转换为数字信号（16位分辨率），数字量信号直接读取状态；信号融合采用加权平均法（对不同精度传感器赋予不同权重），提高测量可靠性；决策环节根据融合后的信号与设定阈值对比，判断设备状态（正常、预警、故障），并执行相应控制动作（继续运行、减速、停车、报警）。</w:t>
      </w:r>
    </w:p>
    <w:p w14:paraId="6998B8A9">
      <w:pPr>
        <w:pStyle w:val="4"/>
      </w:pPr>
      <w:r>
        <w:t>4.4 通信协议与系统集成</w:t>
      </w:r>
    </w:p>
    <w:p w14:paraId="35FF7CC6">
      <w:r>
        <w:t>RGV通信系统是实现设备与上位机、设备与设备间信息交互的关键，其通信协议与系统集成方案直接影响数据传输的实时性、可靠性和系统扩展性，干变浇注车间RGV常用的通信协议包括PROFIBUS-DP、Modbus及工业以太网，系统集成则涉及与MES、WMS及车间设备的协同。</w:t>
      </w:r>
    </w:p>
    <w:p w14:paraId="2AD0D196">
      <w:r>
        <w:t>PROFIBUS-DP是一种高速、低成本的现场总线协议，广泛应用于RGV与传感器、驱动器的底层通信。该协议采用主从通信方式，传输速率12Mbps时通信距离可达100m（无中继），支持32个从站，采用差分信号传输，抗干扰能力强（共模抑制比≥80dB）。在RGV控制系统中，PLC作为主站，伺服驱动器、条码阅读器、激光传感器等作为从站，通过PROFIBUS-DP总线实现数据交换：主站周期发送控制指令（如速度给定、位置指令），从站实时反馈状态信息（如实际速度、位置、报警代码），通信周期≤10ms，满足实时控制需求。为提高系统可靠性，PROFIBUS-DP采用冗余设计，主站配备双端口DP接口，当一个接口故障时自动切换至另一个接口，切换时间≤100ms，确保通信不中断。</w:t>
      </w:r>
    </w:p>
    <w:p w14:paraId="326796BD">
      <w:r>
        <w:t>Modbus协议是一种应用层协议，适用于RGV与上位机（如HMI、SCADA）的监控数据通信。该协议支持RTU（二进制）和ASCII（文本）两种传输模式，采用RS-485物理层（传输距离1200m，支持32个节点）或TCP/IP以太网（传输速率100Mbps），数据帧格式简单（地址码+功能码+数据+校验码），易于实现和调试。在RGV系统中，Modbus协议主要用于传输非实时数据，如设备状态（运行/停止/故障）、参数设置（速度、加速度、定位参数）、报警信息（故障代码、故障时间）及统计数据（运行时间、转运次数、故障次数）。例如，HMI通过Modbus TCP/IP协议读取PLC的保持寄存器数据获取RGV的实时位置、速度和电量，同时向PLC的线圈寄存器写入控制指令（如启动、停止、急停），实现人机交互。</w:t>
      </w:r>
    </w:p>
    <w:p w14:paraId="11D76386">
      <w:r>
        <w:t>工业以太网是RGV与MES系统、车间其他设备协同的核心通信技术，目前主流采用PROFINET协议，支持实时通信（IRT，等时实时）和非实时通信，传输速率100Mbps全双工，通信延迟≤1ms（IRT模式），满足多设备协同的实时性需求。在干变浇注车间，RGV通过工业以太网接入车间局域网，与MES系统、固化炉、浇注设备等组成分布式控制系统：MES系统向RGV下达转运任务，RGV实时反馈任务执行状态；固化炉向RGV发送炉门状态（开/关）和温度信息，RGV根据炉门状态决定是否进入固化区域；浇注设备向RGV发送模具准备就绪信号，RGV根据信号执行对接动作。工业以太网采用星型拓扑结构，通过工业交换机实现设备互联，交换机支持冗余环网（MRP协议），当网络出现故障时，环网重构时间≤200ms，确保通信不中断。</w:t>
      </w:r>
    </w:p>
    <w:p w14:paraId="09515446">
      <w:r>
        <w:t>系统集成架构采用“三层架构”设计：设备层（RGV、传感器、驱动器）通过PROFIBUS-DP实现底层数据采集与控制；控制层（PLC、HMI、SCADA）通过工业以太网实现设备间协同和监控；管理层（MES、WMS）通过企业局域网实现生产计划、任务调度和数据管理。各层级之间通过标准化接口（如OPC UA、WebService）实现数据交互，确保信息流畅通。例如，MES系统通过OPC UA接口读取PLC的实时数据（RGV位置、状态、任务进度），进行生产过程监控和任务优化；同时通过WebService接口向PLC下达生产任务，实现生产流程的自动化衔接。为保障数据安全，通信系统采用数据加密（AES-128加密算法）、访问控制（基于角色的权限管理）和日志审计（记录所有通信操作），防止数据泄露和非法访问。</w:t>
      </w:r>
    </w:p>
    <w:p w14:paraId="07D5C48B">
      <w:pPr>
        <w:pStyle w:val="3"/>
      </w:pPr>
      <w:r>
        <w:t>五、常见故障类型与成因分析</w:t>
      </w:r>
    </w:p>
    <w:p w14:paraId="049A5F29">
      <w:pPr>
        <w:pStyle w:val="4"/>
      </w:pPr>
      <w:r>
        <w:t>5.1 电气系统故障</w:t>
      </w:r>
    </w:p>
    <w:p w14:paraId="40177205">
      <w:r>
        <w:t>干变浇注车间RGV的电气系统故障主要集中在供电系统、电机驱动系统及传感器系统，受高温、粉尘环境影响，故障成因具有明显的行业特性。</w:t>
      </w:r>
    </w:p>
    <w:p w14:paraId="13B5AEC6">
      <w:r>
        <w:t>供电系统故障是导致RGV停机的主要原因之一，具体表现为电源中断、电压波动或缺相。滑触线供电系统中，集电器碳刷磨损（磨损量超过5mm）或铜条导轨氧化（接触电阻＞50mΩ）会导致接触不良，表现为RGV运行中突然停机或控制系统复位，故障排查时需测量集电器输出电压（正常AC380V±10%）和接触电阻（≤50mΩ）。蓄电池供电系统中，BMS故障（如单体电压检测偏差＞10mV）或电池老化（循环寿命超过2000次）会导致续航能力下降（单次充电后续航＜6小时），需通过BMS上位机软件读取单体电压和容量衰减曲线（容量低于额定值80%时需更换电池）。此外，电源管理模块的过压保护（设定值418V）或过流保护（设定值120A）误动作，多因电压传感器漂移（误差＞±2%）或电流检测回路故障（如分流器损坏），需校准传感器或更换模块。</w:t>
      </w:r>
    </w:p>
    <w:p w14:paraId="3741485B">
      <w:r>
        <w:t>电机驱动系统故障表现为电机不转、转速异常或异响，核心成因包括电机过载、编码器故障及驱动器报警。电机过载（电流超过额定值120%）多因负载过大（实际负载超过额定值150%）、传动卡滞（如轴承润滑不足导致摩擦力增大）或电源缺相（三相电流不平衡＞5%），需检查负载状态、传动机构润滑及电源相序。编码器故障（如信号丢失、脉冲计数错误）会导致速度闭环失控，表现为RGV速度波动＞±5%或定位偏差＞±5mm，常见原因包括编码器线缆断裂（拖链内线缆频繁弯折）、接口松动（插头针脚氧化）或码盘污染（粉尘覆盖导致信号衰减＞30%），需更换线缆、清洁接口或更换编码器。伺服驱动器报警代码（如过流F01、过压F02、过载F05）对应不同故障类型：过流多因电机短路（绕组绝缘电阻＜0.5MΩ）或驱动器功率模块损坏；过压多因电源电压过高（＞418V）或制动单元故障；过载多因负载扭矩超过额定值150%，需针对性检查电机、电源或负载。</w:t>
      </w:r>
    </w:p>
    <w:p w14:paraId="47D7AEA6">
      <w:r>
        <w:t>传感器系统故障表现为信号丢失、误报或精度超差，受环境因素影响显著。光电传感器误动作（如无物料时检测到物料）多因镜头污染（粉尘覆盖导致透光率＜70%）或接线错误（NPN/PNP型传感器与PLC输入模块不匹配），需使用压缩空气清洁镜头或纠正接线（棕色接正极、蓝色接负极、黑色接信号）。激光测距传感器定位偏差（＞±1mm）多因条码带污染（条码对比度＜50%）或读头安装倾斜（角度偏差＞3°），需使用酒精清洁条码带或重新校准读头位置（水平和垂直偏差≤0.5mm/m）。接近开关无信号输出可能是感应距离不足（金属目标距离＞额定距离120%）或开关损坏（线圈断线或触点氧化），需调整检测距离或更换开关。</w:t>
      </w:r>
    </w:p>
    <w:p w14:paraId="53610842">
      <w:pPr>
        <w:pStyle w:val="4"/>
      </w:pPr>
      <w:r>
        <w:t>电气系统故障成因总结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5071EB1">
        <w:tc>
          <w:tcPr>
            <w:tcW w:w="0" w:type="auto"/>
            <w:vAlign w:val="center"/>
          </w:tcPr>
          <w:p w14:paraId="3DB1395D">
            <w:pPr>
              <w:jc w:val="center"/>
              <w:rPr>
                <w:b/>
              </w:rPr>
            </w:pPr>
            <w:r>
              <w:rPr>
                <w:b/>
              </w:rPr>
              <w:t>故障类型</w:t>
            </w:r>
          </w:p>
        </w:tc>
        <w:tc>
          <w:tcPr>
            <w:tcW w:w="0" w:type="auto"/>
            <w:vAlign w:val="center"/>
          </w:tcPr>
          <w:p w14:paraId="407B4208">
            <w:pPr>
              <w:jc w:val="center"/>
              <w:rPr>
                <w:b/>
              </w:rPr>
            </w:pPr>
            <w:r>
              <w:rPr>
                <w:b/>
              </w:rPr>
              <w:t>典型表现</w:t>
            </w:r>
          </w:p>
        </w:tc>
        <w:tc>
          <w:tcPr>
            <w:tcW w:w="0" w:type="auto"/>
            <w:vAlign w:val="center"/>
          </w:tcPr>
          <w:p w14:paraId="29479E26">
            <w:pPr>
              <w:jc w:val="center"/>
              <w:rPr>
                <w:b/>
              </w:rPr>
            </w:pPr>
            <w:r>
              <w:rPr>
                <w:b/>
              </w:rPr>
              <w:t>主要成因</w:t>
            </w:r>
          </w:p>
        </w:tc>
        <w:tc>
          <w:tcPr>
            <w:tcW w:w="0" w:type="auto"/>
            <w:vAlign w:val="center"/>
          </w:tcPr>
          <w:p w14:paraId="33161109">
            <w:pPr>
              <w:jc w:val="center"/>
              <w:rPr>
                <w:b/>
              </w:rPr>
            </w:pPr>
            <w:r>
              <w:rPr>
                <w:b/>
              </w:rPr>
              <w:t>环境影响因素</w:t>
            </w:r>
          </w:p>
        </w:tc>
      </w:tr>
      <w:tr w14:paraId="0555541D">
        <w:tc>
          <w:tcPr>
            <w:tcW w:w="0" w:type="auto"/>
            <w:vAlign w:val="center"/>
          </w:tcPr>
          <w:p w14:paraId="694979EE">
            <w:r>
              <w:t>供电中断</w:t>
            </w:r>
          </w:p>
        </w:tc>
        <w:tc>
          <w:tcPr>
            <w:tcW w:w="0" w:type="auto"/>
            <w:vAlign w:val="center"/>
          </w:tcPr>
          <w:p w14:paraId="1FDE115A">
            <w:r>
              <w:t>突然停机、控制系统复位</w:t>
            </w:r>
          </w:p>
        </w:tc>
        <w:tc>
          <w:tcPr>
            <w:tcW w:w="0" w:type="auto"/>
            <w:vAlign w:val="center"/>
          </w:tcPr>
          <w:p w14:paraId="5B6281FD">
            <w:r>
              <w:t>碳刷磨损、电池老化、电源模块保护动作</w:t>
            </w:r>
          </w:p>
        </w:tc>
        <w:tc>
          <w:tcPr>
            <w:tcW w:w="0" w:type="auto"/>
            <w:vAlign w:val="center"/>
          </w:tcPr>
          <w:p w14:paraId="61FEDFEA">
            <w:r>
              <w:t>粉尘导致碳刷接触不良</w:t>
            </w:r>
          </w:p>
        </w:tc>
      </w:tr>
      <w:tr w14:paraId="17AA2DA4">
        <w:tc>
          <w:tcPr>
            <w:tcW w:w="0" w:type="auto"/>
            <w:vAlign w:val="center"/>
          </w:tcPr>
          <w:p w14:paraId="3BF78C26">
            <w:r>
              <w:t>电机过载</w:t>
            </w:r>
          </w:p>
        </w:tc>
        <w:tc>
          <w:tcPr>
            <w:tcW w:w="0" w:type="auto"/>
            <w:vAlign w:val="center"/>
          </w:tcPr>
          <w:p w14:paraId="431E80CE">
            <w:r>
              <w:t>电流超限、热继电器动作</w:t>
            </w:r>
          </w:p>
        </w:tc>
        <w:tc>
          <w:tcPr>
            <w:tcW w:w="0" w:type="auto"/>
            <w:vAlign w:val="center"/>
          </w:tcPr>
          <w:p w14:paraId="0FB2FA28">
            <w:r>
              <w:t>负载过大、传动卡滞、电源缺相</w:t>
            </w:r>
          </w:p>
        </w:tc>
        <w:tc>
          <w:tcPr>
            <w:tcW w:w="0" w:type="auto"/>
            <w:vAlign w:val="center"/>
          </w:tcPr>
          <w:p w14:paraId="4DC2D2B1">
            <w:r>
              <w:t>高温加速绝缘老化</w:t>
            </w:r>
          </w:p>
        </w:tc>
      </w:tr>
      <w:tr w14:paraId="71584BE6">
        <w:tc>
          <w:tcPr>
            <w:tcW w:w="0" w:type="auto"/>
            <w:vAlign w:val="center"/>
          </w:tcPr>
          <w:p w14:paraId="711F5173">
            <w:r>
              <w:t>编码器故障</w:t>
            </w:r>
          </w:p>
        </w:tc>
        <w:tc>
          <w:tcPr>
            <w:tcW w:w="0" w:type="auto"/>
            <w:vAlign w:val="center"/>
          </w:tcPr>
          <w:p w14:paraId="22ECAFCA">
            <w:r>
              <w:t>速度波动、定位偏差</w:t>
            </w:r>
          </w:p>
        </w:tc>
        <w:tc>
          <w:tcPr>
            <w:tcW w:w="0" w:type="auto"/>
            <w:vAlign w:val="center"/>
          </w:tcPr>
          <w:p w14:paraId="6B1A5C3F">
            <w:r>
              <w:t>线缆断裂、接口松动、码盘污染</w:t>
            </w:r>
          </w:p>
        </w:tc>
        <w:tc>
          <w:tcPr>
            <w:tcW w:w="0" w:type="auto"/>
            <w:vAlign w:val="center"/>
          </w:tcPr>
          <w:p w14:paraId="4294DEAD">
            <w:r>
              <w:t>粉尘覆盖、振动导致接口松动</w:t>
            </w:r>
          </w:p>
        </w:tc>
      </w:tr>
      <w:tr w14:paraId="76CFBD70">
        <w:tc>
          <w:tcPr>
            <w:tcW w:w="0" w:type="auto"/>
            <w:vAlign w:val="center"/>
          </w:tcPr>
          <w:p w14:paraId="14495193">
            <w:r>
              <w:t>传感器误报</w:t>
            </w:r>
          </w:p>
        </w:tc>
        <w:tc>
          <w:tcPr>
            <w:tcW w:w="0" w:type="auto"/>
            <w:vAlign w:val="center"/>
          </w:tcPr>
          <w:p w14:paraId="6152B5F4">
            <w:r>
              <w:t>无物料检测到物料、定位不准</w:t>
            </w:r>
          </w:p>
        </w:tc>
        <w:tc>
          <w:tcPr>
            <w:tcW w:w="0" w:type="auto"/>
            <w:vAlign w:val="center"/>
          </w:tcPr>
          <w:p w14:paraId="0A5694C2">
            <w:r>
              <w:t>镜头污染、接线错误、安装倾斜</w:t>
            </w:r>
          </w:p>
        </w:tc>
        <w:tc>
          <w:tcPr>
            <w:tcW w:w="0" w:type="auto"/>
            <w:vAlign w:val="center"/>
          </w:tcPr>
          <w:p w14:paraId="6C0B5B7D">
            <w:r>
              <w:t>粉尘覆盖镜头、潮湿导致短路</w:t>
            </w:r>
          </w:p>
        </w:tc>
      </w:tr>
    </w:tbl>
    <w:p w14:paraId="01B07192">
      <w:pPr>
        <w:pStyle w:val="4"/>
      </w:pPr>
      <w:r>
        <w:t>5.2 机械系统故障</w:t>
      </w:r>
    </w:p>
    <w:p w14:paraId="5ED8389F">
      <w:r>
        <w:t>干变浇注车间RGV的机械系统故障集中在轨道与车轮、传动机构及结构件，受重载、冲击及维护不当影响显著，具体故障类型与成因如下。</w:t>
      </w:r>
    </w:p>
    <w:p w14:paraId="28565266">
      <w:r>
        <w:t>轨道与车轮系统故障表现为RGV运行异响、跑偏或脱轨，核心问题在于车轮磨损、轨道变形及安装精度超差。驱动轮轮缘磨损（磨损量＞0.5mm）会导致轮径不一致（左右轮径差＞1mm），表现为RGV运行跑偏（偏离轨道中心线＞5mm），多因轨道侧面摩擦（轨道平行度误差＞0.5mm/m）或润滑不足（轮缘未定期涂抹润滑脂），需更换驱动轮（轮径偏差≤0.1mm）并调整轨道平行度。从动轮轴承卡滞（转动阻力矩＞5N·m）会导致运行阻力增大，电机电流上升（超过额定值10%），成因包括轴承缺油（润滑周期超过3个月）、粉尘进入轴承（密封失效）或轴承锈蚀（潮湿环境导致氧化），需拆卸清洗轴承、补充润滑脂（锂基润滑脂NLGI 2）或更换轴承（额定动载荷≥50KN）。轨道故障包括轨道沉降（局部落差＞2mm）、接缝错位（错边量＞0.3mm）或异物卡滞（如铁屑、树脂块），会导致RGV振动加剧（加速度＞0.5g）或车轮冲击异响，需通过激光水准仪校正轨道（水平度误差≤0.2mm/m）、打磨接缝或安装清轨器。</w:t>
      </w:r>
    </w:p>
    <w:p w14:paraId="1010DC51">
      <w:r>
        <w:t>传动机构故障主要涉及齿轮齿条、链条及联轴器，表现为传动异响、动力传递效率下降或定位精度超差。齿轮齿条啮合不良（侧隙＞0.3mm或顶隙＜0.1m）会导致运行中出现“跳齿”或“啃齿”，成因包括齿条安装松动（固定螺栓扭矩＜35N·m）、齿轮箱位置偏移（平行度误差＞0.1mm/m）或齿面磨损（齿厚减薄＞0.2mm），需重新紧固齿条、调整齿轮箱位置或更换齿轮齿条。链条传动故障（如链条跳齿、张紧度不足）多因链条磨损（节距伸长＞2%）、链轮齿面磨损（齿顶圆直径减小＞1mm）或张紧装置失效（弹簧弹力衰减＞30%），需测量链条下垂量（跨度1.5m时下垂量＞30mm需张紧）、更换链条或链轮。联轴器故障（如膜片断裂、弹性体老化）会导致动力传递不平稳，表现为振动加速度＞0.3g，多因安装偏差过大（径向偏差＞0.2mm或角向偏差＞1°）或材质老化（超过5年使用寿命），需重新对中或更换联轴器。</w:t>
      </w:r>
    </w:p>
    <w:p w14:paraId="28F10A2C">
      <w:r>
        <w:t>结构件故障表现为车架变形、连接件松动或焊缝开裂，直接影响RGV的结构刚性和运行安全。车架弹性变形（挠度＞1mm/m）多因长期超载（超过额定载荷150%）或加强筋失效（焊缝开裂长度＞10mm），需通过应力测试（最大应力＞235MPa时需补强）或更换车架。承载平台定位销卡滞（伸缩阻力＞50N）会导致对接失败，成因包括油缸漏油（密封件老化）、导向套磨损（配合间隙＞0.2mm）或异物堵塞（树脂碎屑），需更换密封件、导向套或清洁定位孔。连接件松动（如螺栓预紧扭矩＜80%额定值）会导致异响或结构偏移，多因振动（加速度＞0.3g）或未使用防松措施（如未涂螺纹胶或未装防松垫圈），需按扭矩要求（如M12螺栓35-40N·m）重新紧固并采用防松措施。</w:t>
      </w:r>
    </w:p>
    <w:p w14:paraId="2320852B">
      <w:pPr>
        <w:pStyle w:val="4"/>
      </w:pPr>
      <w:r>
        <w:t>机械系统故障成因总结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7F2B602">
        <w:tc>
          <w:tcPr>
            <w:tcW w:w="0" w:type="auto"/>
            <w:vAlign w:val="center"/>
          </w:tcPr>
          <w:p w14:paraId="784D7937">
            <w:pPr>
              <w:jc w:val="center"/>
              <w:rPr>
                <w:b/>
              </w:rPr>
            </w:pPr>
            <w:r>
              <w:rPr>
                <w:b/>
              </w:rPr>
              <w:t>故障类型</w:t>
            </w:r>
          </w:p>
        </w:tc>
        <w:tc>
          <w:tcPr>
            <w:tcW w:w="0" w:type="auto"/>
            <w:vAlign w:val="center"/>
          </w:tcPr>
          <w:p w14:paraId="06AA33E7">
            <w:pPr>
              <w:jc w:val="center"/>
              <w:rPr>
                <w:b/>
              </w:rPr>
            </w:pPr>
            <w:r>
              <w:rPr>
                <w:b/>
              </w:rPr>
              <w:t>典型表现</w:t>
            </w:r>
          </w:p>
        </w:tc>
        <w:tc>
          <w:tcPr>
            <w:tcW w:w="0" w:type="auto"/>
            <w:vAlign w:val="center"/>
          </w:tcPr>
          <w:p w14:paraId="4BADEC66">
            <w:pPr>
              <w:jc w:val="center"/>
              <w:rPr>
                <w:b/>
              </w:rPr>
            </w:pPr>
            <w:r>
              <w:rPr>
                <w:b/>
              </w:rPr>
              <w:t>主要成因</w:t>
            </w:r>
          </w:p>
        </w:tc>
        <w:tc>
          <w:tcPr>
            <w:tcW w:w="0" w:type="auto"/>
            <w:vAlign w:val="center"/>
          </w:tcPr>
          <w:p w14:paraId="2C81B108">
            <w:pPr>
              <w:jc w:val="center"/>
              <w:rPr>
                <w:b/>
              </w:rPr>
            </w:pPr>
            <w:r>
              <w:rPr>
                <w:b/>
              </w:rPr>
              <w:t>维护影响因素</w:t>
            </w:r>
          </w:p>
        </w:tc>
      </w:tr>
      <w:tr w14:paraId="54A7B391">
        <w:tc>
          <w:tcPr>
            <w:tcW w:w="0" w:type="auto"/>
            <w:vAlign w:val="center"/>
          </w:tcPr>
          <w:p w14:paraId="2039A001">
            <w:r>
              <w:t>车轮磨损</w:t>
            </w:r>
          </w:p>
        </w:tc>
        <w:tc>
          <w:tcPr>
            <w:tcW w:w="0" w:type="auto"/>
            <w:vAlign w:val="center"/>
          </w:tcPr>
          <w:p w14:paraId="7E2A1BCC">
            <w:r>
              <w:t>运行跑偏、振动加剧</w:t>
            </w:r>
          </w:p>
        </w:tc>
        <w:tc>
          <w:tcPr>
            <w:tcW w:w="0" w:type="auto"/>
            <w:vAlign w:val="center"/>
          </w:tcPr>
          <w:p w14:paraId="299A0255">
            <w:r>
              <w:t>轮径差＞1mm、轨道摩擦大</w:t>
            </w:r>
          </w:p>
        </w:tc>
        <w:tc>
          <w:tcPr>
            <w:tcW w:w="0" w:type="auto"/>
            <w:vAlign w:val="center"/>
          </w:tcPr>
          <w:p w14:paraId="324F5534">
            <w:r>
              <w:t>未定期测量轮径、润滑不足</w:t>
            </w:r>
          </w:p>
        </w:tc>
      </w:tr>
      <w:tr w14:paraId="4416067C">
        <w:tc>
          <w:tcPr>
            <w:tcW w:w="0" w:type="auto"/>
            <w:vAlign w:val="center"/>
          </w:tcPr>
          <w:p w14:paraId="4091F044">
            <w:r>
              <w:t>齿轮齿条啮合不良</w:t>
            </w:r>
          </w:p>
        </w:tc>
        <w:tc>
          <w:tcPr>
            <w:tcW w:w="0" w:type="auto"/>
            <w:vAlign w:val="center"/>
          </w:tcPr>
          <w:p w14:paraId="7A931EBA">
            <w:r>
              <w:t>传动异响、定位偏差</w:t>
            </w:r>
          </w:p>
        </w:tc>
        <w:tc>
          <w:tcPr>
            <w:tcW w:w="0" w:type="auto"/>
            <w:vAlign w:val="center"/>
          </w:tcPr>
          <w:p w14:paraId="7BD735D3">
            <w:r>
              <w:t>侧隙＞0.3mm、齿面磨损＞0.2mm</w:t>
            </w:r>
          </w:p>
        </w:tc>
        <w:tc>
          <w:tcPr>
            <w:tcW w:w="0" w:type="auto"/>
            <w:vAlign w:val="center"/>
          </w:tcPr>
          <w:p w14:paraId="6334AB1E">
            <w:r>
              <w:t>未定期调整齿轮箱位置</w:t>
            </w:r>
          </w:p>
        </w:tc>
      </w:tr>
      <w:tr w14:paraId="45A3690D">
        <w:tc>
          <w:tcPr>
            <w:tcW w:w="0" w:type="auto"/>
            <w:vAlign w:val="center"/>
          </w:tcPr>
          <w:p w14:paraId="569FB49F">
            <w:r>
              <w:t>链条跳齿</w:t>
            </w:r>
          </w:p>
        </w:tc>
        <w:tc>
          <w:tcPr>
            <w:tcW w:w="0" w:type="auto"/>
            <w:vAlign w:val="center"/>
          </w:tcPr>
          <w:p w14:paraId="1103F92F">
            <w:r>
              <w:t>输送中断、异响</w:t>
            </w:r>
          </w:p>
        </w:tc>
        <w:tc>
          <w:tcPr>
            <w:tcW w:w="0" w:type="auto"/>
            <w:vAlign w:val="center"/>
          </w:tcPr>
          <w:p w14:paraId="130D6385">
            <w:r>
              <w:t>节距伸长＞2%、张紧力不足</w:t>
            </w:r>
          </w:p>
        </w:tc>
        <w:tc>
          <w:tcPr>
            <w:tcW w:w="0" w:type="auto"/>
            <w:vAlign w:val="center"/>
          </w:tcPr>
          <w:p w14:paraId="61866640">
            <w:r>
              <w:t>未定期张紧链条、缺润滑</w:t>
            </w:r>
          </w:p>
        </w:tc>
      </w:tr>
      <w:tr w14:paraId="5FF251C1">
        <w:tc>
          <w:tcPr>
            <w:tcW w:w="0" w:type="auto"/>
            <w:vAlign w:val="center"/>
          </w:tcPr>
          <w:p w14:paraId="05FEF824">
            <w:r>
              <w:t>车架变形</w:t>
            </w:r>
          </w:p>
        </w:tc>
        <w:tc>
          <w:tcPr>
            <w:tcW w:w="0" w:type="auto"/>
            <w:vAlign w:val="center"/>
          </w:tcPr>
          <w:p w14:paraId="1ABD46AB">
            <w:r>
              <w:t>结构刚性下降、定位不准</w:t>
            </w:r>
          </w:p>
        </w:tc>
        <w:tc>
          <w:tcPr>
            <w:tcW w:w="0" w:type="auto"/>
            <w:vAlign w:val="center"/>
          </w:tcPr>
          <w:p w14:paraId="3356D600">
            <w:r>
              <w:t>长期超载、加强筋焊缝开裂</w:t>
            </w:r>
          </w:p>
        </w:tc>
        <w:tc>
          <w:tcPr>
            <w:tcW w:w="0" w:type="auto"/>
            <w:vAlign w:val="center"/>
          </w:tcPr>
          <w:p w14:paraId="10D1DCA8">
            <w:r>
              <w:t>未控制负载、未定期检查焊缝</w:t>
            </w:r>
          </w:p>
        </w:tc>
      </w:tr>
    </w:tbl>
    <w:p w14:paraId="11490DBA">
      <w:pPr>
        <w:pStyle w:val="4"/>
      </w:pPr>
      <w:r>
        <w:t>5.3 控制系统故障</w:t>
      </w:r>
    </w:p>
    <w:p w14:paraId="163ED30D">
      <w:r>
        <w:t>RGV控制系统故障涉及PLC、通信网络及软件逻辑，表现为设备无响应、任务执行异常或安全保护误动作，成因包括硬件故障、软件BUG及干扰影响。</w:t>
      </w:r>
    </w:p>
    <w:p w14:paraId="4A793EEF">
      <w:r>
        <w:t>PLC系统故障表现为程序丢失、模块无响应或逻辑错误，核心成因包括CPU模块故障、电源模块损坏及程序错误。CPU模块故障（如无法启动、运行中死机）多因内部存储器损坏（掉电导致程序丢失）或外部干扰（电磁干扰强度＞10V/m），需通过MPI接口重新下载程序或更换CPU模块（确保程序备份）。电源模块故障（无24V输出或输出电压波动＞±5%）会导致PLC及传感器失电，表现为所有输入信号丢失，需测量输入电压（AC380V±10%）和输出电压（DC24V±2%），更换损坏的电源模块。程序逻辑错误（如任务无法启动、动作顺序错乱）多因梯形图编程错误（如触点遗漏、线圈重复输出）或参数设置错误（如速度设定值＞最大值1.2m/s），需通过PLC编程软件（如TIA Portal）在线监控程序状态，查找逻辑错误并修正参数。</w:t>
      </w:r>
    </w:p>
    <w:p w14:paraId="19CA11CC">
      <w:r>
        <w:t>通信网络故障表现为数据丢包、连接中断或响应延迟，涉及PROFIBUS-DP、工业以太网及无线通信。PROFIBUS-DP总线故障（通信中断或从站掉线）多因总线终端电阻未接（120Ω终端电阻需接在总线两端）、线缆屏蔽层接地不良（接地电阻＞4Ω）或从站地址冲突（两个从站地址相同），需使用总线诊断仪（如西门子DP诊断仪）检测信号质量（幅值＞0.5V）、排查接地或重新设置从站地址。工业以太网故障（ping不通或数据传输延迟＞100ms）可能是交换机端口故障（指示灯不亮）、网线水晶头氧化（接触电阻＞100mΩ）或IP地址冲突（同一网段内IP重复），需更换交换机端口、重做水晶头或修改IP地址。无线通信故障（如Mesh网络丢包率＞5%）多因信号干扰（车间其他无线设备频段冲突）、AP距离过远（信号强度＜-70dBm）或漫游切换失败（切换时间＞50ms），需使用频谱分析仪扫描干扰源、增加AP数量或优化漫游参数。</w:t>
      </w:r>
    </w:p>
    <w:p w14:paraId="0B3F1DC2">
      <w:r>
        <w:t>安全保护系统误动作是控制系统故障的特殊类型，表现为急停误触发、安全光栅报警或防撞传感器误报。急停按钮误动作多因按钮机械卡滞（复位弹簧失效）或触点粘连（电弧导致），需拆解清洁按钮或更换急停开关（确保常闭触点断开时电阻＞1MΩ）。安全光栅误报警（无遮挡时报警）多因光栅镜片污染（粉尘覆盖导致光束衰减＞30%）或对准偏差（发射端与接收端对准误差＞1°），需使用压缩空气清洁镜片或调整光栅位置（对准后指示灯常亮）。激光障碍物传感器误检测（无障碍物时触发）多因检测距离设置错误（设定值＞实际轨道长度）或背景干扰（强光直射导致信号饱和），需重新设置检测距离（0-3m可调）或安装遮光板。</w:t>
      </w:r>
    </w:p>
    <w:p w14:paraId="12007715">
      <w:pPr>
        <w:pStyle w:val="4"/>
      </w:pPr>
      <w:r>
        <w:t>控制系统故障成因总结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0FAAF2F9">
        <w:tc>
          <w:tcPr>
            <w:tcW w:w="0" w:type="auto"/>
            <w:vAlign w:val="center"/>
          </w:tcPr>
          <w:p w14:paraId="296C9818">
            <w:pPr>
              <w:jc w:val="center"/>
              <w:rPr>
                <w:b/>
              </w:rPr>
            </w:pPr>
            <w:r>
              <w:rPr>
                <w:b/>
              </w:rPr>
              <w:t>故障类型</w:t>
            </w:r>
          </w:p>
        </w:tc>
        <w:tc>
          <w:tcPr>
            <w:tcW w:w="0" w:type="auto"/>
            <w:vAlign w:val="center"/>
          </w:tcPr>
          <w:p w14:paraId="27C7F76A">
            <w:pPr>
              <w:jc w:val="center"/>
              <w:rPr>
                <w:b/>
              </w:rPr>
            </w:pPr>
            <w:r>
              <w:rPr>
                <w:b/>
              </w:rPr>
              <w:t>典型表现</w:t>
            </w:r>
          </w:p>
        </w:tc>
        <w:tc>
          <w:tcPr>
            <w:tcW w:w="0" w:type="auto"/>
            <w:vAlign w:val="center"/>
          </w:tcPr>
          <w:p w14:paraId="0B07897D">
            <w:pPr>
              <w:jc w:val="center"/>
              <w:rPr>
                <w:b/>
              </w:rPr>
            </w:pPr>
            <w:r>
              <w:rPr>
                <w:b/>
              </w:rPr>
              <w:t>主要成因</w:t>
            </w:r>
          </w:p>
        </w:tc>
        <w:tc>
          <w:tcPr>
            <w:tcW w:w="0" w:type="auto"/>
            <w:vAlign w:val="center"/>
          </w:tcPr>
          <w:p w14:paraId="1A4E0F57">
            <w:pPr>
              <w:jc w:val="center"/>
              <w:rPr>
                <w:b/>
              </w:rPr>
            </w:pPr>
            <w:r>
              <w:rPr>
                <w:b/>
              </w:rPr>
              <w:t>环境影响因素</w:t>
            </w:r>
          </w:p>
        </w:tc>
      </w:tr>
      <w:tr w14:paraId="3397FA1E">
        <w:tc>
          <w:tcPr>
            <w:tcW w:w="0" w:type="auto"/>
            <w:vAlign w:val="center"/>
          </w:tcPr>
          <w:p w14:paraId="75C44039">
            <w:r>
              <w:t>PLC程序丢失</w:t>
            </w:r>
          </w:p>
        </w:tc>
        <w:tc>
          <w:tcPr>
            <w:tcW w:w="0" w:type="auto"/>
            <w:vAlign w:val="center"/>
          </w:tcPr>
          <w:p w14:paraId="1A376EE5">
            <w:r>
              <w:t>设备无响应、无法启动</w:t>
            </w:r>
          </w:p>
        </w:tc>
        <w:tc>
          <w:tcPr>
            <w:tcW w:w="0" w:type="auto"/>
            <w:vAlign w:val="center"/>
          </w:tcPr>
          <w:p w14:paraId="6DFA014C">
            <w:r>
              <w:t>电池电量不足（＜3V）、CPU模块故障</w:t>
            </w:r>
          </w:p>
        </w:tc>
        <w:tc>
          <w:tcPr>
            <w:tcW w:w="0" w:type="auto"/>
            <w:vAlign w:val="center"/>
          </w:tcPr>
          <w:p w14:paraId="515BCC7F">
            <w:r>
              <w:t>频繁掉电导致电池放电</w:t>
            </w:r>
          </w:p>
        </w:tc>
      </w:tr>
      <w:tr w14:paraId="212D018D">
        <w:tc>
          <w:tcPr>
            <w:tcW w:w="0" w:type="auto"/>
            <w:vAlign w:val="center"/>
          </w:tcPr>
          <w:p w14:paraId="083833EB">
            <w:r>
              <w:t>通信中断</w:t>
            </w:r>
          </w:p>
        </w:tc>
        <w:tc>
          <w:tcPr>
            <w:tcW w:w="0" w:type="auto"/>
            <w:vAlign w:val="center"/>
          </w:tcPr>
          <w:p w14:paraId="0F21B874">
            <w:r>
              <w:t>数据丢包、从站掉线</w:t>
            </w:r>
          </w:p>
        </w:tc>
        <w:tc>
          <w:tcPr>
            <w:tcW w:w="0" w:type="auto"/>
            <w:vAlign w:val="center"/>
          </w:tcPr>
          <w:p w14:paraId="0AD6B25D">
            <w:r>
              <w:t>终端电阻未接、接地不良、IP冲突</w:t>
            </w:r>
          </w:p>
        </w:tc>
        <w:tc>
          <w:tcPr>
            <w:tcW w:w="0" w:type="auto"/>
            <w:vAlign w:val="center"/>
          </w:tcPr>
          <w:p w14:paraId="63B05AF8">
            <w:r>
              <w:t>电磁干扰导致信号衰减</w:t>
            </w:r>
          </w:p>
        </w:tc>
      </w:tr>
      <w:tr w14:paraId="3AD77E80">
        <w:tc>
          <w:tcPr>
            <w:tcW w:w="0" w:type="auto"/>
            <w:vAlign w:val="center"/>
          </w:tcPr>
          <w:p w14:paraId="6D086407">
            <w:r>
              <w:t>安全光栅误报警</w:t>
            </w:r>
          </w:p>
        </w:tc>
        <w:tc>
          <w:tcPr>
            <w:tcW w:w="0" w:type="auto"/>
            <w:vAlign w:val="center"/>
          </w:tcPr>
          <w:p w14:paraId="47D2BB3F">
            <w:r>
              <w:t>无遮挡时停机</w:t>
            </w:r>
          </w:p>
        </w:tc>
        <w:tc>
          <w:tcPr>
            <w:tcW w:w="0" w:type="auto"/>
            <w:vAlign w:val="center"/>
          </w:tcPr>
          <w:p w14:paraId="303AF9D0">
            <w:r>
              <w:t>镜片污染、对准偏差、线缆断裂</w:t>
            </w:r>
          </w:p>
        </w:tc>
        <w:tc>
          <w:tcPr>
            <w:tcW w:w="0" w:type="auto"/>
            <w:vAlign w:val="center"/>
          </w:tcPr>
          <w:p w14:paraId="5688A6BC">
            <w:r>
              <w:t>粉尘覆盖、振动导致位置偏移</w:t>
            </w:r>
          </w:p>
        </w:tc>
      </w:tr>
      <w:tr w14:paraId="61CFD05C">
        <w:tc>
          <w:tcPr>
            <w:tcW w:w="0" w:type="auto"/>
            <w:vAlign w:val="center"/>
          </w:tcPr>
          <w:p w14:paraId="04F0F345">
            <w:r>
              <w:t>任务执行异常</w:t>
            </w:r>
          </w:p>
        </w:tc>
        <w:tc>
          <w:tcPr>
            <w:tcW w:w="0" w:type="auto"/>
            <w:vAlign w:val="center"/>
          </w:tcPr>
          <w:p w14:paraId="2A7C5F75">
            <w:r>
              <w:t>路径错误、动作顺序错乱</w:t>
            </w:r>
          </w:p>
        </w:tc>
        <w:tc>
          <w:tcPr>
            <w:tcW w:w="0" w:type="auto"/>
            <w:vAlign w:val="center"/>
          </w:tcPr>
          <w:p w14:paraId="414EEDF6">
            <w:r>
              <w:t>程序逻辑错误、参数设置错误</w:t>
            </w:r>
          </w:p>
        </w:tc>
        <w:tc>
          <w:tcPr>
            <w:tcW w:w="0" w:type="auto"/>
            <w:vAlign w:val="center"/>
          </w:tcPr>
          <w:p w14:paraId="2B29F0F9">
            <w:r>
              <w:t>未按工艺要求更新程序</w:t>
            </w:r>
          </w:p>
        </w:tc>
      </w:tr>
    </w:tbl>
    <w:p w14:paraId="61152EB6">
      <w:pPr>
        <w:pStyle w:val="4"/>
      </w:pPr>
      <w:r>
        <w:t>5.4 环境因素导致的故障</w:t>
      </w:r>
    </w:p>
    <w:p w14:paraId="4821A3B2">
      <w:r>
        <w:t>干变浇注车间的高温、高湿、粉尘及化学腐蚀环境，是RGV故障的重要诱因，长期作用会加速设备老化，降低系统可靠性。</w:t>
      </w:r>
    </w:p>
    <w:p w14:paraId="5D0F5186">
      <w:r>
        <w:t>高温环境（固化炉区域温度＞60℃）对电气元件和机械部件影响显著。电气元件方面，PLC模块工作温度超过60℃时，CPU处理速度下降30%，电容寿命缩短50%（每升高10℃寿命减半），表现为程序运行缓慢或模块死机；触摸屏在高温下会出现“漂移”（触摸偏差＞5mm）或黑屏，多因LCD面板老化（工作温度超过50℃）。机械部件方面，润滑脂在高温下（超过80℃）会出现基础油流失（滴点＜120℃的润滑脂），导致轴承摩擦力增大（运行温度＞70℃）或齿轮啮合异响；密封件（如O型圈）在高温下会硬化（硬度增加＞20 Shore A），导致液压系统漏油（压力保持率＜80%/5分钟）或气动元件漏气（泄漏量＞50mL/min）。</w:t>
      </w:r>
    </w:p>
    <w:p w14:paraId="78FF581C">
      <w:r>
        <w:t>粉尘环境（环氧树脂打磨粉尘浓度＞10mg/m³）会导致机械卡滞和传感器失效。运动部件如导轨、轴承进入粉尘后，会形成磨料磨损（磨损速率增加3倍），表现为RGV运行阻力增大（电流上升15%）或定位精度下降（偏差＞±2mm）；链条与链轮啮合处堆积粉尘，会导致传动效率下降（从95%降至85%）和链条伸长加速（节距伸长率＞0.1%/月）。传感器镜头覆盖粉尘（厚度＞0.1mm）会导致信号衰减：光电传感器透光率＜70%时误动作；激光测距传感器信号强度＜50%时定位偏差＞±5mm；编码器码盘污染会导致脉冲丢失（丢包率＞1%），需每日清洁传感器镜头（使用无尘布蘸酒精）和定期吹扫运动部件（压缩空气压力0.4-0.6MPa）。</w:t>
      </w:r>
    </w:p>
    <w:p w14:paraId="0DE4541E">
      <w:r>
        <w:t>潮湿环境（相对湿度＞85%RH）会引发电气绝缘下降和金属腐蚀。电气柜内潮湿会导致PCB板爬电（绝缘电阻＜1MΩ），表现为PLC输入输出点误动作或短路；电机绕组受潮（绝缘电阻＜0.5MΩ）会导致匝间短路（三相电阻不平衡＞5%）或接地故障（接地电流＞30mA）。金属部件如轨道、车轮在潮湿环境中会生锈（锈蚀深度＞0.05mm/月），导致车轮与轨道摩擦系数下降（从0.8降至0.5），RGV制动距离增加（从0.5m增至0.8m）；液压系统油箱进水（水分含量＞0.1%）会导致油液乳化，液压泵磨损加剧（寿命缩短50%）。</w:t>
      </w:r>
    </w:p>
    <w:p w14:paraId="518B1145">
      <w:r>
        <w:t>化学腐蚀环境（环氧树脂蒸汽、清洗剂残留）会加速金属和非金属材料老化。金属部件如滑触线铜条在酸性蒸汽中会出现电化学腐蚀（腐蚀速率＞0.1mm/年），导致接触电阻增大（＞100mΩ）；电气柜油漆在化学蒸汽中会出现“鼓泡”或“剥落”（附着力等级＜2级），失去防护作用。非金属材料如电缆绝缘层、密封圈接触化学溶剂后会出现溶胀（体积增加＞10%）或龟裂，导致电缆绝缘击穿（耐压＜1kV）或密封失效（泄漏量＞100mL/min），需选用耐化学腐蚀的材料（如氟橡胶、聚四氟乙烯）。</w:t>
      </w:r>
    </w:p>
    <w:p w14:paraId="7CB2B5C0">
      <w:pPr>
        <w:pStyle w:val="4"/>
      </w:pPr>
      <w:r>
        <w:t>环境因素故障成因总结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F6487DF">
        <w:tc>
          <w:tcPr>
            <w:tcW w:w="0" w:type="auto"/>
            <w:vAlign w:val="center"/>
          </w:tcPr>
          <w:p w14:paraId="4C6D3967">
            <w:pPr>
              <w:jc w:val="center"/>
              <w:rPr>
                <w:b/>
              </w:rPr>
            </w:pPr>
            <w:r>
              <w:rPr>
                <w:b/>
              </w:rPr>
              <w:t>环境因素</w:t>
            </w:r>
          </w:p>
        </w:tc>
        <w:tc>
          <w:tcPr>
            <w:tcW w:w="0" w:type="auto"/>
            <w:vAlign w:val="center"/>
          </w:tcPr>
          <w:p w14:paraId="5251EF1B">
            <w:pPr>
              <w:jc w:val="center"/>
              <w:rPr>
                <w:b/>
              </w:rPr>
            </w:pPr>
            <w:r>
              <w:rPr>
                <w:b/>
              </w:rPr>
              <w:t>典型表现</w:t>
            </w:r>
          </w:p>
        </w:tc>
        <w:tc>
          <w:tcPr>
            <w:tcW w:w="0" w:type="auto"/>
            <w:vAlign w:val="center"/>
          </w:tcPr>
          <w:p w14:paraId="6DD40AA0">
            <w:pPr>
              <w:jc w:val="center"/>
              <w:rPr>
                <w:b/>
              </w:rPr>
            </w:pPr>
            <w:r>
              <w:rPr>
                <w:b/>
              </w:rPr>
              <w:t>主要成因</w:t>
            </w:r>
          </w:p>
        </w:tc>
        <w:tc>
          <w:tcPr>
            <w:tcW w:w="0" w:type="auto"/>
            <w:vAlign w:val="center"/>
          </w:tcPr>
          <w:p w14:paraId="5F86F4B4">
            <w:pPr>
              <w:jc w:val="center"/>
              <w:rPr>
                <w:b/>
              </w:rPr>
            </w:pPr>
            <w:r>
              <w:rPr>
                <w:b/>
              </w:rPr>
              <w:t>防护措施</w:t>
            </w:r>
          </w:p>
        </w:tc>
      </w:tr>
      <w:tr w14:paraId="307207FF">
        <w:tc>
          <w:tcPr>
            <w:tcW w:w="0" w:type="auto"/>
            <w:vAlign w:val="center"/>
          </w:tcPr>
          <w:p w14:paraId="1C0F8A13">
            <w:r>
              <w:t>高温</w:t>
            </w:r>
          </w:p>
        </w:tc>
        <w:tc>
          <w:tcPr>
            <w:tcW w:w="0" w:type="auto"/>
            <w:vAlign w:val="center"/>
          </w:tcPr>
          <w:p w14:paraId="16FEAA7B">
            <w:r>
              <w:t>PLC死机、轴承异响</w:t>
            </w:r>
          </w:p>
        </w:tc>
        <w:tc>
          <w:tcPr>
            <w:tcW w:w="0" w:type="auto"/>
            <w:vAlign w:val="center"/>
          </w:tcPr>
          <w:p w14:paraId="5B83F860">
            <w:r>
              <w:t>元件超温老化、润滑脂流失</w:t>
            </w:r>
          </w:p>
        </w:tc>
        <w:tc>
          <w:tcPr>
            <w:tcW w:w="0" w:type="auto"/>
            <w:vAlign w:val="center"/>
          </w:tcPr>
          <w:p w14:paraId="3F009267">
            <w:r>
              <w:t>隔热设计、选用高温润滑脂</w:t>
            </w:r>
          </w:p>
        </w:tc>
      </w:tr>
      <w:tr w14:paraId="7753C526">
        <w:tc>
          <w:tcPr>
            <w:tcW w:w="0" w:type="auto"/>
            <w:vAlign w:val="center"/>
          </w:tcPr>
          <w:p w14:paraId="0EE64DB3">
            <w:r>
              <w:t>粉尘</w:t>
            </w:r>
          </w:p>
        </w:tc>
        <w:tc>
          <w:tcPr>
            <w:tcW w:w="0" w:type="auto"/>
            <w:vAlign w:val="center"/>
          </w:tcPr>
          <w:p w14:paraId="4591A53B">
            <w:r>
              <w:t>传感器误动作、运动部件卡滞</w:t>
            </w:r>
          </w:p>
        </w:tc>
        <w:tc>
          <w:tcPr>
            <w:tcW w:w="0" w:type="auto"/>
            <w:vAlign w:val="center"/>
          </w:tcPr>
          <w:p w14:paraId="773E5EFC">
            <w:r>
              <w:t>镜头污染、磨料磨损</w:t>
            </w:r>
          </w:p>
        </w:tc>
        <w:tc>
          <w:tcPr>
            <w:tcW w:w="0" w:type="auto"/>
            <w:vAlign w:val="center"/>
          </w:tcPr>
          <w:p w14:paraId="4C4233AD">
            <w:r>
              <w:t>密封防护、自动清洁装置</w:t>
            </w:r>
          </w:p>
        </w:tc>
      </w:tr>
      <w:tr w14:paraId="6D4D2C7B">
        <w:tc>
          <w:tcPr>
            <w:tcW w:w="0" w:type="auto"/>
            <w:vAlign w:val="center"/>
          </w:tcPr>
          <w:p w14:paraId="5CCD387F">
            <w:r>
              <w:t>潮湿</w:t>
            </w:r>
          </w:p>
        </w:tc>
        <w:tc>
          <w:tcPr>
            <w:tcW w:w="0" w:type="auto"/>
            <w:vAlign w:val="center"/>
          </w:tcPr>
          <w:p w14:paraId="4ACE46DE">
            <w:r>
              <w:t>绝缘下降、金属锈蚀</w:t>
            </w:r>
          </w:p>
        </w:tc>
        <w:tc>
          <w:tcPr>
            <w:tcW w:w="0" w:type="auto"/>
            <w:vAlign w:val="center"/>
          </w:tcPr>
          <w:p w14:paraId="5EC5DBB4">
            <w:r>
              <w:t>水汽凝结、电化学腐蚀</w:t>
            </w:r>
          </w:p>
        </w:tc>
        <w:tc>
          <w:tcPr>
            <w:tcW w:w="0" w:type="auto"/>
            <w:vAlign w:val="center"/>
          </w:tcPr>
          <w:p w14:paraId="2A301C0B">
            <w:r>
              <w:t>除湿装置、表面镀层防护</w:t>
            </w:r>
          </w:p>
        </w:tc>
      </w:tr>
      <w:tr w14:paraId="232E524F">
        <w:tc>
          <w:tcPr>
            <w:tcW w:w="0" w:type="auto"/>
            <w:vAlign w:val="center"/>
          </w:tcPr>
          <w:p w14:paraId="079F9AE7">
            <w:r>
              <w:t>化学腐蚀</w:t>
            </w:r>
          </w:p>
        </w:tc>
        <w:tc>
          <w:tcPr>
            <w:tcW w:w="0" w:type="auto"/>
            <w:vAlign w:val="center"/>
          </w:tcPr>
          <w:p w14:paraId="49CE8DE0">
            <w:r>
              <w:t>接触电阻增大、密封失效</w:t>
            </w:r>
          </w:p>
        </w:tc>
        <w:tc>
          <w:tcPr>
            <w:tcW w:w="0" w:type="auto"/>
            <w:vAlign w:val="center"/>
          </w:tcPr>
          <w:p w14:paraId="62FEC78B">
            <w:r>
              <w:t>材料老化、溶胀龟裂</w:t>
            </w:r>
          </w:p>
        </w:tc>
        <w:tc>
          <w:tcPr>
            <w:tcW w:w="0" w:type="auto"/>
            <w:vAlign w:val="center"/>
          </w:tcPr>
          <w:p w14:paraId="20A444E4">
            <w:r>
              <w:t>耐腐材料、定期涂层维护</w:t>
            </w:r>
          </w:p>
        </w:tc>
      </w:tr>
    </w:tbl>
    <w:p w14:paraId="4FD26875">
      <w:pPr>
        <w:pStyle w:val="3"/>
      </w:pPr>
      <w:r>
        <w:t>六、故障诊断与维护对策</w:t>
      </w:r>
    </w:p>
    <w:p w14:paraId="2462441D">
      <w:pPr>
        <w:pStyle w:val="4"/>
      </w:pPr>
      <w:r>
        <w:t>6.1 故障诊断技术方法</w:t>
      </w:r>
    </w:p>
    <w:p w14:paraId="0BE01239">
      <w:r>
        <w:t>RGV故障诊断需结合电气、机械、控制多系统特性，采用测量法、逻辑分析法及实验法，系统性排查故障根源，确保诊断精准高效。</w:t>
      </w:r>
    </w:p>
    <w:p w14:paraId="65E37EA3">
      <w:r>
        <w:t>测量法是通过仪器仪表获取定量数据，定位故障部件的基础方法，适用于电气参数、物理量及机械精度的检测。电气参数测量包括电压、电流、电阻及绝缘测试：使用万用表测量滑触线电压（正常AC380V±10%）和电机三相电流（不平衡度≤5%），判断供电是否正常；使用绝缘电阻表测量电机绕组绝缘（≥5MΩ）和接地电阻（≤4Ω），排查短路或接地故障；使用示波器测量编码器信号（A/B相脉冲占空比50%±10%），判断信号是否丢失或干扰。物理量测量包括温度、振动及速度：使用红外测温仪检测电机轴承温度（正常≤70℃）和电气柜温度（≤45℃），识别过热部件；使用振动分析仪测量驱动轮轴承振动（加速度≤0.3g）和车架振动（≤0.2g），判断机械平衡状态；使用激光测速仪测量RGV实际速度（与设定值偏差≤±2%），评估驱动系统性能。机械精度测量包括定位精度（激光干涉仪，≤±0.5mm）、轨道平行度（激光水准仪，≤0.1mm/m）及车轮轮径（千分尺，偏差≤0.1mm），确定机械系统是否满足运行要求。</w:t>
      </w:r>
    </w:p>
    <w:p w14:paraId="4C6DB80C">
      <w:r>
        <w:t>逻辑分析法基于系统原理图和控制流程，通过推理缩小故障范围，适用于多因素关联故障。故障树分析法（FTA）将“RGV无法启动”作为顶事件，向下分解为电源故障、急停触发、驱动故障等中间事件，再分解为具体底事件（如空开跳闸、急停按钮未复位、电机过载），通过布尔代数计算最小割集（导致顶事件发生的最少底事件组合），快速定位关键故障点。分段排除法将系统按功能划分为供电、驱动、控制、执行单元，逐一断开单元测试：如断开电机负载测试驱动器输出（正常电压380V±5%），判断是驱动器故障还是电机故障；断开传感器信号测试PLC输入（指示灯是否亮），判断是传感器故障还是线路故障。征兆关联法通过故障现象与历史数据比对，识别典型故障模式：如“定位偏差大+振动加剧”多关联车轮磨损或轨道变形；“通信中断+所有从站掉线”多关联总线终端电阻或主站故障。</w:t>
      </w:r>
    </w:p>
    <w:p w14:paraId="5502BE47">
      <w:r>
        <w:t>实验法通过模拟运行或参数调整验证故障原因，分为替换法、加载法及参数修改法。替换法是将疑似故障部件与正常部件互换，观察故障是否转移：如怀疑编码器故障，更换备用编码器后若故障消失，则确认编码器损坏；怀疑PLC模块故障，更换同型号模块并下载程序，验证是否恢复正常。加载法通过模拟负载或施加外部激励，检测系统响应：如空载运行正常但重载异常，逐步增加配重（每次50kg）并监测电机电流，确定负载临界点（超过额定值120%时过载）；如定位不准，通过手动控制定位销动作，检测液压系统压力（正常6-8MPa）和位移传感器信号，判断是否为油缸泄漏或传感器故障。参数修改法通过调整控制参数观察故障变化：如伺服驱动器增益参数（P1003速度环比例增益）过小会导致速度响应慢，逐步增大参数（每次增加0.1）并测试速度波动（≤±1%），找到最优值；如PLC定时器设定值（如定位等待时间）过短会导致误判，延长设定值（从1s增至3s）后观察是否消除报警。</w:t>
      </w:r>
    </w:p>
    <w:p w14:paraId="410377CD">
      <w:r>
        <w:t>综合诊断流程遵循“先易后难、先外后内、先电气后机械”原则：首先检查外部可见故障（如急停按钮是否按下、电缆是否破损）；再通过HMI报警信息（如故障代码F05）初步定位系统；然后采用测量法获取数据（如电机电流、传感器信号）；最后通过逻辑分析和实验验证确定故障点。例如，RGV运行中突然停机，HMI显示“急停报警”，先检查急停按钮状态（是否复位），再测量急停回路电压（正常DC24V），若电压为0V则检查回路中是否有触点断开（如安全光栅触发），最终定位故障部件。</w:t>
      </w:r>
    </w:p>
    <w:p w14:paraId="11C3D1AB">
      <w:pPr>
        <w:pStyle w:val="4"/>
      </w:pPr>
      <w:r>
        <w:t>诊断方法应用场景总结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92C3913">
        <w:tc>
          <w:tcPr>
            <w:tcW w:w="0" w:type="auto"/>
            <w:vAlign w:val="center"/>
          </w:tcPr>
          <w:p w14:paraId="78F6621A">
            <w:pPr>
              <w:jc w:val="center"/>
              <w:rPr>
                <w:b/>
              </w:rPr>
            </w:pPr>
            <w:r>
              <w:rPr>
                <w:b/>
              </w:rPr>
              <w:t>故障类型</w:t>
            </w:r>
          </w:p>
        </w:tc>
        <w:tc>
          <w:tcPr>
            <w:tcW w:w="0" w:type="auto"/>
            <w:vAlign w:val="center"/>
          </w:tcPr>
          <w:p w14:paraId="3467B5BB">
            <w:pPr>
              <w:jc w:val="center"/>
              <w:rPr>
                <w:b/>
              </w:rPr>
            </w:pPr>
            <w:r>
              <w:rPr>
                <w:b/>
              </w:rPr>
              <w:t>优先方法</w:t>
            </w:r>
          </w:p>
        </w:tc>
        <w:tc>
          <w:tcPr>
            <w:tcW w:w="0" w:type="auto"/>
            <w:vAlign w:val="center"/>
          </w:tcPr>
          <w:p w14:paraId="73796246">
            <w:pPr>
              <w:jc w:val="center"/>
              <w:rPr>
                <w:b/>
              </w:rPr>
            </w:pPr>
            <w:r>
              <w:rPr>
                <w:b/>
              </w:rPr>
              <w:t>关键工具/仪器</w:t>
            </w:r>
          </w:p>
        </w:tc>
        <w:tc>
          <w:tcPr>
            <w:tcW w:w="0" w:type="auto"/>
            <w:vAlign w:val="center"/>
          </w:tcPr>
          <w:p w14:paraId="6A252173">
            <w:pPr>
              <w:jc w:val="center"/>
              <w:rPr>
                <w:b/>
              </w:rPr>
            </w:pPr>
            <w:r>
              <w:rPr>
                <w:b/>
              </w:rPr>
              <w:t>诊断要点</w:t>
            </w:r>
          </w:p>
        </w:tc>
      </w:tr>
      <w:tr w14:paraId="170E4FD8">
        <w:tc>
          <w:tcPr>
            <w:tcW w:w="0" w:type="auto"/>
            <w:vAlign w:val="center"/>
          </w:tcPr>
          <w:p w14:paraId="3D6F7858">
            <w:r>
              <w:t>电气参数异常</w:t>
            </w:r>
          </w:p>
        </w:tc>
        <w:tc>
          <w:tcPr>
            <w:tcW w:w="0" w:type="auto"/>
            <w:vAlign w:val="center"/>
          </w:tcPr>
          <w:p w14:paraId="374C7AA9">
            <w:r>
              <w:t>测量法</w:t>
            </w:r>
          </w:p>
        </w:tc>
        <w:tc>
          <w:tcPr>
            <w:tcW w:w="0" w:type="auto"/>
            <w:vAlign w:val="center"/>
          </w:tcPr>
          <w:p w14:paraId="780521EE">
            <w:r>
              <w:t>万用表、绝缘电阻表、示波器</w:t>
            </w:r>
          </w:p>
        </w:tc>
        <w:tc>
          <w:tcPr>
            <w:tcW w:w="0" w:type="auto"/>
            <w:vAlign w:val="center"/>
          </w:tcPr>
          <w:p w14:paraId="355DFF44">
            <w:r>
              <w:t>电压波动、绝缘值、信号波形</w:t>
            </w:r>
          </w:p>
        </w:tc>
      </w:tr>
      <w:tr w14:paraId="01FFECF4">
        <w:tc>
          <w:tcPr>
            <w:tcW w:w="0" w:type="auto"/>
            <w:vAlign w:val="center"/>
          </w:tcPr>
          <w:p w14:paraId="480EAB73">
            <w:r>
              <w:t>控制逻辑错误</w:t>
            </w:r>
          </w:p>
        </w:tc>
        <w:tc>
          <w:tcPr>
            <w:tcW w:w="0" w:type="auto"/>
            <w:vAlign w:val="center"/>
          </w:tcPr>
          <w:p w14:paraId="0CDC739C">
            <w:r>
              <w:t>逻辑分析法</w:t>
            </w:r>
          </w:p>
        </w:tc>
        <w:tc>
          <w:tcPr>
            <w:tcW w:w="0" w:type="auto"/>
            <w:vAlign w:val="center"/>
          </w:tcPr>
          <w:p w14:paraId="7800DD9C">
            <w:r>
              <w:t>PLC编程软件、故障树图</w:t>
            </w:r>
          </w:p>
        </w:tc>
        <w:tc>
          <w:tcPr>
            <w:tcW w:w="0" w:type="auto"/>
            <w:vAlign w:val="center"/>
          </w:tcPr>
          <w:p w14:paraId="5A9DE100">
            <w:r>
              <w:t>程序状态监控、最小割集分析</w:t>
            </w:r>
          </w:p>
        </w:tc>
      </w:tr>
      <w:tr w14:paraId="311D4ECA">
        <w:tc>
          <w:tcPr>
            <w:tcW w:w="0" w:type="auto"/>
            <w:vAlign w:val="center"/>
          </w:tcPr>
          <w:p w14:paraId="722FCBD0">
            <w:r>
              <w:t>机械精度超差</w:t>
            </w:r>
          </w:p>
        </w:tc>
        <w:tc>
          <w:tcPr>
            <w:tcW w:w="0" w:type="auto"/>
            <w:vAlign w:val="center"/>
          </w:tcPr>
          <w:p w14:paraId="5C6D867B">
            <w:r>
              <w:t>测量法+实验法</w:t>
            </w:r>
          </w:p>
        </w:tc>
        <w:tc>
          <w:tcPr>
            <w:tcW w:w="0" w:type="auto"/>
            <w:vAlign w:val="center"/>
          </w:tcPr>
          <w:p w14:paraId="5E5C22F3">
            <w:r>
              <w:t>激光干涉仪、千分尺、振动分析仪</w:t>
            </w:r>
          </w:p>
        </w:tc>
        <w:tc>
          <w:tcPr>
            <w:tcW w:w="0" w:type="auto"/>
            <w:vAlign w:val="center"/>
          </w:tcPr>
          <w:p w14:paraId="569C2365">
            <w:r>
              <w:t>定位误差、轮径偏差、振动值</w:t>
            </w:r>
          </w:p>
        </w:tc>
      </w:tr>
      <w:tr w14:paraId="26EE635D">
        <w:tc>
          <w:tcPr>
            <w:tcW w:w="0" w:type="auto"/>
            <w:vAlign w:val="center"/>
          </w:tcPr>
          <w:p w14:paraId="6841EFDE">
            <w:r>
              <w:t>间歇性故障</w:t>
            </w:r>
          </w:p>
        </w:tc>
        <w:tc>
          <w:tcPr>
            <w:tcW w:w="0" w:type="auto"/>
            <w:vAlign w:val="center"/>
          </w:tcPr>
          <w:p w14:paraId="3082B0DB">
            <w:r>
              <w:t>实验法（替换+参数修改）</w:t>
            </w:r>
          </w:p>
        </w:tc>
        <w:tc>
          <w:tcPr>
            <w:tcW w:w="0" w:type="auto"/>
            <w:vAlign w:val="center"/>
          </w:tcPr>
          <w:p w14:paraId="110A6EEA">
            <w:r>
              <w:t>备用部件、示波器、数据记录仪</w:t>
            </w:r>
          </w:p>
        </w:tc>
        <w:tc>
          <w:tcPr>
            <w:tcW w:w="0" w:type="auto"/>
            <w:vAlign w:val="center"/>
          </w:tcPr>
          <w:p w14:paraId="7C501493">
            <w:r>
              <w:t>模拟工况、参数优化</w:t>
            </w:r>
          </w:p>
        </w:tc>
      </w:tr>
    </w:tbl>
    <w:p w14:paraId="00D34444">
      <w:pPr>
        <w:pStyle w:val="4"/>
      </w:pPr>
      <w:r>
        <w:t>6.2 预防性维护策略与计划</w:t>
      </w:r>
    </w:p>
    <w:p w14:paraId="325DAC87">
      <w:r>
        <w:t>RGV预防性维护通过定期检查、保养及部件更换，消除潜在故障隐患，延长设备寿命，需结合干变浇注车间环境特点和设备运行数据，制定科学维护计划。</w:t>
      </w:r>
    </w:p>
    <w:p w14:paraId="0CDF29C3">
      <w:r>
        <w:t>日常点检由操作人员每班执行，聚焦设备状态快速检查，预防因操作不当或轻微异常导致的故障。点检项目包括电源状态（滑触线集电器接触良好，无火花；电池电量≥20%）、安全装置（急停按钮复位，安全光栅指示灯常亮，防撞条无破损）、运动部件（驱动轮无异响，链条张紧度适中，无卡滞）及环境状况（轨道无异物，电气柜通风良好）。点检方法采用“五感法”：目视检查（指示灯颜色、部件位置）、听觉判断（运行声音是否均匀）、触觉感知（轴承温度、振动）、嗅觉识别（有无焦糊味）、味觉（仅用于液体泄漏时，如液压油味道）。点检标准明确量化：如电池电量低于20%需充电；链条下垂量超过2%跨度需张紧；电机温度超过70℃需停机检查。点检记录采用标准化表格，包含检查项、标准值、实测值、处理结果及签名，异常情况需立即上报班组长。</w:t>
      </w:r>
    </w:p>
    <w:p w14:paraId="7F081864">
      <w:r>
        <w:t>定期维护按周期分为周、月、季度及年度维护，由维修人员执行，深度保养关键部件。周维护重点为清洁和基础润滑：使用压缩空气清洁电气柜灰尘（每月1次）和传感器镜头（每周2次）；对链条、导轨涂抹锂基润滑脂（NLGI 2），用量以覆盖表面为宜；检查车轮轮缘磨损（千分尺测量，磨损量＜0.3mm）和轮胎气压（充气轮胎，压力0.6-0.8MPa）。月维护聚焦功能测试和参数校准：校准激光测距传感器（定位偏差≤±0.5mm）和编码器（零位偏差≤1脉冲）；测试液压系统压力（6-8MPa）和定位销动作（伸缩顺畅，无卡滞）；检查制动系统（制动距离≤0.3m/速度1m/s）和安全联锁（急停触发时所有输出切断）。季度维护涉及部件状态评估和调整：检查齿轮齿条啮合间隙（0.1-0.3mm），通过调整齿轮箱位置补偿；测量轨道平行度（≤0.1mm/m）和水平度（≤0.2mm/m），松动处重新紧固；测试蓄电池容量（放电时间≥8小时），BMS参数校准（单体电压检测精度±5mV）。年度维护进行深度拆解检查：更换齿轮箱润滑油（型号X-005，每2000小时）和液压油（黏度110-130mm²/s）；检查车架焊缝（无裂纹）和轴承游隙（≤0.05mm）；全面校准控制系统（PLC程序备份、参数优化）。</w:t>
      </w:r>
    </w:p>
    <w:p w14:paraId="2F24EA0F">
      <w:r>
        <w:t>专项维护针对干变浇注车间特殊环境，制定高温、粉尘、潮湿防护措施。高温区域维护：每半年检查隔热层厚度（≥50mm）和温控箱散热风扇（风量≥200m³/h）；更换耐高温润滑脂（滴点＞180℃）；测试高温传感器（温度＞60℃时是否切换低速）。粉尘环境维护：每月检查清轨器刮板磨损（厚度≥5mm）和毛刷长度（≥30mm）；清洁条码带（酒精擦拭，对比度≥80%）；更换空气过滤器滤芯（压差＞200Pa时）。潮湿环境维护：雨季每周检查电气柜湿度（≤60%RH），开启除湿机（功率500W）；对金属部件喷涂防锈剂（如WD-40）；测试绝缘电阻（每月1次，≥5MΩ）。</w:t>
      </w:r>
    </w:p>
    <w:p w14:paraId="5825F6AB">
      <w:r>
        <w:t>故障预防通过趋势分析和改进措施，降低故障发生率。基于维护记录统计故障频次（如传感器故障月均3次）和MTBF（平均无故障时间，目标＞500小时），识别薄弱环节：如某型号编码器频繁故障，分析为粉尘进入，改进措施为加装防尘罩和延长清洁周期。引入预测性维护技术，通过振动传感器（在线监测轴承振动）和油液分析（检测铁谱含量＞50ppm），提前预警潜在故障：如电机轴承振动加速度＞0.5g时，预测剩余寿命＜500小时，安排计划性更换。</w:t>
      </w:r>
    </w:p>
    <w:p w14:paraId="578D9DCB">
      <w:pPr>
        <w:pStyle w:val="4"/>
      </w:pPr>
      <w:r>
        <w:t>预防性维护计划框架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353CF63">
        <w:tc>
          <w:tcPr>
            <w:tcW w:w="0" w:type="auto"/>
            <w:vAlign w:val="center"/>
          </w:tcPr>
          <w:p w14:paraId="5FE8F190">
            <w:pPr>
              <w:jc w:val="center"/>
              <w:rPr>
                <w:b/>
              </w:rPr>
            </w:pPr>
            <w:r>
              <w:rPr>
                <w:b/>
              </w:rPr>
              <w:t>维护级别</w:t>
            </w:r>
          </w:p>
        </w:tc>
        <w:tc>
          <w:tcPr>
            <w:tcW w:w="0" w:type="auto"/>
            <w:vAlign w:val="center"/>
          </w:tcPr>
          <w:p w14:paraId="05062659">
            <w:pPr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0" w:type="auto"/>
            <w:vAlign w:val="center"/>
          </w:tcPr>
          <w:p w14:paraId="0EE5FB1C">
            <w:pPr>
              <w:jc w:val="center"/>
              <w:rPr>
                <w:b/>
              </w:rPr>
            </w:pPr>
            <w:r>
              <w:rPr>
                <w:b/>
              </w:rPr>
              <w:t>执行人</w:t>
            </w:r>
          </w:p>
        </w:tc>
        <w:tc>
          <w:tcPr>
            <w:tcW w:w="0" w:type="auto"/>
            <w:vAlign w:val="center"/>
          </w:tcPr>
          <w:p w14:paraId="723A2628">
            <w:pPr>
              <w:jc w:val="center"/>
              <w:rPr>
                <w:b/>
              </w:rPr>
            </w:pPr>
            <w:r>
              <w:rPr>
                <w:b/>
              </w:rPr>
              <w:t>核心项目</w:t>
            </w:r>
          </w:p>
        </w:tc>
        <w:tc>
          <w:tcPr>
            <w:tcW w:w="0" w:type="auto"/>
            <w:vAlign w:val="center"/>
          </w:tcPr>
          <w:p w14:paraId="231B62C8">
            <w:pPr>
              <w:jc w:val="center"/>
              <w:rPr>
                <w:b/>
              </w:rPr>
            </w:pPr>
            <w:r>
              <w:rPr>
                <w:b/>
              </w:rPr>
              <w:t>目标指标</w:t>
            </w:r>
          </w:p>
        </w:tc>
      </w:tr>
      <w:tr w14:paraId="7C82CC64">
        <w:tc>
          <w:tcPr>
            <w:tcW w:w="0" w:type="auto"/>
            <w:vAlign w:val="center"/>
          </w:tcPr>
          <w:p w14:paraId="2349C6E6">
            <w:r>
              <w:t>日常点检</w:t>
            </w:r>
          </w:p>
        </w:tc>
        <w:tc>
          <w:tcPr>
            <w:tcW w:w="0" w:type="auto"/>
            <w:vAlign w:val="center"/>
          </w:tcPr>
          <w:p w14:paraId="228F1CBF">
            <w:r>
              <w:t>每班</w:t>
            </w:r>
          </w:p>
        </w:tc>
        <w:tc>
          <w:tcPr>
            <w:tcW w:w="0" w:type="auto"/>
            <w:vAlign w:val="center"/>
          </w:tcPr>
          <w:p w14:paraId="7D8A4B92">
            <w:r>
              <w:t>操作工</w:t>
            </w:r>
          </w:p>
        </w:tc>
        <w:tc>
          <w:tcPr>
            <w:tcW w:w="0" w:type="auto"/>
            <w:vAlign w:val="center"/>
          </w:tcPr>
          <w:p w14:paraId="6254247C">
            <w:r>
              <w:t>电源、安全装置、运行声音</w:t>
            </w:r>
          </w:p>
        </w:tc>
        <w:tc>
          <w:tcPr>
            <w:tcW w:w="0" w:type="auto"/>
            <w:vAlign w:val="center"/>
          </w:tcPr>
          <w:p w14:paraId="7BE4242F">
            <w:r>
              <w:t>异常发现率100%</w:t>
            </w:r>
          </w:p>
        </w:tc>
      </w:tr>
      <w:tr w14:paraId="0FDA4B41">
        <w:tc>
          <w:tcPr>
            <w:tcW w:w="0" w:type="auto"/>
            <w:vAlign w:val="center"/>
          </w:tcPr>
          <w:p w14:paraId="60778F8C">
            <w:r>
              <w:t>周维护</w:t>
            </w:r>
          </w:p>
        </w:tc>
        <w:tc>
          <w:tcPr>
            <w:tcW w:w="0" w:type="auto"/>
            <w:vAlign w:val="center"/>
          </w:tcPr>
          <w:p w14:paraId="632CECEF">
            <w:r>
              <w:t>每周</w:t>
            </w:r>
          </w:p>
        </w:tc>
        <w:tc>
          <w:tcPr>
            <w:tcW w:w="0" w:type="auto"/>
            <w:vAlign w:val="center"/>
          </w:tcPr>
          <w:p w14:paraId="727C59EA">
            <w:r>
              <w:t>维修员</w:t>
            </w:r>
          </w:p>
        </w:tc>
        <w:tc>
          <w:tcPr>
            <w:tcW w:w="0" w:type="auto"/>
            <w:vAlign w:val="center"/>
          </w:tcPr>
          <w:p w14:paraId="1572C5B8">
            <w:r>
              <w:t>清洁、基础润滑、轮缘检查</w:t>
            </w:r>
          </w:p>
        </w:tc>
        <w:tc>
          <w:tcPr>
            <w:tcW w:w="0" w:type="auto"/>
            <w:vAlign w:val="center"/>
          </w:tcPr>
          <w:p w14:paraId="0F28A39F">
            <w:r>
              <w:t>润滑覆盖率100%</w:t>
            </w:r>
          </w:p>
        </w:tc>
      </w:tr>
      <w:tr w14:paraId="33511AFF">
        <w:tc>
          <w:tcPr>
            <w:tcW w:w="0" w:type="auto"/>
            <w:vAlign w:val="center"/>
          </w:tcPr>
          <w:p w14:paraId="34ABF274">
            <w:r>
              <w:t>月维护</w:t>
            </w:r>
          </w:p>
        </w:tc>
        <w:tc>
          <w:tcPr>
            <w:tcW w:w="0" w:type="auto"/>
            <w:vAlign w:val="center"/>
          </w:tcPr>
          <w:p w14:paraId="60C3A0F0">
            <w:r>
              <w:t>每月</w:t>
            </w:r>
          </w:p>
        </w:tc>
        <w:tc>
          <w:tcPr>
            <w:tcW w:w="0" w:type="auto"/>
            <w:vAlign w:val="center"/>
          </w:tcPr>
          <w:p w14:paraId="7F1E16DD">
            <w:r>
              <w:t>维修员</w:t>
            </w:r>
          </w:p>
        </w:tc>
        <w:tc>
          <w:tcPr>
            <w:tcW w:w="0" w:type="auto"/>
            <w:vAlign w:val="center"/>
          </w:tcPr>
          <w:p w14:paraId="0A693B27">
            <w:r>
              <w:t>传感器校准、制动测试、压力检查</w:t>
            </w:r>
          </w:p>
        </w:tc>
        <w:tc>
          <w:tcPr>
            <w:tcW w:w="0" w:type="auto"/>
            <w:vAlign w:val="center"/>
          </w:tcPr>
          <w:p w14:paraId="2CFD2043">
            <w:r>
              <w:t>定位精度≤±0.5mm</w:t>
            </w:r>
          </w:p>
        </w:tc>
      </w:tr>
      <w:tr w14:paraId="7A47688E">
        <w:tc>
          <w:tcPr>
            <w:tcW w:w="0" w:type="auto"/>
            <w:vAlign w:val="center"/>
          </w:tcPr>
          <w:p w14:paraId="0083D9F1">
            <w:r>
              <w:t>季度维护</w:t>
            </w:r>
          </w:p>
        </w:tc>
        <w:tc>
          <w:tcPr>
            <w:tcW w:w="0" w:type="auto"/>
            <w:vAlign w:val="center"/>
          </w:tcPr>
          <w:p w14:paraId="5E4F1C8D">
            <w:r>
              <w:t>每3月</w:t>
            </w:r>
          </w:p>
        </w:tc>
        <w:tc>
          <w:tcPr>
            <w:tcW w:w="0" w:type="auto"/>
            <w:vAlign w:val="center"/>
          </w:tcPr>
          <w:p w14:paraId="449D1977">
            <w:r>
              <w:t>维修班长</w:t>
            </w:r>
          </w:p>
        </w:tc>
        <w:tc>
          <w:tcPr>
            <w:tcW w:w="0" w:type="auto"/>
            <w:vAlign w:val="center"/>
          </w:tcPr>
          <w:p w14:paraId="4CD025A2">
            <w:r>
              <w:t>齿轮齿条间隙、轨道校准、电池容量测试</w:t>
            </w:r>
          </w:p>
        </w:tc>
        <w:tc>
          <w:tcPr>
            <w:tcW w:w="0" w:type="auto"/>
            <w:vAlign w:val="center"/>
          </w:tcPr>
          <w:p w14:paraId="742A4921">
            <w:r>
              <w:t>平行度误差≤0.1mm/m</w:t>
            </w:r>
          </w:p>
        </w:tc>
      </w:tr>
      <w:tr w14:paraId="4B7AD19C">
        <w:tc>
          <w:tcPr>
            <w:tcW w:w="0" w:type="auto"/>
            <w:vAlign w:val="center"/>
          </w:tcPr>
          <w:p w14:paraId="23BA5B79">
            <w:r>
              <w:t>年度维护</w:t>
            </w:r>
          </w:p>
        </w:tc>
        <w:tc>
          <w:tcPr>
            <w:tcW w:w="0" w:type="auto"/>
            <w:vAlign w:val="center"/>
          </w:tcPr>
          <w:p w14:paraId="7C6BC1BB">
            <w:r>
              <w:t>每年</w:t>
            </w:r>
          </w:p>
        </w:tc>
        <w:tc>
          <w:tcPr>
            <w:tcW w:w="0" w:type="auto"/>
            <w:vAlign w:val="center"/>
          </w:tcPr>
          <w:p w14:paraId="2A143ACB">
            <w:r>
              <w:t>工程师</w:t>
            </w:r>
          </w:p>
        </w:tc>
        <w:tc>
          <w:tcPr>
            <w:tcW w:w="0" w:type="auto"/>
            <w:vAlign w:val="center"/>
          </w:tcPr>
          <w:p w14:paraId="6853BD5F">
            <w:r>
              <w:t>油液更换、焊缝检查、程序备份</w:t>
            </w:r>
          </w:p>
        </w:tc>
        <w:tc>
          <w:tcPr>
            <w:tcW w:w="0" w:type="auto"/>
            <w:vAlign w:val="center"/>
          </w:tcPr>
          <w:p w14:paraId="133FCF19">
            <w:r>
              <w:t>MTBF＞500小时</w:t>
            </w:r>
          </w:p>
        </w:tc>
      </w:tr>
    </w:tbl>
    <w:p w14:paraId="6388BEDF">
      <w:pPr>
        <w:pStyle w:val="4"/>
      </w:pPr>
      <w:r>
        <w:t>6.3 常见故障处理对策</w:t>
      </w:r>
    </w:p>
    <w:p w14:paraId="3307F873">
      <w:r>
        <w:t>针对RGV电气、机械、控制及环境导致的典型故障，需制定标准化处理流程，明确故障现象、排查步骤、处理措施及预防方法，确保快速恢复运行。</w:t>
      </w:r>
    </w:p>
    <w:p w14:paraId="013D8CC2">
      <w:r>
        <w:t>电气系统故障处理需分系统定位，精准更换或修复故障部件。供电故障中，滑触线接触不良（电压波动＞±10%）处理步骤：①检查集电器碳刷磨损（＜5mm需更换）和弹簧压力（5-8N）；②清洁铜条导轨（砂纸打磨氧化层）；③测量接触电阻（＜50mΩ），必要时调整集电器位置（水平偏差≤1mm）。蓄电池续航不足（单次充电运行＜6小时）处理：①通过BMS软件读取单体电压（均衡后压差＜50mV）；②容量测试（0.5C放电至2.5V/单体，容量＜80%额定值需更换电池）；③检查充电模块输出电压（58.4V±0.5V）和充电电流（20A±1A），修复充电故障。电机过载报警（电流＞120%额定值）处理：①检查负载是否超过5吨（称重传感器实测）；②拆除传动机构，手动盘动电机（阻力矩＜5N·m），判断是否卡滞；③测量三相电流（不平衡度＞5%时检查电源相序），更换缺相保护继电器。</w:t>
      </w:r>
    </w:p>
    <w:p w14:paraId="3D53426B">
      <w:r>
        <w:t>机械系统故障处理需结合精度测量和机械调整，恢复部件功能。车轮磨损导致跑偏（偏离轨道＞5mm）处理步骤：①使用千分尺测量左右轮径（偏差＞0.5mm需成对更换）；②激光跟踪仪检测轨道平行度（调整至≤0.1mm/m）；③调整从动轮铰链机构（转向角度±3°），确保轮缘与轨道间隙（2-3mm）。齿轮齿条啮合异响处理：①检查齿条固定螺栓扭矩（35N·m），重新紧固松动螺栓；②测量啮合侧隙（塞尺0.1-0.3mm），通过齿轮箱调节垫片（厚度0.1mm/片）调整；③齿面涂抹极压润滑脂（每周1次），磨损严重（齿厚减薄＞0.2mm）时更换齿轮齿条。链条跳齿处理：①测量链条下垂量（跨度1.5m时＜20mm），通过张紧螺杆调整；②检查链轮齿面磨损（齿顶圆直径减小＜0.5mm），更换过度磨损链轮；③链条节距伸长＞2%时整体更换，新链条需预紧（加载1.1倍额定载荷运行30分钟）。</w:t>
      </w:r>
    </w:p>
    <w:p w14:paraId="62070A5A">
      <w:r>
        <w:t>控制系统故障处理需排查软硬件问题，恢复通信和逻辑功能。PLC程序丢失处理步骤：①通过MPI接口使用编程电缆重新下载程序（确保备份版本正确）；②更换CPU电池（电压＜3V时），设置实时时钟；③测试所有I/O点（强制输出，观察执行部件动作）。通信中断（PROFIBUS-DP从站掉线）处理：①检查总线终端电阻（120Ω，接在两端从站）；②使用DP诊断仪检测信号质量（幅值＞0.5V，波形无畸变）；③更换故障从站模块（如驱动器通信板）或修复断线（拖链内电缆）。安全光栅误报警处理：①清洁发射/接收端镜头（酒精棉片，透光率＞90%）；②调整光栅对准（使用激光对准仪，偏差＜0.5mm）；③检查线缆屏蔽层接地（单端接地，电阻≤4Ω），更换断裂线缆。</w:t>
      </w:r>
    </w:p>
    <w:p w14:paraId="27E502A8">
      <w:r>
        <w:t>环境因素故障处理需强化防护措施，减轻环境对设备的影响。高温导致电机过热（温度＞80℃）处理：①清理电机散热孔灰尘（风量200m³/h风扇）；②更换高温润滑脂（滴点＞180℃，如聚脲脂）；③加装隔热挡板（硅酸铝棉厚度50mm），降低环境温度影响。粉尘导致传感器误动作处理：①安装空气吹扫装置（每15分钟喷气清洁镜头）；②传感器外壳加装防尘罩（IP67防护等级）；③调整检测距离（缩短至额定值70%），提高信号强度。潮湿导致绝缘下降（绝缘电阻＜2MΩ）处理：①电气柜加装除湿机（日除湿量＞1L）；②金属部件喷涂锌铬涂层（厚度60μm），提高耐蚀性；③定期烘烤受潮部件（60℃烘干2小时），恢复绝缘性能。</w:t>
      </w:r>
    </w:p>
    <w:p w14:paraId="1F7952B1">
      <w:pPr>
        <w:pStyle w:val="4"/>
      </w:pPr>
      <w:r>
        <w:t>常见故障处理流程示例（传感器定位偏差）</w:t>
      </w:r>
    </w:p>
    <w:p w14:paraId="25DB915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故障现象</w:t>
      </w:r>
      <w:r>
        <w:t>：RGV停靠目标位置偏差＞±2mm，激光测距传感器报警。</w:t>
      </w:r>
    </w:p>
    <w:p w14:paraId="459560E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排查步骤</w:t>
      </w:r>
      <w:r>
        <w:t>：</w:t>
      </w:r>
    </w:p>
    <w:p w14:paraId="3BE26C48">
      <w:pPr>
        <w:spacing w:before="0" w:beforeAutospacing="1" w:after="0" w:afterAutospacing="1"/>
        <w:ind w:left="720"/>
      </w:pPr>
      <w:r>
        <w:t>① 清洁条码带和读头镜头（酒精棉片），测试信号强度（＞80%）；</w:t>
      </w:r>
    </w:p>
    <w:p w14:paraId="30366E53">
      <w:pPr>
        <w:spacing w:before="0" w:beforeAutospacing="1" w:after="0" w:afterAutospacing="1"/>
        <w:ind w:left="720"/>
      </w:pPr>
      <w:r>
        <w:t>② 千分尺测量读头与条码带间距（15±1mm），调整安装支架；</w:t>
      </w:r>
    </w:p>
    <w:p w14:paraId="382457AE">
      <w:pPr>
        <w:spacing w:before="0" w:beforeAutospacing="1" w:after="0" w:afterAutospacing="1"/>
        <w:ind w:left="720"/>
      </w:pPr>
      <w:r>
        <w:t>③ 激光干涉仪检测RGV实际位置，与编码器反馈对比（偏差＞0.5mm）；</w:t>
      </w:r>
    </w:p>
    <w:p w14:paraId="33FBEB96">
      <w:pPr>
        <w:spacing w:before="0" w:beforeAutospacing="1" w:after="0" w:afterAutospacing="1"/>
        <w:ind w:left="720"/>
      </w:pPr>
      <w:r>
        <w:t>④ 检查条码带拼接处错位（＜0.1mm），重新粘贴或更换条码带。</w:t>
      </w:r>
    </w:p>
    <w:p w14:paraId="04A5FC23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处理措施</w:t>
      </w:r>
      <w:r>
        <w:t>：</w:t>
      </w:r>
    </w:p>
    <w:p w14:paraId="7C5E9624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若信号强度＜60%，更换读头（型号XXXX）；</w:t>
      </w:r>
    </w:p>
    <w:p w14:paraId="4D9BC68B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若安装偏差＞1mm，调整支架使读头与条码带平行（平行度≤0.1mm/m）；</w:t>
      </w:r>
    </w:p>
    <w:p w14:paraId="2B74420D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若条码带破损，更换新条码带（PET材质，分辨率0.1mm）。</w:t>
      </w:r>
    </w:p>
    <w:p w14:paraId="3308E0E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预防措施</w:t>
      </w:r>
      <w:r>
        <w:t>：</w:t>
      </w:r>
    </w:p>
    <w:p w14:paraId="3D842CAE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每周清洁读头镜头和条码带；</w:t>
      </w:r>
    </w:p>
    <w:p w14:paraId="71209050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每月校准读头位置；</w:t>
      </w:r>
    </w:p>
    <w:p w14:paraId="1FE590C1">
      <w:pPr>
        <w:numPr>
          <w:ilvl w:val="1"/>
          <w:numId w:val="13"/>
        </w:numPr>
        <w:spacing w:before="0" w:beforeAutospacing="1" w:after="0" w:afterAutospacing="1"/>
        <w:ind w:left="1440" w:hanging="360"/>
      </w:pPr>
      <w:r>
        <w:t>加装不锈钢防护罩，防止异物撞击条码带。</w:t>
      </w:r>
    </w:p>
    <w:p w14:paraId="67F4ECD6">
      <w:pPr>
        <w:pStyle w:val="4"/>
      </w:pPr>
      <w:r>
        <w:t>6.4 应急处理与安全操作</w:t>
      </w:r>
    </w:p>
    <w:p w14:paraId="301BEA61">
      <w:r>
        <w:t>RGV应急处理需快速响应突发故障，保障人员安全和减少生产损失，建立紧急停车、事故报告及疏散救援机制，同时规范安全操作流程，防范事故发生。</w:t>
      </w:r>
    </w:p>
    <w:p w14:paraId="4ED64088">
      <w:r>
        <w:t>紧急停车程序是防止事故扩大的关键，需明确触发条件、执行步骤和后续处理。触发条件包括：①人员误入危险区域（安全光栅被遮挡）；②设备异常（碰撞、异响、冒烟）；③火灾、漏电等紧急情况。执行步骤：操作工立即按下就近急停按钮（红色蘑菇头，旋转复位），或通过HMI发送“紧急停止”指令；PLC接收信号后，立即切断驱动电机电源，启动机械制动器（制动响应时间≤0.1秒）；同时声光报警器发出连续蜂鸣+红色闪光，通知周围人员。停车后检查：确认RGV已完全静止（速度=0）；切断主电源（滑触线电源开关或电池总开关）；设置警示标识（“禁止启动”警示牌），防止误操作。若因碰撞导致物料倾斜，需使用叉车或吊车固定物料，禁止人员进入危险区域。</w:t>
      </w:r>
    </w:p>
    <w:p w14:paraId="5C7814EE">
      <w:r>
        <w:t>事故报告流程遵循“分级上报、及时准确”原则，明确责任主体和传递路径。现场操作人员发现故障后，立即向当班班长报告（电话或对讲机），说明事故类型（如“3号RGV在B区碰撞模具”）、位置、时间及有无人员受伤；班长赶赴现场初步判断事故等级（轻微故障/一般事故/重大事故），轻微故障（如传感器误报）可现场处理，一般及以上事故（设备损坏/物料报废/人员受伤）需立即上报车间主任；车间主任组织技术人员进行事故调查，24小时内形成书面报告，内容包括事故经过、原因分析、损失评估（如模具维修费1.8万元、停机2小时）及整改措施，上报生产部和安环部。事故报告需附现场照片、PLC故障日志、维护记录等证据，确保可追溯。</w:t>
      </w:r>
    </w:p>
    <w:p w14:paraId="32F76AE1">
      <w:r>
        <w:t>疏散救援机制针对火灾、有毒气体泄漏等紧急情况，保障人员安全撤离。火灾应急：立即启动车间消防预案，使用就近灭火器（ABC干粉或CO₂灭火器）初期灭火（距离火源1-2m，对准火焰根部）；同时组织人员沿安全通道疏散至车间外集合点（逆风方向，远离火源），清点人数并上报；拨打119，说明火灾位置、燃烧物质（环氧树脂）及火势大小。有毒气体泄漏（如固化剂挥发）应急：佩戴防毒面具（P2级以上），关闭泄漏源（如阀门）；开启通风系统（风量≥10次/小时），驱散有毒气体；人员沿上风向疏散，必要时使用应急喷淋冲洗接触皮肤的液体。若发生人员受伤，立即拨打120，并进行急救（如止血、包扎、心肺复苏），等待专业医护人员。</w:t>
      </w:r>
    </w:p>
    <w:p w14:paraId="457933F1">
      <w:r>
        <w:t>安全操作规程是预防事故的基础，需覆盖操作前、操作中、操作后全流程。操作前检查：①个人防护（安全帽、防护眼镜、防滑鞋）；②设备状态（急停按钮复位、电池电量≥80%、轨道无异物）；③物料固定（模具通过定位销锁定，无晃动）。操作中规范：①禁止超负载运行（额定5吨，实际负载≤4吨）；②禁止在RGV运行时跨越轨道或触摸运动部件；③远程操作时，需确认周围无人后启动设备。操作后处理：①将RGV停靠至指定位置（待机位）；②清理轨道及周围杂物；③填写操作记录（运行时间、转运次数、异常情况）。特殊作业（如维修、清洁）需执行“上锁挂牌”程序（LOTO）：关闭电源，在开关处挂“正在维修，禁止合闸”警示牌并上锁，钥匙由作业人员保管，防止误启动。</w:t>
      </w:r>
    </w:p>
    <w:p w14:paraId="5E08BF20">
      <w:r>
        <w:t>安全培训与演练定期开展，提升人员应急能力。培训内容包括：安全操作规程、应急设备使用（灭火器、急救包）、疏散路线识别（绿色箭头标识）、风险辨识（高温区域警示、设备旋转部件）；每季度进行1次桌面演练（模拟RGV碰撞事故），每年进行1次实战演练（模拟火灾疏散），考核操作人员应急响应时间（≤3分钟）和操作规范性（如灭火器使用步骤正确）。演练后评估总结，优化应急预案（如缩短报警响应时间），确保预案有效性。</w:t>
      </w:r>
    </w:p>
    <w:p w14:paraId="36C599D2">
      <w:pPr>
        <w:pStyle w:val="4"/>
      </w:pPr>
      <w:r>
        <w:t>应急处理关键表格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119AD2E">
        <w:tc>
          <w:tcPr>
            <w:tcW w:w="0" w:type="auto"/>
            <w:vAlign w:val="center"/>
          </w:tcPr>
          <w:p w14:paraId="4735F4AC">
            <w:pPr>
              <w:jc w:val="center"/>
              <w:rPr>
                <w:b/>
              </w:rPr>
            </w:pPr>
            <w:r>
              <w:rPr>
                <w:b/>
              </w:rPr>
              <w:t>紧急情况类型</w:t>
            </w:r>
          </w:p>
        </w:tc>
        <w:tc>
          <w:tcPr>
            <w:tcW w:w="0" w:type="auto"/>
            <w:vAlign w:val="center"/>
          </w:tcPr>
          <w:p w14:paraId="4CE9CC4B">
            <w:pPr>
              <w:jc w:val="center"/>
              <w:rPr>
                <w:b/>
              </w:rPr>
            </w:pPr>
            <w:r>
              <w:rPr>
                <w:b/>
              </w:rPr>
              <w:t>应急措施</w:t>
            </w:r>
          </w:p>
        </w:tc>
        <w:tc>
          <w:tcPr>
            <w:tcW w:w="0" w:type="auto"/>
            <w:vAlign w:val="center"/>
          </w:tcPr>
          <w:p w14:paraId="6CB991C0">
            <w:pPr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0" w:type="auto"/>
            <w:vAlign w:val="center"/>
          </w:tcPr>
          <w:p w14:paraId="46931924">
            <w:pPr>
              <w:jc w:val="center"/>
              <w:rPr>
                <w:b/>
              </w:rPr>
            </w:pPr>
            <w:r>
              <w:rPr>
                <w:b/>
              </w:rPr>
              <w:t>联系方式</w:t>
            </w:r>
          </w:p>
        </w:tc>
      </w:tr>
      <w:tr w14:paraId="4A6F5F0D">
        <w:tc>
          <w:tcPr>
            <w:tcW w:w="0" w:type="auto"/>
            <w:vAlign w:val="center"/>
          </w:tcPr>
          <w:p w14:paraId="055931D2">
            <w:r>
              <w:t>设备碰撞</w:t>
            </w:r>
          </w:p>
        </w:tc>
        <w:tc>
          <w:tcPr>
            <w:tcW w:w="0" w:type="auto"/>
            <w:vAlign w:val="center"/>
          </w:tcPr>
          <w:p w14:paraId="762B6DE6">
            <w:r>
              <w:t>按下急停、切断电源、设置警示标识</w:t>
            </w:r>
          </w:p>
        </w:tc>
        <w:tc>
          <w:tcPr>
            <w:tcW w:w="0" w:type="auto"/>
            <w:vAlign w:val="center"/>
          </w:tcPr>
          <w:p w14:paraId="5EB205C2">
            <w:r>
              <w:t>操作工/班长</w:t>
            </w:r>
          </w:p>
        </w:tc>
        <w:tc>
          <w:tcPr>
            <w:tcW w:w="0" w:type="auto"/>
            <w:vAlign w:val="center"/>
          </w:tcPr>
          <w:p w14:paraId="60C2C5CD">
            <w:r>
              <w:t>车间电话XXXX</w:t>
            </w:r>
          </w:p>
        </w:tc>
      </w:tr>
      <w:tr w14:paraId="044323A5">
        <w:tc>
          <w:tcPr>
            <w:tcW w:w="0" w:type="auto"/>
            <w:vAlign w:val="center"/>
          </w:tcPr>
          <w:p w14:paraId="6E174316">
            <w:r>
              <w:t>火灾</w:t>
            </w:r>
          </w:p>
        </w:tc>
        <w:tc>
          <w:tcPr>
            <w:tcW w:w="0" w:type="auto"/>
            <w:vAlign w:val="center"/>
          </w:tcPr>
          <w:p w14:paraId="1A8A48D0">
            <w:r>
              <w:t>初期灭火、疏散人员、拨打119</w:t>
            </w:r>
          </w:p>
        </w:tc>
        <w:tc>
          <w:tcPr>
            <w:tcW w:w="0" w:type="auto"/>
            <w:vAlign w:val="center"/>
          </w:tcPr>
          <w:p w14:paraId="743EF504">
            <w:r>
              <w:t>班长/车间主任</w:t>
            </w:r>
          </w:p>
        </w:tc>
        <w:tc>
          <w:tcPr>
            <w:tcW w:w="0" w:type="auto"/>
            <w:vAlign w:val="center"/>
          </w:tcPr>
          <w:p w14:paraId="36C95CB3">
            <w:r>
              <w:t>消防控制室XXXX</w:t>
            </w:r>
          </w:p>
        </w:tc>
      </w:tr>
      <w:tr w14:paraId="1B65071D">
        <w:tc>
          <w:tcPr>
            <w:tcW w:w="0" w:type="auto"/>
            <w:vAlign w:val="center"/>
          </w:tcPr>
          <w:p w14:paraId="0E45E491">
            <w:r>
              <w:t>人员受伤</w:t>
            </w:r>
          </w:p>
        </w:tc>
        <w:tc>
          <w:tcPr>
            <w:tcW w:w="0" w:type="auto"/>
            <w:vAlign w:val="center"/>
          </w:tcPr>
          <w:p w14:paraId="1186427B">
            <w:r>
              <w:t>急救处理、拨打120、上报安环部</w:t>
            </w:r>
          </w:p>
        </w:tc>
        <w:tc>
          <w:tcPr>
            <w:tcW w:w="0" w:type="auto"/>
            <w:vAlign w:val="center"/>
          </w:tcPr>
          <w:p w14:paraId="68461A58">
            <w:r>
              <w:t>现场人员</w:t>
            </w:r>
          </w:p>
        </w:tc>
        <w:tc>
          <w:tcPr>
            <w:tcW w:w="0" w:type="auto"/>
            <w:vAlign w:val="center"/>
          </w:tcPr>
          <w:p w14:paraId="6140E7E4">
            <w:r>
              <w:t>急救中心120</w:t>
            </w:r>
          </w:p>
        </w:tc>
      </w:tr>
      <w:tr w14:paraId="728B3DE7">
        <w:tc>
          <w:tcPr>
            <w:tcW w:w="0" w:type="auto"/>
            <w:vAlign w:val="center"/>
          </w:tcPr>
          <w:p w14:paraId="6CAF20B3">
            <w:r>
              <w:t>有毒气体泄漏</w:t>
            </w:r>
          </w:p>
        </w:tc>
        <w:tc>
          <w:tcPr>
            <w:tcW w:w="0" w:type="auto"/>
            <w:vAlign w:val="center"/>
          </w:tcPr>
          <w:p w14:paraId="378677B0">
            <w:r>
              <w:t>佩戴防护用具、通风、疏散上风向</w:t>
            </w:r>
          </w:p>
        </w:tc>
        <w:tc>
          <w:tcPr>
            <w:tcW w:w="0" w:type="auto"/>
            <w:vAlign w:val="center"/>
          </w:tcPr>
          <w:p w14:paraId="397F2BEB">
            <w:r>
              <w:t>操作工/安全员</w:t>
            </w:r>
          </w:p>
        </w:tc>
        <w:tc>
          <w:tcPr>
            <w:tcW w:w="0" w:type="auto"/>
            <w:vAlign w:val="center"/>
          </w:tcPr>
          <w:p w14:paraId="0B7FEF42">
            <w:r>
              <w:t>安环部电话XXXX</w:t>
            </w:r>
          </w:p>
        </w:tc>
      </w:tr>
    </w:tbl>
    <w:p w14:paraId="157DC3E0">
      <w:pPr>
        <w:pStyle w:val="3"/>
      </w:pPr>
      <w:r>
        <w:t>七、操作与维护人员技能要求</w:t>
      </w:r>
    </w:p>
    <w:p w14:paraId="0EC8D889">
      <w:pPr>
        <w:pStyle w:val="4"/>
      </w:pPr>
      <w:r>
        <w:t>7.1 专业知识与技能培训</w:t>
      </w:r>
    </w:p>
    <w:p w14:paraId="5981D60B">
      <w:r>
        <w:t>RGV操作与维护人员需具备电气、机械、控制多领域知识，通过系统培训掌握设备原理、操作技能及故障处理能力，确保安全高效作业。</w:t>
      </w:r>
    </w:p>
    <w:p w14:paraId="756F7667">
      <w:r>
        <w:t>操作人员培训聚焦设备操作和基础点检，内容包括：①设备结构认知：熟悉RGV车架、驱动轮、链条输送机等部件名称及功能，理解各按钮、指示灯含义（如绿色灯常亮表示运行正常）；②操作流程：掌握HMI界面操作（任务启动、急停、模式切换）、物料装卸规范（模具定位销对接）及安全注意事项（禁止在运行时进入黄色警示区）；③基础点检：每日检查电池电量（≥20%）、轮胎气压（0.6-0.8MPa）、急停按钮功能，发现异常立即上报；④应急处理：能正确使用灭火器（ABC干粉灭火器使用步骤：提、拔、握、压）和急救包，掌握紧急停车操作。培训方式采用“理论+实操”：理论培训（20学时）通过教材、PPT学习安全规程和设备原理；实操培训（30学时）在模拟工位练习启动、停止、对接等操作，导师现场指导纠错。考核合格标准：理论考试≥80分，实操考核无违章操作，方可上岗独立操作。</w:t>
      </w:r>
    </w:p>
    <w:p w14:paraId="5CEFF220">
      <w:r>
        <w:t>维修人员培训侧重故障诊断和部件维修，需具备更深层次的专业知识：①电气维修：掌握PLC编程（如西门子TIA Portal软件）、变频器参数设置（如西门子G120驱动器）、传感器校准（激光测距仪、编码器）；能使用万用表、示波器排查电路故障（如短路、断路、信号干扰）；熟悉电气原理图，看懂控制回路和动力回路。②机械维修：掌握机械制图（能识读零件图、装配图）、公差配合（如定位销与孔的间隙配合H7/g6）；熟练使用扳手、千分尺、激光干涉仪等工具；能完成齿轮齿条更换、轴承拆装、液压系统调试等任务。③控制原理：理解速度闭环控制、位置闭环控制的工作原理；熟悉PROFIBUS-DP、Modbus等通信协议，能使用诊断工具（如西门子DP诊断仪）排查通信故障。培训周期：新入职维修人员需进行3个月岗前培训，通过理论考试（≥90分）、实操考核（独立完成电机更换、PLC程序下载）及导师评估后上岗；在职维修人员每半年进行1次技能提升培训（新技术、新故障案例），确保技能更新。</w:t>
      </w:r>
    </w:p>
    <w:p w14:paraId="23A2846C">
      <w:pPr>
        <w:pStyle w:val="4"/>
      </w:pPr>
      <w:r>
        <w:t>7.2 安全意识与考核评估</w:t>
      </w:r>
    </w:p>
    <w:p w14:paraId="63F7F224">
      <w:r>
        <w:t>安全意识教育通过案例警示、风险辨识及防护措施培训，强化人员安全责任感，考核评估确保培训效果落地。</w:t>
      </w:r>
    </w:p>
    <w:p w14:paraId="14A3F60B">
      <w:r>
        <w:t>安全意识教育内容包括：①事故案例警示：分析行业内RGV碰撞、挤压事故（如“操作员未确认安全区域启动设备，导致小腿被夹伤”），观看事故视频，讨论事故原因（违章操作、安全装置失效）和教训（未执行“停机上锁”程序）；②风险辨识培训：识别RGV作业区域风险点（如轨道缝隙夹脚、运动部件卷入、滑触线触电），学习安全标识含义（红色禁止、黄色警告、蓝色指令）；③防护措施认知：正确佩戴个人防护装备（PPE），如安全帽（防物体打击）、防护眼镜（防粉尘）、防滑鞋（防摔倒），理解防护装备失效的后果（如未戴防护眼镜导致粉尘入眼）。教育方式：每月安全例会（1小时），每季度安全知识竞赛，每年安全月主题活动（如“安全操作我来讲”演讲比赛），营造“人人讲安全、事事为安全”的氛围。</w:t>
      </w:r>
    </w:p>
    <w:p w14:paraId="37E03EBA">
      <w:r>
        <w:t>考核评估采用多维度方式，确保安全意识和技能达标：①理论考核：每半年进行安全规程考试（题型包括选择、判断、案例分析），80分以上合格，不合格者补考，仍不合格调离岗位；②实操评估：模拟紧急情况（如安全光栅被遮挡、急停按钮触发），考核操作人员的应急响应（是否立即停车、上报）和处理步骤（设置警示标识、切断电源）；③日常行为观察：班组长和安全员通过现场巡查，记录员工安全行为（如正确佩戴PPE、执行上锁挂牌）和违章行为（如跨越运行中的RGV），纳入绩效考核。评估结果应用：安全考核合格作为岗位晋升、奖金发放的必要条件；连续3次考核优秀者授予“安全标兵”称号；发生违章操作，除经济处罚外，需进行安全再培训（4学时）并通过补考。</w:t>
      </w:r>
    </w:p>
    <w:p w14:paraId="58584516">
      <w:pPr>
        <w:pStyle w:val="3"/>
      </w:pPr>
      <w:r>
        <w:t>附录</w:t>
      </w:r>
    </w:p>
    <w:p w14:paraId="66C6DC58">
      <w:pPr>
        <w:pStyle w:val="4"/>
      </w:pPr>
      <w:r>
        <w:t>A. 技术参数表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6B0B713">
        <w:tc>
          <w:tcPr>
            <w:tcW w:w="0" w:type="auto"/>
            <w:vAlign w:val="center"/>
          </w:tcPr>
          <w:p w14:paraId="0E0153A7">
            <w:pPr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0" w:type="auto"/>
            <w:vAlign w:val="center"/>
          </w:tcPr>
          <w:p w14:paraId="11FB7FD8">
            <w:pPr>
              <w:jc w:val="center"/>
              <w:rPr>
                <w:b/>
              </w:rPr>
            </w:pPr>
            <w:r>
              <w:rPr>
                <w:b/>
              </w:rPr>
              <w:t>参数值</w:t>
            </w:r>
          </w:p>
        </w:tc>
        <w:tc>
          <w:tcPr>
            <w:tcW w:w="0" w:type="auto"/>
            <w:vAlign w:val="center"/>
          </w:tcPr>
          <w:p w14:paraId="6D2E4AA5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2A6C3D81">
        <w:tc>
          <w:tcPr>
            <w:tcW w:w="0" w:type="auto"/>
            <w:vAlign w:val="center"/>
          </w:tcPr>
          <w:p w14:paraId="6BE7B39D">
            <w:r>
              <w:rPr>
                <w:b/>
              </w:rPr>
              <w:t>基本参数</w:t>
            </w:r>
          </w:p>
        </w:tc>
        <w:tc>
          <w:tcPr>
            <w:tcW w:w="0" w:type="auto"/>
            <w:vAlign w:val="center"/>
          </w:tcPr>
          <w:p w14:paraId="47A83B61"/>
        </w:tc>
        <w:tc>
          <w:tcPr>
            <w:tcW w:w="0" w:type="auto"/>
            <w:vAlign w:val="center"/>
          </w:tcPr>
          <w:p w14:paraId="2113F76B"/>
        </w:tc>
      </w:tr>
      <w:tr w14:paraId="36722529">
        <w:tc>
          <w:tcPr>
            <w:tcW w:w="0" w:type="auto"/>
            <w:vAlign w:val="center"/>
          </w:tcPr>
          <w:p w14:paraId="1520249A">
            <w:r>
              <w:t>型号</w:t>
            </w:r>
          </w:p>
        </w:tc>
        <w:tc>
          <w:tcPr>
            <w:tcW w:w="0" w:type="auto"/>
            <w:vAlign w:val="center"/>
          </w:tcPr>
          <w:p w14:paraId="6DDFE14F">
            <w:r>
              <w:t>RGV-5T</w:t>
            </w:r>
          </w:p>
        </w:tc>
        <w:tc>
          <w:tcPr>
            <w:tcW w:w="0" w:type="auto"/>
            <w:vAlign w:val="center"/>
          </w:tcPr>
          <w:p w14:paraId="03C9DAEB">
            <w:r>
              <w:t>承载能力5吨</w:t>
            </w:r>
          </w:p>
        </w:tc>
      </w:tr>
      <w:tr w14:paraId="568301F2">
        <w:tc>
          <w:tcPr>
            <w:tcW w:w="0" w:type="auto"/>
            <w:vAlign w:val="center"/>
          </w:tcPr>
          <w:p w14:paraId="4316AF2F">
            <w:r>
              <w:t>外形尺寸</w:t>
            </w:r>
          </w:p>
        </w:tc>
        <w:tc>
          <w:tcPr>
            <w:tcW w:w="0" w:type="auto"/>
            <w:vAlign w:val="center"/>
          </w:tcPr>
          <w:p w14:paraId="0B4C0D5F">
            <w:r>
              <w:t>2800×1560×400mm（长×宽×高）</w:t>
            </w:r>
          </w:p>
        </w:tc>
        <w:tc>
          <w:tcPr>
            <w:tcW w:w="0" w:type="auto"/>
            <w:vAlign w:val="center"/>
          </w:tcPr>
          <w:p w14:paraId="0BC4BE7D">
            <w:r>
              <w:t>含保险杠</w:t>
            </w:r>
          </w:p>
        </w:tc>
      </w:tr>
      <w:tr w14:paraId="76C46E29">
        <w:tc>
          <w:tcPr>
            <w:tcW w:w="0" w:type="auto"/>
            <w:vAlign w:val="center"/>
          </w:tcPr>
          <w:p w14:paraId="362159CC">
            <w:r>
              <w:t>轨道类型</w:t>
            </w:r>
          </w:p>
        </w:tc>
        <w:tc>
          <w:tcPr>
            <w:tcW w:w="0" w:type="auto"/>
            <w:vAlign w:val="center"/>
          </w:tcPr>
          <w:p w14:paraId="29D9985B">
            <w:r>
              <w:t>轻轨Q235，38kg/m</w:t>
            </w:r>
          </w:p>
        </w:tc>
        <w:tc>
          <w:tcPr>
            <w:tcW w:w="0" w:type="auto"/>
            <w:vAlign w:val="center"/>
          </w:tcPr>
          <w:p w14:paraId="11049C94">
            <w:r>
              <w:t>轨距1200mm</w:t>
            </w:r>
          </w:p>
        </w:tc>
      </w:tr>
      <w:tr w14:paraId="1D6999E4">
        <w:tc>
          <w:tcPr>
            <w:tcW w:w="0" w:type="auto"/>
            <w:vAlign w:val="center"/>
          </w:tcPr>
          <w:p w14:paraId="7CF7A1D2">
            <w:r>
              <w:t>承载能力</w:t>
            </w:r>
          </w:p>
        </w:tc>
        <w:tc>
          <w:tcPr>
            <w:tcW w:w="0" w:type="auto"/>
            <w:vAlign w:val="center"/>
          </w:tcPr>
          <w:p w14:paraId="010A6872">
            <w:r>
              <w:t>5000kg（额定），7500kg（最大）</w:t>
            </w:r>
          </w:p>
        </w:tc>
        <w:tc>
          <w:tcPr>
            <w:tcW w:w="0" w:type="auto"/>
            <w:vAlign w:val="center"/>
          </w:tcPr>
          <w:p w14:paraId="3CBB3664">
            <w:r>
              <w:t>均匀分布载荷</w:t>
            </w:r>
          </w:p>
        </w:tc>
      </w:tr>
      <w:tr w14:paraId="0A0A885F">
        <w:tc>
          <w:tcPr>
            <w:tcW w:w="0" w:type="auto"/>
            <w:vAlign w:val="center"/>
          </w:tcPr>
          <w:p w14:paraId="0B46E397">
            <w:r>
              <w:rPr>
                <w:b/>
              </w:rPr>
              <w:t>性能参数</w:t>
            </w:r>
          </w:p>
        </w:tc>
        <w:tc>
          <w:tcPr>
            <w:tcW w:w="0" w:type="auto"/>
            <w:vAlign w:val="center"/>
          </w:tcPr>
          <w:p w14:paraId="7E971F76"/>
        </w:tc>
        <w:tc>
          <w:tcPr>
            <w:tcW w:w="0" w:type="auto"/>
            <w:vAlign w:val="center"/>
          </w:tcPr>
          <w:p w14:paraId="050F2E95"/>
        </w:tc>
      </w:tr>
      <w:tr w14:paraId="3E298A22">
        <w:tc>
          <w:tcPr>
            <w:tcW w:w="0" w:type="auto"/>
            <w:vAlign w:val="center"/>
          </w:tcPr>
          <w:p w14:paraId="3BD26FAC">
            <w:r>
              <w:t>运行速度</w:t>
            </w:r>
          </w:p>
        </w:tc>
        <w:tc>
          <w:tcPr>
            <w:tcW w:w="0" w:type="auto"/>
            <w:vAlign w:val="center"/>
          </w:tcPr>
          <w:p w14:paraId="76832698">
            <w:r>
              <w:t>空载1.0-1.2m/s，负载0.5-0.9m/s</w:t>
            </w:r>
          </w:p>
        </w:tc>
        <w:tc>
          <w:tcPr>
            <w:tcW w:w="0" w:type="auto"/>
            <w:vAlign w:val="center"/>
          </w:tcPr>
          <w:p w14:paraId="09BB8510">
            <w:r>
              <w:t>可调</w:t>
            </w:r>
          </w:p>
        </w:tc>
      </w:tr>
      <w:tr w14:paraId="4B9D6C82">
        <w:tc>
          <w:tcPr>
            <w:tcW w:w="0" w:type="auto"/>
            <w:vAlign w:val="center"/>
          </w:tcPr>
          <w:p w14:paraId="5A2B22F3">
            <w:r>
              <w:t>定位精度</w:t>
            </w:r>
          </w:p>
        </w:tc>
        <w:tc>
          <w:tcPr>
            <w:tcW w:w="0" w:type="auto"/>
            <w:vAlign w:val="center"/>
          </w:tcPr>
          <w:p w14:paraId="4A693EA9">
            <w:r>
              <w:t>±0.5mm（动态），±0.1mm（静态）</w:t>
            </w:r>
          </w:p>
        </w:tc>
        <w:tc>
          <w:tcPr>
            <w:tcW w:w="0" w:type="auto"/>
            <w:vAlign w:val="center"/>
          </w:tcPr>
          <w:p w14:paraId="527F4D56">
            <w:r>
              <w:t>激光+条码带+液压定位</w:t>
            </w:r>
          </w:p>
        </w:tc>
      </w:tr>
      <w:tr w14:paraId="33E11384">
        <w:tc>
          <w:tcPr>
            <w:tcW w:w="0" w:type="auto"/>
            <w:vAlign w:val="center"/>
          </w:tcPr>
          <w:p w14:paraId="51D5CCD5">
            <w:r>
              <w:t>制动距离</w:t>
            </w:r>
          </w:p>
        </w:tc>
        <w:tc>
          <w:tcPr>
            <w:tcW w:w="0" w:type="auto"/>
            <w:vAlign w:val="center"/>
          </w:tcPr>
          <w:p w14:paraId="758C15F1">
            <w:r>
              <w:t>≤0.3m（速度1m/s时）</w:t>
            </w:r>
          </w:p>
        </w:tc>
        <w:tc>
          <w:tcPr>
            <w:tcW w:w="0" w:type="auto"/>
            <w:vAlign w:val="center"/>
          </w:tcPr>
          <w:p w14:paraId="51D5CD4F">
            <w:r>
              <w:t>电磁+机械双制动</w:t>
            </w:r>
          </w:p>
        </w:tc>
      </w:tr>
      <w:tr w14:paraId="33BBAB78">
        <w:tc>
          <w:tcPr>
            <w:tcW w:w="0" w:type="auto"/>
            <w:vAlign w:val="center"/>
          </w:tcPr>
          <w:p w14:paraId="16127299">
            <w:r>
              <w:t>续航能力</w:t>
            </w:r>
          </w:p>
        </w:tc>
        <w:tc>
          <w:tcPr>
            <w:tcW w:w="0" w:type="auto"/>
            <w:vAlign w:val="center"/>
          </w:tcPr>
          <w:p w14:paraId="282A5B00">
            <w:r>
              <w:t>8-10小时（蓄电池供电）</w:t>
            </w:r>
          </w:p>
        </w:tc>
        <w:tc>
          <w:tcPr>
            <w:tcW w:w="0" w:type="auto"/>
            <w:vAlign w:val="center"/>
          </w:tcPr>
          <w:p w14:paraId="5D8E342F">
            <w:r>
              <w:t>48V100AH磷酸铁锂电池</w:t>
            </w:r>
          </w:p>
        </w:tc>
      </w:tr>
      <w:tr w14:paraId="3AB65766">
        <w:tc>
          <w:tcPr>
            <w:tcW w:w="0" w:type="auto"/>
            <w:vAlign w:val="center"/>
          </w:tcPr>
          <w:p w14:paraId="3D914A72">
            <w:r>
              <w:rPr>
                <w:b/>
              </w:rPr>
              <w:t>电气参数</w:t>
            </w:r>
          </w:p>
        </w:tc>
        <w:tc>
          <w:tcPr>
            <w:tcW w:w="0" w:type="auto"/>
            <w:vAlign w:val="center"/>
          </w:tcPr>
          <w:p w14:paraId="0015F76D"/>
        </w:tc>
        <w:tc>
          <w:tcPr>
            <w:tcW w:w="0" w:type="auto"/>
            <w:vAlign w:val="center"/>
          </w:tcPr>
          <w:p w14:paraId="5CD70152"/>
        </w:tc>
      </w:tr>
      <w:tr w14:paraId="5320BC01">
        <w:tc>
          <w:tcPr>
            <w:tcW w:w="0" w:type="auto"/>
            <w:vAlign w:val="center"/>
          </w:tcPr>
          <w:p w14:paraId="240FCC5C">
            <w:r>
              <w:t>供电方式</w:t>
            </w:r>
          </w:p>
        </w:tc>
        <w:tc>
          <w:tcPr>
            <w:tcW w:w="0" w:type="auto"/>
            <w:vAlign w:val="center"/>
          </w:tcPr>
          <w:p w14:paraId="49B31537">
            <w:r>
              <w:t>滑触线AC380V/50Hz或蓄电池DC48V</w:t>
            </w:r>
          </w:p>
        </w:tc>
        <w:tc>
          <w:tcPr>
            <w:tcW w:w="0" w:type="auto"/>
            <w:vAlign w:val="center"/>
          </w:tcPr>
          <w:p w14:paraId="3F3B9E74">
            <w:r>
              <w:t>可选</w:t>
            </w:r>
          </w:p>
        </w:tc>
      </w:tr>
      <w:tr w14:paraId="6D6AEE92">
        <w:tc>
          <w:tcPr>
            <w:tcW w:w="0" w:type="auto"/>
            <w:vAlign w:val="center"/>
          </w:tcPr>
          <w:p w14:paraId="6FDEB3C2">
            <w:r>
              <w:t>PLC型号</w:t>
            </w:r>
          </w:p>
        </w:tc>
        <w:tc>
          <w:tcPr>
            <w:tcW w:w="0" w:type="auto"/>
            <w:vAlign w:val="center"/>
          </w:tcPr>
          <w:p w14:paraId="7008838C">
            <w:r>
              <w:t>西门子S7-1214C DC/DC/DC</w:t>
            </w:r>
          </w:p>
        </w:tc>
        <w:tc>
          <w:tcPr>
            <w:tcW w:w="0" w:type="auto"/>
            <w:vAlign w:val="center"/>
          </w:tcPr>
          <w:p w14:paraId="02BA131B">
            <w:r>
              <w:t>14DI/10DO/2AI/1AO</w:t>
            </w:r>
          </w:p>
        </w:tc>
      </w:tr>
      <w:tr w14:paraId="6905A649">
        <w:tc>
          <w:tcPr>
            <w:tcW w:w="0" w:type="auto"/>
            <w:vAlign w:val="center"/>
          </w:tcPr>
          <w:p w14:paraId="3D8869A8">
            <w:r>
              <w:t>伺服电机功率</w:t>
            </w:r>
          </w:p>
        </w:tc>
        <w:tc>
          <w:tcPr>
            <w:tcW w:w="0" w:type="auto"/>
            <w:vAlign w:val="center"/>
          </w:tcPr>
          <w:p w14:paraId="476417C8">
            <w:r>
              <w:t>4.5KW×2（双驱动）</w:t>
            </w:r>
          </w:p>
        </w:tc>
        <w:tc>
          <w:tcPr>
            <w:tcW w:w="0" w:type="auto"/>
            <w:vAlign w:val="center"/>
          </w:tcPr>
          <w:p w14:paraId="4560F62C">
            <w:r>
              <w:t>额定转速3000rpm</w:t>
            </w:r>
          </w:p>
        </w:tc>
      </w:tr>
      <w:tr w14:paraId="6FF20638">
        <w:tc>
          <w:tcPr>
            <w:tcW w:w="0" w:type="auto"/>
            <w:vAlign w:val="center"/>
          </w:tcPr>
          <w:p w14:paraId="7E55D397">
            <w:r>
              <w:t>防护等级</w:t>
            </w:r>
          </w:p>
        </w:tc>
        <w:tc>
          <w:tcPr>
            <w:tcW w:w="0" w:type="auto"/>
            <w:vAlign w:val="center"/>
          </w:tcPr>
          <w:p w14:paraId="3F9D1246">
            <w:r>
              <w:t>车体IP54，电气柜IP65</w:t>
            </w:r>
          </w:p>
        </w:tc>
        <w:tc>
          <w:tcPr>
            <w:tcW w:w="0" w:type="auto"/>
            <w:vAlign w:val="center"/>
          </w:tcPr>
          <w:p w14:paraId="1752B99C">
            <w:r>
              <w:t>适应粉尘、潮湿环境</w:t>
            </w:r>
          </w:p>
        </w:tc>
      </w:tr>
      <w:tr w14:paraId="2362F3B0">
        <w:tc>
          <w:tcPr>
            <w:tcW w:w="0" w:type="auto"/>
            <w:vAlign w:val="center"/>
          </w:tcPr>
          <w:p w14:paraId="73582D25">
            <w:r>
              <w:rPr>
                <w:b/>
              </w:rPr>
              <w:t>环境参数</w:t>
            </w:r>
          </w:p>
        </w:tc>
        <w:tc>
          <w:tcPr>
            <w:tcW w:w="0" w:type="auto"/>
            <w:vAlign w:val="center"/>
          </w:tcPr>
          <w:p w14:paraId="7B8F2003"/>
        </w:tc>
        <w:tc>
          <w:tcPr>
            <w:tcW w:w="0" w:type="auto"/>
            <w:vAlign w:val="center"/>
          </w:tcPr>
          <w:p w14:paraId="7013C4EF"/>
        </w:tc>
      </w:tr>
      <w:tr w14:paraId="518A954C">
        <w:tc>
          <w:tcPr>
            <w:tcW w:w="0" w:type="auto"/>
            <w:vAlign w:val="center"/>
          </w:tcPr>
          <w:p w14:paraId="6EFAE098">
            <w:r>
              <w:t>工作温度</w:t>
            </w:r>
          </w:p>
        </w:tc>
        <w:tc>
          <w:tcPr>
            <w:tcW w:w="0" w:type="auto"/>
            <w:vAlign w:val="center"/>
          </w:tcPr>
          <w:p w14:paraId="638032B6">
            <w:r>
              <w:t>-10℃~60℃</w:t>
            </w:r>
          </w:p>
        </w:tc>
        <w:tc>
          <w:tcPr>
            <w:tcW w:w="0" w:type="auto"/>
            <w:vAlign w:val="center"/>
          </w:tcPr>
          <w:p w14:paraId="6A06192B">
            <w:r>
              <w:t>高温区域≤80℃（加装隔热）</w:t>
            </w:r>
          </w:p>
        </w:tc>
      </w:tr>
      <w:tr w14:paraId="6659061D">
        <w:tc>
          <w:tcPr>
            <w:tcW w:w="0" w:type="auto"/>
            <w:vAlign w:val="center"/>
          </w:tcPr>
          <w:p w14:paraId="5CE19326">
            <w:r>
              <w:t>相对湿度</w:t>
            </w:r>
          </w:p>
        </w:tc>
        <w:tc>
          <w:tcPr>
            <w:tcW w:w="0" w:type="auto"/>
            <w:vAlign w:val="center"/>
          </w:tcPr>
          <w:p w14:paraId="1146A81F">
            <w:r>
              <w:t>10%-90%RH（无凝结）</w:t>
            </w:r>
          </w:p>
        </w:tc>
        <w:tc>
          <w:tcPr>
            <w:tcW w:w="0" w:type="auto"/>
            <w:vAlign w:val="center"/>
          </w:tcPr>
          <w:p w14:paraId="1EB78A44">
            <w:r>
              <w:t>潮湿环境需除湿</w:t>
            </w:r>
          </w:p>
        </w:tc>
      </w:tr>
      <w:tr w14:paraId="12F11F01">
        <w:tc>
          <w:tcPr>
            <w:tcW w:w="0" w:type="auto"/>
            <w:vAlign w:val="center"/>
          </w:tcPr>
          <w:p w14:paraId="44197C2D">
            <w:r>
              <w:t>粉尘浓度</w:t>
            </w:r>
          </w:p>
        </w:tc>
        <w:tc>
          <w:tcPr>
            <w:tcW w:w="0" w:type="auto"/>
            <w:vAlign w:val="center"/>
          </w:tcPr>
          <w:p w14:paraId="456C3F69">
            <w:r>
              <w:t>≤10mg/m³</w:t>
            </w:r>
          </w:p>
        </w:tc>
        <w:tc>
          <w:tcPr>
            <w:tcW w:w="0" w:type="auto"/>
            <w:vAlign w:val="center"/>
          </w:tcPr>
          <w:p w14:paraId="5EB52D44">
            <w:r>
              <w:t>需定期清洁传感器</w:t>
            </w:r>
          </w:p>
        </w:tc>
      </w:tr>
    </w:tbl>
    <w:p w14:paraId="1D7633FE">
      <w:pPr>
        <w:pStyle w:val="4"/>
      </w:pPr>
      <w:r>
        <w:t>B. 维护记录模板</w:t>
      </w:r>
    </w:p>
    <w:p w14:paraId="428965E1">
      <w:pPr>
        <w:pStyle w:val="5"/>
      </w:pPr>
      <w:r>
        <w:t>日常点检表（操作工）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0E7A6321">
        <w:tc>
          <w:tcPr>
            <w:tcW w:w="0" w:type="auto"/>
            <w:vAlign w:val="center"/>
          </w:tcPr>
          <w:p w14:paraId="39B4E723">
            <w:pPr>
              <w:jc w:val="center"/>
              <w:rPr>
                <w:b/>
              </w:rPr>
            </w:pPr>
            <w:r>
              <w:rPr>
                <w:b/>
              </w:rPr>
              <w:t>检查日期</w:t>
            </w:r>
          </w:p>
        </w:tc>
        <w:tc>
          <w:tcPr>
            <w:tcW w:w="0" w:type="auto"/>
            <w:vAlign w:val="center"/>
          </w:tcPr>
          <w:p w14:paraId="00331440">
            <w:pPr>
              <w:jc w:val="center"/>
              <w:rPr>
                <w:b/>
              </w:rPr>
            </w:pPr>
            <w:r>
              <w:rPr>
                <w:b/>
              </w:rPr>
              <w:t>检查时间</w:t>
            </w:r>
          </w:p>
        </w:tc>
        <w:tc>
          <w:tcPr>
            <w:tcW w:w="0" w:type="auto"/>
            <w:vAlign w:val="center"/>
          </w:tcPr>
          <w:p w14:paraId="2824C23F">
            <w:pPr>
              <w:jc w:val="center"/>
              <w:rPr>
                <w:b/>
              </w:rPr>
            </w:pPr>
            <w:r>
              <w:rPr>
                <w:b/>
              </w:rPr>
              <w:t>检查项</w:t>
            </w:r>
          </w:p>
        </w:tc>
        <w:tc>
          <w:tcPr>
            <w:tcW w:w="0" w:type="auto"/>
            <w:vAlign w:val="center"/>
          </w:tcPr>
          <w:p w14:paraId="4218592B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603691BF">
            <w:pPr>
              <w:jc w:val="center"/>
              <w:rPr>
                <w:b/>
              </w:rPr>
            </w:pPr>
            <w:r>
              <w:rPr>
                <w:b/>
              </w:rPr>
              <w:t>实测值</w:t>
            </w:r>
          </w:p>
        </w:tc>
        <w:tc>
          <w:tcPr>
            <w:tcW w:w="0" w:type="auto"/>
            <w:vAlign w:val="center"/>
          </w:tcPr>
          <w:p w14:paraId="13D07B01">
            <w:pPr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  <w:tc>
          <w:tcPr>
            <w:tcW w:w="0" w:type="auto"/>
            <w:vAlign w:val="center"/>
          </w:tcPr>
          <w:p w14:paraId="2173C194">
            <w:pPr>
              <w:jc w:val="center"/>
              <w:rPr>
                <w:b/>
              </w:rPr>
            </w:pPr>
            <w:r>
              <w:rPr>
                <w:b/>
              </w:rPr>
              <w:t>检查人</w:t>
            </w:r>
          </w:p>
        </w:tc>
        <w:tc>
          <w:tcPr>
            <w:tcW w:w="0" w:type="auto"/>
            <w:vAlign w:val="center"/>
          </w:tcPr>
          <w:p w14:paraId="4835103B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33AE6B21">
        <w:tc>
          <w:tcPr>
            <w:tcW w:w="0" w:type="auto"/>
            <w:vAlign w:val="center"/>
          </w:tcPr>
          <w:p w14:paraId="60F46B06">
            <w:r>
              <w:t>2025.10.01</w:t>
            </w:r>
          </w:p>
        </w:tc>
        <w:tc>
          <w:tcPr>
            <w:tcW w:w="0" w:type="auto"/>
            <w:vAlign w:val="center"/>
          </w:tcPr>
          <w:p w14:paraId="49A9DE2F">
            <w:r>
              <w:t>8:30</w:t>
            </w:r>
          </w:p>
        </w:tc>
        <w:tc>
          <w:tcPr>
            <w:tcW w:w="0" w:type="auto"/>
            <w:vAlign w:val="center"/>
          </w:tcPr>
          <w:p w14:paraId="7F4C4374">
            <w:r>
              <w:t>急停按钮</w:t>
            </w:r>
          </w:p>
        </w:tc>
        <w:tc>
          <w:tcPr>
            <w:tcW w:w="0" w:type="auto"/>
            <w:vAlign w:val="center"/>
          </w:tcPr>
          <w:p w14:paraId="33E154A6">
            <w:r>
              <w:t>复位状态，功能正常</w:t>
            </w:r>
          </w:p>
        </w:tc>
        <w:tc>
          <w:tcPr>
            <w:tcW w:w="0" w:type="auto"/>
            <w:vAlign w:val="center"/>
          </w:tcPr>
          <w:p w14:paraId="2D467B44">
            <w:r>
              <w:t>正常</w:t>
            </w:r>
          </w:p>
        </w:tc>
        <w:tc>
          <w:tcPr>
            <w:tcW w:w="0" w:type="auto"/>
            <w:vAlign w:val="center"/>
          </w:tcPr>
          <w:p w14:paraId="3619B682">
            <w:r>
              <w:t>-</w:t>
            </w:r>
          </w:p>
        </w:tc>
        <w:tc>
          <w:tcPr>
            <w:tcW w:w="0" w:type="auto"/>
            <w:vAlign w:val="center"/>
          </w:tcPr>
          <w:p w14:paraId="0A62CD99">
            <w:r>
              <w:t>张三</w:t>
            </w:r>
          </w:p>
        </w:tc>
        <w:tc>
          <w:tcPr>
            <w:tcW w:w="0" w:type="auto"/>
            <w:vAlign w:val="center"/>
          </w:tcPr>
          <w:p w14:paraId="393AB937"/>
        </w:tc>
      </w:tr>
      <w:tr w14:paraId="58059C7B">
        <w:tc>
          <w:tcPr>
            <w:tcW w:w="0" w:type="auto"/>
            <w:vAlign w:val="center"/>
          </w:tcPr>
          <w:p w14:paraId="2BF0C943"/>
        </w:tc>
        <w:tc>
          <w:tcPr>
            <w:tcW w:w="0" w:type="auto"/>
            <w:vAlign w:val="center"/>
          </w:tcPr>
          <w:p w14:paraId="5E01AA8D"/>
        </w:tc>
        <w:tc>
          <w:tcPr>
            <w:tcW w:w="0" w:type="auto"/>
            <w:vAlign w:val="center"/>
          </w:tcPr>
          <w:p w14:paraId="027E22DC">
            <w:r>
              <w:t>电池电量</w:t>
            </w:r>
          </w:p>
        </w:tc>
        <w:tc>
          <w:tcPr>
            <w:tcW w:w="0" w:type="auto"/>
            <w:vAlign w:val="center"/>
          </w:tcPr>
          <w:p w14:paraId="77D0D975">
            <w:r>
              <w:t>≥20%</w:t>
            </w:r>
          </w:p>
        </w:tc>
        <w:tc>
          <w:tcPr>
            <w:tcW w:w="0" w:type="auto"/>
            <w:vAlign w:val="center"/>
          </w:tcPr>
          <w:p w14:paraId="281676FC">
            <w:r>
              <w:t>35%</w:t>
            </w:r>
          </w:p>
        </w:tc>
        <w:tc>
          <w:tcPr>
            <w:tcW w:w="0" w:type="auto"/>
            <w:vAlign w:val="center"/>
          </w:tcPr>
          <w:p w14:paraId="136D8A5F">
            <w:r>
              <w:t>-</w:t>
            </w:r>
          </w:p>
        </w:tc>
        <w:tc>
          <w:tcPr>
            <w:tcW w:w="0" w:type="auto"/>
            <w:vAlign w:val="center"/>
          </w:tcPr>
          <w:p w14:paraId="7AFC877B"/>
        </w:tc>
        <w:tc>
          <w:tcPr>
            <w:tcW w:w="0" w:type="auto"/>
            <w:vAlign w:val="center"/>
          </w:tcPr>
          <w:p w14:paraId="2CAE9447"/>
        </w:tc>
      </w:tr>
      <w:tr w14:paraId="173B54F5">
        <w:tc>
          <w:tcPr>
            <w:tcW w:w="0" w:type="auto"/>
            <w:vAlign w:val="center"/>
          </w:tcPr>
          <w:p w14:paraId="514A948F"/>
        </w:tc>
        <w:tc>
          <w:tcPr>
            <w:tcW w:w="0" w:type="auto"/>
            <w:vAlign w:val="center"/>
          </w:tcPr>
          <w:p w14:paraId="52E0C924"/>
        </w:tc>
        <w:tc>
          <w:tcPr>
            <w:tcW w:w="0" w:type="auto"/>
            <w:vAlign w:val="center"/>
          </w:tcPr>
          <w:p w14:paraId="302FF0B0">
            <w:r>
              <w:t>轨道异物</w:t>
            </w:r>
          </w:p>
        </w:tc>
        <w:tc>
          <w:tcPr>
            <w:tcW w:w="0" w:type="auto"/>
            <w:vAlign w:val="center"/>
          </w:tcPr>
          <w:p w14:paraId="5BB3F00F">
            <w:r>
              <w:t>无铁屑、树脂块</w:t>
            </w:r>
          </w:p>
        </w:tc>
        <w:tc>
          <w:tcPr>
            <w:tcW w:w="0" w:type="auto"/>
            <w:vAlign w:val="center"/>
          </w:tcPr>
          <w:p w14:paraId="0BC5B2C6">
            <w:r>
              <w:t>无</w:t>
            </w:r>
          </w:p>
        </w:tc>
        <w:tc>
          <w:tcPr>
            <w:tcW w:w="0" w:type="auto"/>
            <w:vAlign w:val="center"/>
          </w:tcPr>
          <w:p w14:paraId="091895B6">
            <w:r>
              <w:t>-</w:t>
            </w:r>
          </w:p>
        </w:tc>
        <w:tc>
          <w:tcPr>
            <w:tcW w:w="0" w:type="auto"/>
            <w:vAlign w:val="center"/>
          </w:tcPr>
          <w:p w14:paraId="57714067"/>
        </w:tc>
        <w:tc>
          <w:tcPr>
            <w:tcW w:w="0" w:type="auto"/>
            <w:vAlign w:val="center"/>
          </w:tcPr>
          <w:p w14:paraId="590981DB"/>
        </w:tc>
      </w:tr>
      <w:tr w14:paraId="17AC13D5">
        <w:tc>
          <w:tcPr>
            <w:tcW w:w="0" w:type="auto"/>
            <w:vAlign w:val="center"/>
          </w:tcPr>
          <w:p w14:paraId="79EC9C4A"/>
        </w:tc>
        <w:tc>
          <w:tcPr>
            <w:tcW w:w="0" w:type="auto"/>
            <w:vAlign w:val="center"/>
          </w:tcPr>
          <w:p w14:paraId="3F1EC49D"/>
        </w:tc>
        <w:tc>
          <w:tcPr>
            <w:tcW w:w="0" w:type="auto"/>
            <w:vAlign w:val="center"/>
          </w:tcPr>
          <w:p w14:paraId="21ADD705">
            <w:r>
              <w:t>运行声音</w:t>
            </w:r>
          </w:p>
        </w:tc>
        <w:tc>
          <w:tcPr>
            <w:tcW w:w="0" w:type="auto"/>
            <w:vAlign w:val="center"/>
          </w:tcPr>
          <w:p w14:paraId="3DC6F974">
            <w:r>
              <w:t>均匀无异响</w:t>
            </w:r>
          </w:p>
        </w:tc>
        <w:tc>
          <w:tcPr>
            <w:tcW w:w="0" w:type="auto"/>
            <w:vAlign w:val="center"/>
          </w:tcPr>
          <w:p w14:paraId="1AD3F767">
            <w:r>
              <w:t>正常</w:t>
            </w:r>
          </w:p>
        </w:tc>
        <w:tc>
          <w:tcPr>
            <w:tcW w:w="0" w:type="auto"/>
            <w:vAlign w:val="center"/>
          </w:tcPr>
          <w:p w14:paraId="25DE40CE">
            <w:r>
              <w:t>-</w:t>
            </w:r>
          </w:p>
        </w:tc>
        <w:tc>
          <w:tcPr>
            <w:tcW w:w="0" w:type="auto"/>
            <w:vAlign w:val="center"/>
          </w:tcPr>
          <w:p w14:paraId="28FAC638"/>
        </w:tc>
        <w:tc>
          <w:tcPr>
            <w:tcW w:w="0" w:type="auto"/>
            <w:vAlign w:val="center"/>
          </w:tcPr>
          <w:p w14:paraId="060D2471"/>
        </w:tc>
      </w:tr>
      <w:tr w14:paraId="08C4C5E3">
        <w:tc>
          <w:tcPr>
            <w:tcW w:w="0" w:type="auto"/>
            <w:vAlign w:val="center"/>
          </w:tcPr>
          <w:p w14:paraId="330F3F33"/>
        </w:tc>
        <w:tc>
          <w:tcPr>
            <w:tcW w:w="0" w:type="auto"/>
            <w:vAlign w:val="center"/>
          </w:tcPr>
          <w:p w14:paraId="14E24000">
            <w:r>
              <w:t>16:00</w:t>
            </w:r>
          </w:p>
        </w:tc>
        <w:tc>
          <w:tcPr>
            <w:tcW w:w="0" w:type="auto"/>
            <w:vAlign w:val="center"/>
          </w:tcPr>
          <w:p w14:paraId="54567E44">
            <w:r>
              <w:t>急停按钮</w:t>
            </w:r>
          </w:p>
        </w:tc>
        <w:tc>
          <w:tcPr>
            <w:tcW w:w="0" w:type="auto"/>
            <w:vAlign w:val="center"/>
          </w:tcPr>
          <w:p w14:paraId="583003CA">
            <w:r>
              <w:t>复位状态</w:t>
            </w:r>
          </w:p>
        </w:tc>
        <w:tc>
          <w:tcPr>
            <w:tcW w:w="0" w:type="auto"/>
            <w:vAlign w:val="center"/>
          </w:tcPr>
          <w:p w14:paraId="223B092A">
            <w:r>
              <w:t>正常</w:t>
            </w:r>
          </w:p>
        </w:tc>
        <w:tc>
          <w:tcPr>
            <w:tcW w:w="0" w:type="auto"/>
            <w:vAlign w:val="center"/>
          </w:tcPr>
          <w:p w14:paraId="6793278F">
            <w:r>
              <w:t>-</w:t>
            </w:r>
          </w:p>
        </w:tc>
        <w:tc>
          <w:tcPr>
            <w:tcW w:w="0" w:type="auto"/>
            <w:vAlign w:val="center"/>
          </w:tcPr>
          <w:p w14:paraId="68177DFD">
            <w:r>
              <w:t>李四</w:t>
            </w:r>
          </w:p>
        </w:tc>
        <w:tc>
          <w:tcPr>
            <w:tcW w:w="0" w:type="auto"/>
            <w:vAlign w:val="center"/>
          </w:tcPr>
          <w:p w14:paraId="11893D2F">
            <w:r>
              <w:t>中班检查</w:t>
            </w:r>
          </w:p>
        </w:tc>
      </w:tr>
      <w:tr w14:paraId="385D8DAC">
        <w:tc>
          <w:tcPr>
            <w:tcW w:w="0" w:type="auto"/>
            <w:vAlign w:val="center"/>
          </w:tcPr>
          <w:p w14:paraId="1CA5EC9D"/>
        </w:tc>
        <w:tc>
          <w:tcPr>
            <w:tcW w:w="0" w:type="auto"/>
            <w:vAlign w:val="center"/>
          </w:tcPr>
          <w:p w14:paraId="4659E85C"/>
        </w:tc>
        <w:tc>
          <w:tcPr>
            <w:tcW w:w="0" w:type="auto"/>
            <w:vAlign w:val="center"/>
          </w:tcPr>
          <w:p w14:paraId="69070607">
            <w:r>
              <w:t>链条张紧度</w:t>
            </w:r>
          </w:p>
        </w:tc>
        <w:tc>
          <w:tcPr>
            <w:tcW w:w="0" w:type="auto"/>
            <w:vAlign w:val="center"/>
          </w:tcPr>
          <w:p w14:paraId="79D27790">
            <w:r>
              <w:t>下垂量≤20mm</w:t>
            </w:r>
          </w:p>
        </w:tc>
        <w:tc>
          <w:tcPr>
            <w:tcW w:w="0" w:type="auto"/>
            <w:vAlign w:val="center"/>
          </w:tcPr>
          <w:p w14:paraId="094F0AC9">
            <w:r>
              <w:t>15mm</w:t>
            </w:r>
          </w:p>
        </w:tc>
        <w:tc>
          <w:tcPr>
            <w:tcW w:w="0" w:type="auto"/>
            <w:vAlign w:val="center"/>
          </w:tcPr>
          <w:p w14:paraId="41C10EF3">
            <w:r>
              <w:t>-</w:t>
            </w:r>
          </w:p>
        </w:tc>
        <w:tc>
          <w:tcPr>
            <w:tcW w:w="0" w:type="auto"/>
            <w:vAlign w:val="center"/>
          </w:tcPr>
          <w:p w14:paraId="6FAB9F35"/>
        </w:tc>
        <w:tc>
          <w:tcPr>
            <w:tcW w:w="0" w:type="auto"/>
            <w:vAlign w:val="center"/>
          </w:tcPr>
          <w:p w14:paraId="5AB2961E"/>
        </w:tc>
      </w:tr>
      <w:tr w14:paraId="03D40F3B">
        <w:tc>
          <w:tcPr>
            <w:tcW w:w="0" w:type="auto"/>
            <w:vAlign w:val="center"/>
          </w:tcPr>
          <w:p w14:paraId="5DA57FD7"/>
        </w:tc>
        <w:tc>
          <w:tcPr>
            <w:tcW w:w="0" w:type="auto"/>
            <w:vAlign w:val="center"/>
          </w:tcPr>
          <w:p w14:paraId="537C8FF4"/>
        </w:tc>
        <w:tc>
          <w:tcPr>
            <w:tcW w:w="0" w:type="auto"/>
            <w:vAlign w:val="center"/>
          </w:tcPr>
          <w:p w14:paraId="1B31415A">
            <w:r>
              <w:t>安全光栅</w:t>
            </w:r>
          </w:p>
        </w:tc>
        <w:tc>
          <w:tcPr>
            <w:tcW w:w="0" w:type="auto"/>
            <w:vAlign w:val="center"/>
          </w:tcPr>
          <w:p w14:paraId="6DE45876">
            <w:r>
              <w:t>指示灯常亮</w:t>
            </w:r>
          </w:p>
        </w:tc>
        <w:tc>
          <w:tcPr>
            <w:tcW w:w="0" w:type="auto"/>
            <w:vAlign w:val="center"/>
          </w:tcPr>
          <w:p w14:paraId="3B006270">
            <w:r>
              <w:t>正常</w:t>
            </w:r>
          </w:p>
        </w:tc>
        <w:tc>
          <w:tcPr>
            <w:tcW w:w="0" w:type="auto"/>
            <w:vAlign w:val="center"/>
          </w:tcPr>
          <w:p w14:paraId="78F60D3A">
            <w:r>
              <w:t>-</w:t>
            </w:r>
          </w:p>
        </w:tc>
        <w:tc>
          <w:tcPr>
            <w:tcW w:w="0" w:type="auto"/>
            <w:vAlign w:val="center"/>
          </w:tcPr>
          <w:p w14:paraId="7A04583E"/>
        </w:tc>
        <w:tc>
          <w:tcPr>
            <w:tcW w:w="0" w:type="auto"/>
            <w:vAlign w:val="center"/>
          </w:tcPr>
          <w:p w14:paraId="0111ADEB"/>
        </w:tc>
      </w:tr>
    </w:tbl>
    <w:p w14:paraId="3DE9DC28">
      <w:pPr>
        <w:pStyle w:val="5"/>
      </w:pPr>
      <w:r>
        <w:t>月度维护记录表（维修员）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1CA52597">
        <w:tc>
          <w:tcPr>
            <w:tcW w:w="0" w:type="auto"/>
            <w:vAlign w:val="center"/>
          </w:tcPr>
          <w:p w14:paraId="19AA31D2">
            <w:pPr>
              <w:jc w:val="center"/>
              <w:rPr>
                <w:b/>
              </w:rPr>
            </w:pPr>
            <w:r>
              <w:rPr>
                <w:b/>
              </w:rPr>
              <w:t>维护日期</w:t>
            </w:r>
          </w:p>
        </w:tc>
        <w:tc>
          <w:tcPr>
            <w:tcW w:w="0" w:type="auto"/>
            <w:vAlign w:val="center"/>
          </w:tcPr>
          <w:p w14:paraId="38601F00">
            <w:pPr>
              <w:jc w:val="center"/>
              <w:rPr>
                <w:b/>
              </w:rPr>
            </w:pPr>
            <w:r>
              <w:rPr>
                <w:b/>
              </w:rPr>
              <w:t>维护项目</w:t>
            </w:r>
          </w:p>
        </w:tc>
        <w:tc>
          <w:tcPr>
            <w:tcW w:w="0" w:type="auto"/>
            <w:vAlign w:val="center"/>
          </w:tcPr>
          <w:p w14:paraId="236FD734">
            <w:pPr>
              <w:jc w:val="center"/>
              <w:rPr>
                <w:b/>
              </w:rPr>
            </w:pPr>
            <w:r>
              <w:rPr>
                <w:b/>
              </w:rPr>
              <w:t>维护内容</w:t>
            </w:r>
          </w:p>
        </w:tc>
        <w:tc>
          <w:tcPr>
            <w:tcW w:w="0" w:type="auto"/>
            <w:vAlign w:val="center"/>
          </w:tcPr>
          <w:p w14:paraId="74D0B0C5">
            <w:pPr>
              <w:jc w:val="center"/>
              <w:rPr>
                <w:b/>
              </w:rPr>
            </w:pPr>
            <w:r>
              <w:rPr>
                <w:b/>
              </w:rPr>
              <w:t>标准要求</w:t>
            </w:r>
          </w:p>
        </w:tc>
        <w:tc>
          <w:tcPr>
            <w:tcW w:w="0" w:type="auto"/>
            <w:vAlign w:val="center"/>
          </w:tcPr>
          <w:p w14:paraId="7A0F2758">
            <w:pPr>
              <w:jc w:val="center"/>
              <w:rPr>
                <w:b/>
              </w:rPr>
            </w:pPr>
            <w:r>
              <w:rPr>
                <w:b/>
              </w:rPr>
              <w:t>结果</w:t>
            </w:r>
          </w:p>
        </w:tc>
        <w:tc>
          <w:tcPr>
            <w:tcW w:w="0" w:type="auto"/>
            <w:vAlign w:val="center"/>
          </w:tcPr>
          <w:p w14:paraId="2590EE40">
            <w:pPr>
              <w:jc w:val="center"/>
              <w:rPr>
                <w:b/>
              </w:rPr>
            </w:pPr>
            <w:r>
              <w:rPr>
                <w:b/>
              </w:rPr>
              <w:t>执行人</w:t>
            </w:r>
          </w:p>
        </w:tc>
        <w:tc>
          <w:tcPr>
            <w:tcW w:w="0" w:type="auto"/>
            <w:vAlign w:val="center"/>
          </w:tcPr>
          <w:p w14:paraId="7B753B5E">
            <w:pPr>
              <w:jc w:val="center"/>
              <w:rPr>
                <w:b/>
              </w:rPr>
            </w:pPr>
            <w:r>
              <w:rPr>
                <w:b/>
              </w:rPr>
              <w:t>复核人</w:t>
            </w:r>
          </w:p>
        </w:tc>
      </w:tr>
      <w:tr w14:paraId="3D209122">
        <w:tc>
          <w:tcPr>
            <w:tcW w:w="0" w:type="auto"/>
            <w:vAlign w:val="center"/>
          </w:tcPr>
          <w:p w14:paraId="40C503FA">
            <w:r>
              <w:t>2025.10.25</w:t>
            </w:r>
          </w:p>
        </w:tc>
        <w:tc>
          <w:tcPr>
            <w:tcW w:w="0" w:type="auto"/>
            <w:vAlign w:val="center"/>
          </w:tcPr>
          <w:p w14:paraId="7E87680E">
            <w:r>
              <w:t>传感器校准</w:t>
            </w:r>
          </w:p>
        </w:tc>
        <w:tc>
          <w:tcPr>
            <w:tcW w:w="0" w:type="auto"/>
            <w:vAlign w:val="center"/>
          </w:tcPr>
          <w:p w14:paraId="75CDE976">
            <w:r>
              <w:t>激光测距传感器、编码器零位校准</w:t>
            </w:r>
          </w:p>
        </w:tc>
        <w:tc>
          <w:tcPr>
            <w:tcW w:w="0" w:type="auto"/>
            <w:vAlign w:val="center"/>
          </w:tcPr>
          <w:p w14:paraId="42C8C57E">
            <w:r>
              <w:t>定位偏差≤±0.5mm</w:t>
            </w:r>
          </w:p>
        </w:tc>
        <w:tc>
          <w:tcPr>
            <w:tcW w:w="0" w:type="auto"/>
            <w:vAlign w:val="center"/>
          </w:tcPr>
          <w:p w14:paraId="6331CF18">
            <w:r>
              <w:t>合格</w:t>
            </w:r>
          </w:p>
        </w:tc>
        <w:tc>
          <w:tcPr>
            <w:tcW w:w="0" w:type="auto"/>
            <w:vAlign w:val="center"/>
          </w:tcPr>
          <w:p w14:paraId="35355D56">
            <w:r>
              <w:t>王五</w:t>
            </w:r>
          </w:p>
        </w:tc>
        <w:tc>
          <w:tcPr>
            <w:tcW w:w="0" w:type="auto"/>
            <w:vAlign w:val="center"/>
          </w:tcPr>
          <w:p w14:paraId="7B68FB61">
            <w:r>
              <w:t>赵六</w:t>
            </w:r>
          </w:p>
        </w:tc>
      </w:tr>
      <w:tr w14:paraId="7F27A698">
        <w:tc>
          <w:tcPr>
            <w:tcW w:w="0" w:type="auto"/>
            <w:vAlign w:val="center"/>
          </w:tcPr>
          <w:p w14:paraId="67975145"/>
        </w:tc>
        <w:tc>
          <w:tcPr>
            <w:tcW w:w="0" w:type="auto"/>
            <w:vAlign w:val="center"/>
          </w:tcPr>
          <w:p w14:paraId="37A93E74">
            <w:r>
              <w:t>液压系统检查</w:t>
            </w:r>
          </w:p>
        </w:tc>
        <w:tc>
          <w:tcPr>
            <w:tcW w:w="0" w:type="auto"/>
            <w:vAlign w:val="center"/>
          </w:tcPr>
          <w:p w14:paraId="20E7735A">
            <w:r>
              <w:t>压力测试（6-8MPa），定位销动作测试</w:t>
            </w:r>
          </w:p>
        </w:tc>
        <w:tc>
          <w:tcPr>
            <w:tcW w:w="0" w:type="auto"/>
            <w:vAlign w:val="center"/>
          </w:tcPr>
          <w:p w14:paraId="1BDD6CBE">
            <w:r>
              <w:t>伸缩顺畅，无泄漏</w:t>
            </w:r>
          </w:p>
        </w:tc>
        <w:tc>
          <w:tcPr>
            <w:tcW w:w="0" w:type="auto"/>
            <w:vAlign w:val="center"/>
          </w:tcPr>
          <w:p w14:paraId="10BDAEC0">
            <w:r>
              <w:t>合格</w:t>
            </w:r>
          </w:p>
        </w:tc>
        <w:tc>
          <w:tcPr>
            <w:tcW w:w="0" w:type="auto"/>
            <w:vAlign w:val="center"/>
          </w:tcPr>
          <w:p w14:paraId="2F2F7D95"/>
        </w:tc>
        <w:tc>
          <w:tcPr>
            <w:tcW w:w="0" w:type="auto"/>
            <w:vAlign w:val="center"/>
          </w:tcPr>
          <w:p w14:paraId="534B15DF"/>
        </w:tc>
      </w:tr>
      <w:tr w14:paraId="7A57D4B0">
        <w:tc>
          <w:tcPr>
            <w:tcW w:w="0" w:type="auto"/>
            <w:vAlign w:val="center"/>
          </w:tcPr>
          <w:p w14:paraId="44F77EB9"/>
        </w:tc>
        <w:tc>
          <w:tcPr>
            <w:tcW w:w="0" w:type="auto"/>
            <w:vAlign w:val="center"/>
          </w:tcPr>
          <w:p w14:paraId="2ECE4B20">
            <w:r>
              <w:t>齿轮齿条润滑</w:t>
            </w:r>
          </w:p>
        </w:tc>
        <w:tc>
          <w:tcPr>
            <w:tcW w:w="0" w:type="auto"/>
            <w:vAlign w:val="center"/>
          </w:tcPr>
          <w:p w14:paraId="12D82FB8">
            <w:r>
              <w:t>涂抹锂基润滑脂NLGI 2</w:t>
            </w:r>
          </w:p>
        </w:tc>
        <w:tc>
          <w:tcPr>
            <w:tcW w:w="0" w:type="auto"/>
            <w:vAlign w:val="center"/>
          </w:tcPr>
          <w:p w14:paraId="356585F6">
            <w:r>
              <w:t>齿面全覆盖</w:t>
            </w:r>
          </w:p>
        </w:tc>
        <w:tc>
          <w:tcPr>
            <w:tcW w:w="0" w:type="auto"/>
            <w:vAlign w:val="center"/>
          </w:tcPr>
          <w:p w14:paraId="137341BF">
            <w:r>
              <w:t>合格</w:t>
            </w:r>
          </w:p>
        </w:tc>
        <w:tc>
          <w:tcPr>
            <w:tcW w:w="0" w:type="auto"/>
            <w:vAlign w:val="center"/>
          </w:tcPr>
          <w:p w14:paraId="59F1D773"/>
        </w:tc>
        <w:tc>
          <w:tcPr>
            <w:tcW w:w="0" w:type="auto"/>
            <w:vAlign w:val="center"/>
          </w:tcPr>
          <w:p w14:paraId="4AB52688"/>
        </w:tc>
      </w:tr>
      <w:tr w14:paraId="6751F472">
        <w:tc>
          <w:tcPr>
            <w:tcW w:w="0" w:type="auto"/>
            <w:vAlign w:val="center"/>
          </w:tcPr>
          <w:p w14:paraId="673C3BC6"/>
        </w:tc>
        <w:tc>
          <w:tcPr>
            <w:tcW w:w="0" w:type="auto"/>
            <w:vAlign w:val="center"/>
          </w:tcPr>
          <w:p w14:paraId="78A55BB7">
            <w:r>
              <w:t>制动系统测试</w:t>
            </w:r>
          </w:p>
        </w:tc>
        <w:tc>
          <w:tcPr>
            <w:tcW w:w="0" w:type="auto"/>
            <w:vAlign w:val="center"/>
          </w:tcPr>
          <w:p w14:paraId="0922BF74">
            <w:r>
              <w:t>制动距离、制动片厚度检查</w:t>
            </w:r>
          </w:p>
        </w:tc>
        <w:tc>
          <w:tcPr>
            <w:tcW w:w="0" w:type="auto"/>
            <w:vAlign w:val="center"/>
          </w:tcPr>
          <w:p w14:paraId="6629E931">
            <w:r>
              <w:t>距离≤0.3m，厚度≥3mm</w:t>
            </w:r>
          </w:p>
        </w:tc>
        <w:tc>
          <w:tcPr>
            <w:tcW w:w="0" w:type="auto"/>
            <w:vAlign w:val="center"/>
          </w:tcPr>
          <w:p w14:paraId="6FB38A45">
            <w:r>
              <w:t>合格</w:t>
            </w:r>
          </w:p>
        </w:tc>
        <w:tc>
          <w:tcPr>
            <w:tcW w:w="0" w:type="auto"/>
            <w:vAlign w:val="center"/>
          </w:tcPr>
          <w:p w14:paraId="37AD4D32"/>
        </w:tc>
        <w:tc>
          <w:tcPr>
            <w:tcW w:w="0" w:type="auto"/>
            <w:vAlign w:val="center"/>
          </w:tcPr>
          <w:p w14:paraId="15EFAB42"/>
        </w:tc>
      </w:tr>
      <w:tr w14:paraId="2801B97D">
        <w:tc>
          <w:tcPr>
            <w:tcW w:w="0" w:type="auto"/>
            <w:vAlign w:val="center"/>
          </w:tcPr>
          <w:p w14:paraId="32ED4F90"/>
        </w:tc>
        <w:tc>
          <w:tcPr>
            <w:tcW w:w="0" w:type="auto"/>
            <w:vAlign w:val="center"/>
          </w:tcPr>
          <w:p w14:paraId="67F910C2">
            <w:r>
              <w:t>电气柜清洁</w:t>
            </w:r>
          </w:p>
        </w:tc>
        <w:tc>
          <w:tcPr>
            <w:tcW w:w="0" w:type="auto"/>
            <w:vAlign w:val="center"/>
          </w:tcPr>
          <w:p w14:paraId="784ED63B">
            <w:r>
              <w:t>压缩空气吹扫灰尘</w:t>
            </w:r>
          </w:p>
        </w:tc>
        <w:tc>
          <w:tcPr>
            <w:tcW w:w="0" w:type="auto"/>
            <w:vAlign w:val="center"/>
          </w:tcPr>
          <w:p w14:paraId="0E2D06DA">
            <w:r>
              <w:t>无明显粉尘</w:t>
            </w:r>
          </w:p>
        </w:tc>
        <w:tc>
          <w:tcPr>
            <w:tcW w:w="0" w:type="auto"/>
            <w:vAlign w:val="center"/>
          </w:tcPr>
          <w:p w14:paraId="597099F7">
            <w:r>
              <w:t>合格</w:t>
            </w:r>
          </w:p>
        </w:tc>
        <w:tc>
          <w:tcPr>
            <w:tcW w:w="0" w:type="auto"/>
            <w:vAlign w:val="center"/>
          </w:tcPr>
          <w:p w14:paraId="2C1E1574"/>
        </w:tc>
        <w:tc>
          <w:tcPr>
            <w:tcW w:w="0" w:type="auto"/>
            <w:vAlign w:val="center"/>
          </w:tcPr>
          <w:p w14:paraId="317DD22B"/>
        </w:tc>
      </w:tr>
    </w:tbl>
    <w:p w14:paraId="116FC824">
      <w:pPr>
        <w:pStyle w:val="4"/>
      </w:pPr>
      <w:r>
        <w:t>C. 常见故障代码表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4879B6F">
        <w:tc>
          <w:tcPr>
            <w:tcW w:w="0" w:type="auto"/>
            <w:vAlign w:val="center"/>
          </w:tcPr>
          <w:p w14:paraId="13504EC1">
            <w:pPr>
              <w:jc w:val="center"/>
              <w:rPr>
                <w:b/>
              </w:rPr>
            </w:pPr>
            <w:r>
              <w:rPr>
                <w:b/>
              </w:rPr>
              <w:t>故障代码</w:t>
            </w:r>
          </w:p>
        </w:tc>
        <w:tc>
          <w:tcPr>
            <w:tcW w:w="0" w:type="auto"/>
            <w:vAlign w:val="center"/>
          </w:tcPr>
          <w:p w14:paraId="2BFCD0C0">
            <w:pPr>
              <w:jc w:val="center"/>
              <w:rPr>
                <w:b/>
              </w:rPr>
            </w:pPr>
            <w:r>
              <w:rPr>
                <w:b/>
              </w:rPr>
              <w:t>所属系统</w:t>
            </w:r>
          </w:p>
        </w:tc>
        <w:tc>
          <w:tcPr>
            <w:tcW w:w="0" w:type="auto"/>
            <w:vAlign w:val="center"/>
          </w:tcPr>
          <w:p w14:paraId="6011BF34">
            <w:pPr>
              <w:jc w:val="center"/>
              <w:rPr>
                <w:b/>
              </w:rPr>
            </w:pPr>
            <w:r>
              <w:rPr>
                <w:b/>
              </w:rPr>
              <w:t>故障描述</w:t>
            </w:r>
          </w:p>
        </w:tc>
        <w:tc>
          <w:tcPr>
            <w:tcW w:w="0" w:type="auto"/>
            <w:vAlign w:val="center"/>
          </w:tcPr>
          <w:p w14:paraId="33232499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3829A222">
            <w:pPr>
              <w:jc w:val="center"/>
              <w:rPr>
                <w:b/>
              </w:rPr>
            </w:pPr>
            <w:r>
              <w:rPr>
                <w:b/>
              </w:rPr>
              <w:t>处理对策</w:t>
            </w:r>
          </w:p>
        </w:tc>
      </w:tr>
      <w:tr w14:paraId="09F316A6">
        <w:tc>
          <w:tcPr>
            <w:tcW w:w="0" w:type="auto"/>
            <w:vAlign w:val="center"/>
          </w:tcPr>
          <w:p w14:paraId="79C94D32">
            <w:r>
              <w:t>E01</w:t>
            </w:r>
          </w:p>
        </w:tc>
        <w:tc>
          <w:tcPr>
            <w:tcW w:w="0" w:type="auto"/>
            <w:vAlign w:val="center"/>
          </w:tcPr>
          <w:p w14:paraId="77AB1E5F">
            <w:r>
              <w:t>供电系统</w:t>
            </w:r>
          </w:p>
        </w:tc>
        <w:tc>
          <w:tcPr>
            <w:tcW w:w="0" w:type="auto"/>
            <w:vAlign w:val="center"/>
          </w:tcPr>
          <w:p w14:paraId="30926F0D">
            <w:r>
              <w:t>主电源欠压</w:t>
            </w:r>
          </w:p>
        </w:tc>
        <w:tc>
          <w:tcPr>
            <w:tcW w:w="0" w:type="auto"/>
            <w:vAlign w:val="center"/>
          </w:tcPr>
          <w:p w14:paraId="2B0B54AA">
            <w:r>
              <w:t>滑触线电压＜342V，电池电压＜43.2V</w:t>
            </w:r>
          </w:p>
        </w:tc>
        <w:tc>
          <w:tcPr>
            <w:tcW w:w="0" w:type="auto"/>
            <w:vAlign w:val="center"/>
          </w:tcPr>
          <w:p w14:paraId="48F630D5">
            <w:r>
              <w:t>检查供电线路，充电或更换电池</w:t>
            </w:r>
          </w:p>
        </w:tc>
      </w:tr>
      <w:tr w14:paraId="73C3D471">
        <w:tc>
          <w:tcPr>
            <w:tcW w:w="0" w:type="auto"/>
            <w:vAlign w:val="center"/>
          </w:tcPr>
          <w:p w14:paraId="65589064">
            <w:r>
              <w:t>E02</w:t>
            </w:r>
          </w:p>
        </w:tc>
        <w:tc>
          <w:tcPr>
            <w:tcW w:w="0" w:type="auto"/>
            <w:vAlign w:val="center"/>
          </w:tcPr>
          <w:p w14:paraId="0562DC52">
            <w:r>
              <w:t>驱动系统</w:t>
            </w:r>
          </w:p>
        </w:tc>
        <w:tc>
          <w:tcPr>
            <w:tcW w:w="0" w:type="auto"/>
            <w:vAlign w:val="center"/>
          </w:tcPr>
          <w:p w14:paraId="3CF060A7">
            <w:r>
              <w:t>电机过载</w:t>
            </w:r>
          </w:p>
        </w:tc>
        <w:tc>
          <w:tcPr>
            <w:tcW w:w="0" w:type="auto"/>
            <w:vAlign w:val="center"/>
          </w:tcPr>
          <w:p w14:paraId="25A12C09">
            <w:r>
              <w:t>负载过大，传动卡滞，电源缺相</w:t>
            </w:r>
          </w:p>
        </w:tc>
        <w:tc>
          <w:tcPr>
            <w:tcW w:w="0" w:type="auto"/>
            <w:vAlign w:val="center"/>
          </w:tcPr>
          <w:p w14:paraId="2A9F66DC">
            <w:r>
              <w:t>减轻负载，检查传动机构润滑，修复电源缺相</w:t>
            </w:r>
          </w:p>
        </w:tc>
      </w:tr>
      <w:tr w14:paraId="261123BE">
        <w:tc>
          <w:tcPr>
            <w:tcW w:w="0" w:type="auto"/>
            <w:vAlign w:val="center"/>
          </w:tcPr>
          <w:p w14:paraId="4B42BDFD">
            <w:r>
              <w:t>E03</w:t>
            </w:r>
          </w:p>
        </w:tc>
        <w:tc>
          <w:tcPr>
            <w:tcW w:w="0" w:type="auto"/>
            <w:vAlign w:val="center"/>
          </w:tcPr>
          <w:p w14:paraId="78D61A63">
            <w:r>
              <w:t>驱动系统</w:t>
            </w:r>
          </w:p>
        </w:tc>
        <w:tc>
          <w:tcPr>
            <w:tcW w:w="0" w:type="auto"/>
            <w:vAlign w:val="center"/>
          </w:tcPr>
          <w:p w14:paraId="0727DE91">
            <w:r>
              <w:t>编码器信号丢失</w:t>
            </w:r>
          </w:p>
        </w:tc>
        <w:tc>
          <w:tcPr>
            <w:tcW w:w="0" w:type="auto"/>
            <w:vAlign w:val="center"/>
          </w:tcPr>
          <w:p w14:paraId="4A7567D4">
            <w:r>
              <w:t>线缆断裂，接口松动，码盘污染</w:t>
            </w:r>
          </w:p>
        </w:tc>
        <w:tc>
          <w:tcPr>
            <w:tcW w:w="0" w:type="auto"/>
            <w:vAlign w:val="center"/>
          </w:tcPr>
          <w:p w14:paraId="6A631D5F">
            <w:r>
              <w:t>更换线缆，紧固接口，清洁码盘</w:t>
            </w:r>
          </w:p>
        </w:tc>
      </w:tr>
      <w:tr w14:paraId="254C57D0">
        <w:tc>
          <w:tcPr>
            <w:tcW w:w="0" w:type="auto"/>
            <w:vAlign w:val="center"/>
          </w:tcPr>
          <w:p w14:paraId="6FDDE3BD">
            <w:r>
              <w:t>E04</w:t>
            </w:r>
          </w:p>
        </w:tc>
        <w:tc>
          <w:tcPr>
            <w:tcW w:w="0" w:type="auto"/>
            <w:vAlign w:val="center"/>
          </w:tcPr>
          <w:p w14:paraId="74C74FFF">
            <w:r>
              <w:t>传感器</w:t>
            </w:r>
          </w:p>
        </w:tc>
        <w:tc>
          <w:tcPr>
            <w:tcW w:w="0" w:type="auto"/>
            <w:vAlign w:val="center"/>
          </w:tcPr>
          <w:p w14:paraId="70230EDC">
            <w:r>
              <w:t>激光定位偏差大</w:t>
            </w:r>
          </w:p>
        </w:tc>
        <w:tc>
          <w:tcPr>
            <w:tcW w:w="0" w:type="auto"/>
            <w:vAlign w:val="center"/>
          </w:tcPr>
          <w:p w14:paraId="07076223">
            <w:r>
              <w:t>条码带污染，读头倾斜，参数错误</w:t>
            </w:r>
          </w:p>
        </w:tc>
        <w:tc>
          <w:tcPr>
            <w:tcW w:w="0" w:type="auto"/>
            <w:vAlign w:val="center"/>
          </w:tcPr>
          <w:p w14:paraId="3D616A26">
            <w:r>
              <w:t>清洁条码带，校准读头位置，重新设置参数</w:t>
            </w:r>
          </w:p>
        </w:tc>
      </w:tr>
      <w:tr w14:paraId="3A841ABC">
        <w:tc>
          <w:tcPr>
            <w:tcW w:w="0" w:type="auto"/>
            <w:vAlign w:val="center"/>
          </w:tcPr>
          <w:p w14:paraId="06680EE9">
            <w:r>
              <w:t>E05</w:t>
            </w:r>
          </w:p>
        </w:tc>
        <w:tc>
          <w:tcPr>
            <w:tcW w:w="0" w:type="auto"/>
            <w:vAlign w:val="center"/>
          </w:tcPr>
          <w:p w14:paraId="10F815C2">
            <w:r>
              <w:t>通信系统</w:t>
            </w:r>
          </w:p>
        </w:tc>
        <w:tc>
          <w:tcPr>
            <w:tcW w:w="0" w:type="auto"/>
            <w:vAlign w:val="center"/>
          </w:tcPr>
          <w:p w14:paraId="05965568">
            <w:r>
              <w:t>PROFIBUS从站掉线</w:t>
            </w:r>
          </w:p>
        </w:tc>
        <w:tc>
          <w:tcPr>
            <w:tcW w:w="0" w:type="auto"/>
            <w:vAlign w:val="center"/>
          </w:tcPr>
          <w:p w14:paraId="5482ABD9">
            <w:r>
              <w:t>终端电阻未接，总线干扰，模块故障</w:t>
            </w:r>
          </w:p>
        </w:tc>
        <w:tc>
          <w:tcPr>
            <w:tcW w:w="0" w:type="auto"/>
            <w:vAlign w:val="center"/>
          </w:tcPr>
          <w:p w14:paraId="13891EA0">
            <w:r>
              <w:t>检查终端电阻，优化接地，更换故障模块</w:t>
            </w:r>
          </w:p>
        </w:tc>
      </w:tr>
      <w:tr w14:paraId="20C76010">
        <w:tc>
          <w:tcPr>
            <w:tcW w:w="0" w:type="auto"/>
            <w:vAlign w:val="center"/>
          </w:tcPr>
          <w:p w14:paraId="3FAE4C68">
            <w:r>
              <w:t>E06</w:t>
            </w:r>
          </w:p>
        </w:tc>
        <w:tc>
          <w:tcPr>
            <w:tcW w:w="0" w:type="auto"/>
            <w:vAlign w:val="center"/>
          </w:tcPr>
          <w:p w14:paraId="559148A8">
            <w:r>
              <w:t>液压系统</w:t>
            </w:r>
          </w:p>
        </w:tc>
        <w:tc>
          <w:tcPr>
            <w:tcW w:w="0" w:type="auto"/>
            <w:vAlign w:val="center"/>
          </w:tcPr>
          <w:p w14:paraId="6B2C4C14">
            <w:r>
              <w:t>定位销未到位</w:t>
            </w:r>
          </w:p>
        </w:tc>
        <w:tc>
          <w:tcPr>
            <w:tcW w:w="0" w:type="auto"/>
            <w:vAlign w:val="center"/>
          </w:tcPr>
          <w:p w14:paraId="53F4B867">
            <w:r>
              <w:t>油压不足，位移传感器故障，异物卡滞</w:t>
            </w:r>
          </w:p>
        </w:tc>
        <w:tc>
          <w:tcPr>
            <w:tcW w:w="0" w:type="auto"/>
            <w:vAlign w:val="center"/>
          </w:tcPr>
          <w:p w14:paraId="6B7B3C05">
            <w:r>
              <w:t>检查液压泵站，更换传感器，清除异物</w:t>
            </w:r>
          </w:p>
        </w:tc>
      </w:tr>
      <w:tr w14:paraId="548F81A5">
        <w:tc>
          <w:tcPr>
            <w:tcW w:w="0" w:type="auto"/>
            <w:vAlign w:val="center"/>
          </w:tcPr>
          <w:p w14:paraId="38C0941E">
            <w:r>
              <w:t>E07</w:t>
            </w:r>
          </w:p>
        </w:tc>
        <w:tc>
          <w:tcPr>
            <w:tcW w:w="0" w:type="auto"/>
            <w:vAlign w:val="center"/>
          </w:tcPr>
          <w:p w14:paraId="12AEC553">
            <w:r>
              <w:t>安全系统</w:t>
            </w:r>
          </w:p>
        </w:tc>
        <w:tc>
          <w:tcPr>
            <w:tcW w:w="0" w:type="auto"/>
            <w:vAlign w:val="center"/>
          </w:tcPr>
          <w:p w14:paraId="36DB75E0">
            <w:r>
              <w:t>急停按钮被按下</w:t>
            </w:r>
          </w:p>
        </w:tc>
        <w:tc>
          <w:tcPr>
            <w:tcW w:w="0" w:type="auto"/>
            <w:vAlign w:val="center"/>
          </w:tcPr>
          <w:p w14:paraId="5D49B3F4">
            <w:r>
              <w:t>急停按钮未复位，线路断路</w:t>
            </w:r>
          </w:p>
        </w:tc>
        <w:tc>
          <w:tcPr>
            <w:tcW w:w="0" w:type="auto"/>
            <w:vAlign w:val="center"/>
          </w:tcPr>
          <w:p w14:paraId="576BA5FB">
            <w:r>
              <w:t>旋转复位急停按钮，检查急停回路</w:t>
            </w:r>
          </w:p>
        </w:tc>
      </w:tr>
      <w:tr w14:paraId="0F16624D">
        <w:tc>
          <w:tcPr>
            <w:tcW w:w="0" w:type="auto"/>
            <w:vAlign w:val="center"/>
          </w:tcPr>
          <w:p w14:paraId="614C0B17">
            <w:r>
              <w:t>E08</w:t>
            </w:r>
          </w:p>
        </w:tc>
        <w:tc>
          <w:tcPr>
            <w:tcW w:w="0" w:type="auto"/>
            <w:vAlign w:val="center"/>
          </w:tcPr>
          <w:p w14:paraId="33360733">
            <w:r>
              <w:t>安全系统</w:t>
            </w:r>
          </w:p>
        </w:tc>
        <w:tc>
          <w:tcPr>
            <w:tcW w:w="0" w:type="auto"/>
            <w:vAlign w:val="center"/>
          </w:tcPr>
          <w:p w14:paraId="6BB2854B">
            <w:r>
              <w:t>安全光栅被遮挡</w:t>
            </w:r>
          </w:p>
        </w:tc>
        <w:tc>
          <w:tcPr>
            <w:tcW w:w="0" w:type="auto"/>
            <w:vAlign w:val="center"/>
          </w:tcPr>
          <w:p w14:paraId="4C47327F">
            <w:r>
              <w:t>光栅污染，人员或物料遮挡，线缆故障</w:t>
            </w:r>
          </w:p>
        </w:tc>
        <w:tc>
          <w:tcPr>
            <w:tcW w:w="0" w:type="auto"/>
            <w:vAlign w:val="center"/>
          </w:tcPr>
          <w:p w14:paraId="1C0C2F16">
            <w:r>
              <w:t>清洁光栅镜头，移除遮挡物，修复线缆</w:t>
            </w:r>
          </w:p>
        </w:tc>
      </w:tr>
      <w:tr w14:paraId="43797B3B">
        <w:tc>
          <w:tcPr>
            <w:tcW w:w="0" w:type="auto"/>
            <w:vAlign w:val="center"/>
          </w:tcPr>
          <w:p w14:paraId="1115B751">
            <w:r>
              <w:t>E09</w:t>
            </w:r>
          </w:p>
        </w:tc>
        <w:tc>
          <w:tcPr>
            <w:tcW w:w="0" w:type="auto"/>
            <w:vAlign w:val="center"/>
          </w:tcPr>
          <w:p w14:paraId="39CA24EC">
            <w:r>
              <w:t>PLC系统</w:t>
            </w:r>
          </w:p>
        </w:tc>
        <w:tc>
          <w:tcPr>
            <w:tcW w:w="0" w:type="auto"/>
            <w:vAlign w:val="center"/>
          </w:tcPr>
          <w:p w14:paraId="144F681D">
            <w:r>
              <w:t>程序执行错误</w:t>
            </w:r>
          </w:p>
        </w:tc>
        <w:tc>
          <w:tcPr>
            <w:tcW w:w="0" w:type="auto"/>
            <w:vAlign w:val="center"/>
          </w:tcPr>
          <w:p w14:paraId="3698CA65">
            <w:r>
              <w:t>逻辑错误，参数设置错误</w:t>
            </w:r>
          </w:p>
        </w:tc>
        <w:tc>
          <w:tcPr>
            <w:tcW w:w="0" w:type="auto"/>
            <w:vAlign w:val="center"/>
          </w:tcPr>
          <w:p w14:paraId="105E9CAE">
            <w:r>
              <w:t>检查PLC程序，恢复默认参数</w:t>
            </w:r>
          </w:p>
        </w:tc>
      </w:tr>
      <w:tr w14:paraId="12E82CC5">
        <w:tc>
          <w:tcPr>
            <w:tcW w:w="0" w:type="auto"/>
            <w:vAlign w:val="center"/>
          </w:tcPr>
          <w:p w14:paraId="79E51C27">
            <w:r>
              <w:t>E10</w:t>
            </w:r>
          </w:p>
        </w:tc>
        <w:tc>
          <w:tcPr>
            <w:tcW w:w="0" w:type="auto"/>
            <w:vAlign w:val="center"/>
          </w:tcPr>
          <w:p w14:paraId="6A2615E4">
            <w:r>
              <w:t>环境系统</w:t>
            </w:r>
          </w:p>
        </w:tc>
        <w:tc>
          <w:tcPr>
            <w:tcW w:w="0" w:type="auto"/>
            <w:vAlign w:val="center"/>
          </w:tcPr>
          <w:p w14:paraId="3322C1C1">
            <w:r>
              <w:t>温度过高</w:t>
            </w:r>
          </w:p>
        </w:tc>
        <w:tc>
          <w:tcPr>
            <w:tcW w:w="0" w:type="auto"/>
            <w:vAlign w:val="center"/>
          </w:tcPr>
          <w:p w14:paraId="09C5873E">
            <w:r>
              <w:t>环境温度＞60℃，散热风扇故障</w:t>
            </w:r>
          </w:p>
        </w:tc>
        <w:tc>
          <w:tcPr>
            <w:tcW w:w="0" w:type="auto"/>
            <w:vAlign w:val="center"/>
          </w:tcPr>
          <w:p w14:paraId="05B2530B">
            <w:r>
              <w:t>切换至低速模式，检查散热风扇，改善通风</w:t>
            </w:r>
          </w:p>
        </w:tc>
      </w:tr>
    </w:tbl>
    <w:p w14:paraId="39C5CA23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DDE2A70"/>
    <w:multiLevelType w:val="multilevel"/>
    <w:tmpl w:val="6DDE2A7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7"/>
  </w:num>
  <w:num w:numId="5">
    <w:abstractNumId w:val="4"/>
  </w:num>
  <w:num w:numId="6">
    <w:abstractNumId w:val="11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EB3A51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7FB0A1B"/>
    <w:rsid w:val="BCB98261"/>
    <w:rsid w:val="BEA7AF86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2025-10-06T19:50:35Z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7B962656730153950BADE368F65489E0_43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