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7DA1F5">
      <w:pPr>
        <w:pStyle w:val="2"/>
      </w:pPr>
    </w:p>
    <w:p w14:paraId="785794D0">
      <w:pPr>
        <w:pStyle w:val="2"/>
      </w:pPr>
    </w:p>
    <w:p w14:paraId="516C3B3F">
      <w:pPr>
        <w:pStyle w:val="2"/>
      </w:pPr>
      <w:r>
        <w:t>线圈拆模线-冷却库堆垛机与输送线系统技术手册</w:t>
      </w:r>
    </w:p>
    <w:p w14:paraId="7AE2D6B6">
      <w:pPr>
        <w:pStyle w:val="3"/>
      </w:pPr>
      <w:r>
        <w:t>一、设备概述</w:t>
      </w:r>
    </w:p>
    <w:p w14:paraId="17037B0A">
      <w:pPr>
        <w:pStyle w:val="4"/>
      </w:pPr>
      <w:r>
        <w:t>1.1 设备定义与核心功能</w:t>
      </w:r>
    </w:p>
    <w:p w14:paraId="0768D75F">
      <w:r>
        <w:t>线圈拆模线-冷却库堆垛机与输送线系统是线圈制造工艺流程中的关键自动化集成设备，通过冷却库堆垛机实现模具的三维空间精准存储与梯度冷却，配合输送线系统完成模具从拆模工位到下一工序的自动化流转，构建“拆模-冷却-转运”全流程无人化作业链条。该系统的核心价值在于解决传统人工操作中存在的定位精度低（人工定位误差±20mm）、冷却效率低（自然冷却需2小时）、劳动强度大（单模具重量50-200kg）等问题，实现线圈模具从拆模完成到检测工序的无缝衔接。</w:t>
      </w:r>
    </w:p>
    <w:p w14:paraId="2EBDE577">
      <w:r>
        <w:t>在汽车电机线圈生产中，系统需处理经固化炉加热至400℃的铝制压铸件模具，通过冷却库的强制风冷系统（风量2000-5000m³/h）在30分钟内将模具温度梯度降至70℃安全范围，同时由堆垛机按“先进先出”原则完成模具的立体仓储（定位精度±5mm），输送线则以0.8m/min的速度将冷却后的模具转运至检测工位，整体节拍控制在220秒/件以内。在变压器线圈生产场景中，系统需适配5吨级重型模具，堆垛机通过双深位货叉实现双排仓位存储，存储密度提升50%，输送线采用模锻链传动（节距50.8mm），确保重载条件下的平稳输送（振动加速度≤0.1g）。</w:t>
      </w:r>
    </w:p>
    <w:p w14:paraId="62D3E527">
      <w:r>
        <w:t>系统集成优势体现在三个方面：一是工艺协同性，通过PLC与上游拆模线、下游检测设备的实时通信（Profinet总线，周期≤1ms），实现生产节奏动态匹配；二是质量可控性，梯度冷却曲线（400℃→200℃→70℃）通过PID温控系统精确控制（精度±1℃），避免线圈因骤冷产生裂纹；三是数据追溯性，所有操作参数（定位坐标、冷却时间、输送速度）实时上传至MES系统，形成完整工艺数据链。</w:t>
      </w:r>
    </w:p>
    <w:p w14:paraId="25A0875A">
      <w:pPr>
        <w:pStyle w:val="4"/>
      </w:pPr>
      <w:r>
        <w:t>1.2 分类与应用领域</w:t>
      </w:r>
    </w:p>
    <w:p w14:paraId="2267420F">
      <w:r>
        <w:t>根据负载特性、冷却方式和自动化程度，系统可分为多种类型，不同类型设备在技术特性和应用场景上存在显著差异。</w:t>
      </w:r>
    </w:p>
    <w:p w14:paraId="06DEA6E0">
      <w:r>
        <w:t>按</w:t>
      </w:r>
      <w:r>
        <w:rPr>
          <w:b/>
        </w:rPr>
        <w:t>负载类型</w:t>
      </w:r>
      <w:r>
        <w:t>分类，堆垛机可分为托盘堆垛机和料箱堆垛机。托盘堆垛机额定载荷500-8000kg，适用于电机定子模具（重量200-5000kg）、变压器线圈模具（5000-8000kg），典型仓位尺寸W1342×L1100mm，可容纳8件铝制压铸件托盘；料箱堆垛机额定载荷50-200kg，用于微型电感线圈（重量0.5-5kg）、传感器线圈（5-15kg）等小型模具，最大升举高度15m，适合电子元件行业“小批量、多品种”生产需求。</w:t>
      </w:r>
    </w:p>
    <w:p w14:paraId="15AD49C8">
      <w:r>
        <w:t>按</w:t>
      </w:r>
      <w:r>
        <w:rPr>
          <w:b/>
        </w:rPr>
        <w:t>冷却方式</w:t>
      </w:r>
      <w:r>
        <w:t>分类，冷却库可分为强制风冷型、液氮辅助型和自然冷却型。强制风冷型通过顶出风侧回风设计（风道导流板角度30°±5°），配合3台7.5kW风机组，将400℃模具冷却至70℃需30分钟，适用于汽车电机、柴油机部件等高温模具；液氮辅助型通过液氮喷淋与风冷复合冷却，冷却时间缩短至15分钟，但运行成本较高（液氮消耗0.5m³/h），适用于军工等高节拍场景；自然冷却型依靠空气自然对流，冷却时间2-3小时，能耗低（仅风机功率0.75kW），适用于对节拍要求低的通用线圈生产。</w:t>
      </w:r>
    </w:p>
    <w:p w14:paraId="0C52D053">
      <w:r>
        <w:t>按</w:t>
      </w:r>
      <w:r>
        <w:rPr>
          <w:b/>
        </w:rPr>
        <w:t>自动化程度</w:t>
      </w:r>
      <w:r>
        <w:t>分类，输送线可分为全自动输送线、半自动输送线和手动输送线。全自动输送线集成视觉定位（200万像素工业相机）、自动纠偏（偏移量＞10mm时启动）和AGV对接功能，定位精度±0.1mm，适用于新能源汽车电机生产线（节拍≤30秒/件）；半自动输送线通过脚踏开关控制启停，人工辅助定位，定位精度±1mm，单班产量200-300件，常用于中小型电机维修领域；手动输送线依靠人力推动，配置万向轮（承载500kg），适用于小批量定制线圈生产（如航空航天特种电机）。</w:t>
      </w:r>
    </w:p>
    <w:p w14:paraId="43B6D99D">
      <w:r>
        <w:t>应用领域覆盖</w:t>
      </w:r>
      <w:r>
        <w:rPr>
          <w:b/>
        </w:rPr>
        <w:t>电机制造</w:t>
      </w:r>
      <w:r>
        <w:t>、</w:t>
      </w:r>
      <w:r>
        <w:rPr>
          <w:b/>
        </w:rPr>
        <w:t>电力设备</w:t>
      </w:r>
      <w:r>
        <w:t>、</w:t>
      </w:r>
      <w:r>
        <w:rPr>
          <w:b/>
        </w:rPr>
        <w:t>电子元件</w:t>
      </w:r>
      <w:r>
        <w:t>三大核心行业。在电机制造领域，新能源汽车驱动电机（如永磁同步电机定子线圈）生产线采用高温冷却库（400℃耐受）与托盘堆垛机（额定载荷1000kg）组合，确保扁线线圈绝缘层无开裂（冷却速率5℃/min）；在电力设备领域，110kV变压器线圈生产选用5吨级堆垛机与模锻链输送线，适应饼式线圈模具的重载输送（单模重量3吨）；在电子元件行业，微型电感线圈（导线直径0.02mm）生产采用料箱堆垛机与皮带输送线，通过真空吸附（真空度≥-80kPa）和柔性夹持（夹持力30N）避免线圈变形。</w:t>
      </w:r>
    </w:p>
    <w:p w14:paraId="4522E14B">
      <w:pPr>
        <w:pStyle w:val="4"/>
      </w:pPr>
      <w:r>
        <w:t>1.3 主要技术参数</w:t>
      </w:r>
    </w:p>
    <w:p w14:paraId="18554202">
      <w:r>
        <w:t>系统技术参数需根据线圈类型、生产节拍和工艺要求综合确定，以下为堆垛机与输送线的核心参数指标：</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4E2F8753">
        <w:tblPrEx>
          <w:tblCellMar>
            <w:top w:w="0" w:type="dxa"/>
            <w:left w:w="0" w:type="dxa"/>
            <w:bottom w:w="0" w:type="dxa"/>
            <w:right w:w="0" w:type="dxa"/>
          </w:tblCellMar>
        </w:tblPrEx>
        <w:tc>
          <w:tcPr>
            <w:tcW w:w="0" w:type="auto"/>
            <w:vAlign w:val="center"/>
          </w:tcPr>
          <w:p w14:paraId="32740D39">
            <w:pPr>
              <w:jc w:val="center"/>
              <w:rPr>
                <w:b/>
              </w:rPr>
            </w:pPr>
            <w:r>
              <w:rPr>
                <w:b/>
              </w:rPr>
              <w:t>参数类别</w:t>
            </w:r>
          </w:p>
        </w:tc>
        <w:tc>
          <w:tcPr>
            <w:tcW w:w="0" w:type="auto"/>
            <w:vAlign w:val="center"/>
          </w:tcPr>
          <w:p w14:paraId="3CB8032F">
            <w:pPr>
              <w:jc w:val="center"/>
              <w:rPr>
                <w:b/>
              </w:rPr>
            </w:pPr>
            <w:r>
              <w:rPr>
                <w:b/>
              </w:rPr>
              <w:t>冷却库堆垛机</w:t>
            </w:r>
          </w:p>
        </w:tc>
        <w:tc>
          <w:tcPr>
            <w:tcW w:w="0" w:type="auto"/>
            <w:vAlign w:val="center"/>
          </w:tcPr>
          <w:p w14:paraId="77A53503">
            <w:pPr>
              <w:jc w:val="center"/>
              <w:rPr>
                <w:b/>
              </w:rPr>
            </w:pPr>
            <w:r>
              <w:rPr>
                <w:b/>
              </w:rPr>
              <w:t>输送线系统</w:t>
            </w:r>
          </w:p>
        </w:tc>
      </w:tr>
      <w:tr w14:paraId="288EB46D">
        <w:tblPrEx>
          <w:tblCellMar>
            <w:top w:w="0" w:type="dxa"/>
            <w:left w:w="0" w:type="dxa"/>
            <w:bottom w:w="0" w:type="dxa"/>
            <w:right w:w="0" w:type="dxa"/>
          </w:tblCellMar>
        </w:tblPrEx>
        <w:tc>
          <w:tcPr>
            <w:tcW w:w="0" w:type="auto"/>
            <w:vAlign w:val="center"/>
          </w:tcPr>
          <w:p w14:paraId="44CEF024">
            <w:r>
              <w:rPr>
                <w:b/>
              </w:rPr>
              <w:t>额定载荷</w:t>
            </w:r>
          </w:p>
        </w:tc>
        <w:tc>
          <w:tcPr>
            <w:tcW w:w="0" w:type="auto"/>
            <w:vAlign w:val="center"/>
          </w:tcPr>
          <w:p w14:paraId="62E6BC74">
            <w:r>
              <w:t>500-8000kg（托盘堆垛机）；50-200kg（料箱堆垛机）</w:t>
            </w:r>
          </w:p>
        </w:tc>
        <w:tc>
          <w:tcPr>
            <w:tcW w:w="0" w:type="auto"/>
            <w:vAlign w:val="center"/>
          </w:tcPr>
          <w:p w14:paraId="4DF1B841">
            <w:r>
              <w:t>50-500kg/m（链式）；30-300kg/m（带式）</w:t>
            </w:r>
          </w:p>
        </w:tc>
      </w:tr>
      <w:tr w14:paraId="52D134B9">
        <w:tblPrEx>
          <w:tblCellMar>
            <w:top w:w="0" w:type="dxa"/>
            <w:left w:w="0" w:type="dxa"/>
            <w:bottom w:w="0" w:type="dxa"/>
            <w:right w:w="0" w:type="dxa"/>
          </w:tblCellMar>
        </w:tblPrEx>
        <w:tc>
          <w:tcPr>
            <w:tcW w:w="0" w:type="auto"/>
            <w:vAlign w:val="center"/>
          </w:tcPr>
          <w:p w14:paraId="691722D8">
            <w:r>
              <w:rPr>
                <w:b/>
              </w:rPr>
              <w:t>运行速度</w:t>
            </w:r>
          </w:p>
        </w:tc>
        <w:tc>
          <w:tcPr>
            <w:tcW w:w="0" w:type="auto"/>
            <w:vAlign w:val="center"/>
          </w:tcPr>
          <w:p w14:paraId="4FAB22C3">
            <w:r>
              <w:t>水平120-240m/min；升降30-60m/min</w:t>
            </w:r>
          </w:p>
        </w:tc>
        <w:tc>
          <w:tcPr>
            <w:tcW w:w="0" w:type="auto"/>
            <w:vAlign w:val="center"/>
          </w:tcPr>
          <w:p w14:paraId="39363EB7">
            <w:r>
              <w:t>0.5-1.5m/min（无级可调）</w:t>
            </w:r>
          </w:p>
        </w:tc>
      </w:tr>
      <w:tr w14:paraId="460240AE">
        <w:tc>
          <w:tcPr>
            <w:tcW w:w="0" w:type="auto"/>
            <w:vAlign w:val="center"/>
          </w:tcPr>
          <w:p w14:paraId="2406A245">
            <w:r>
              <w:rPr>
                <w:b/>
              </w:rPr>
              <w:t>定位精度</w:t>
            </w:r>
          </w:p>
        </w:tc>
        <w:tc>
          <w:tcPr>
            <w:tcW w:w="0" w:type="auto"/>
            <w:vAlign w:val="center"/>
          </w:tcPr>
          <w:p w14:paraId="6903A853">
            <w:r>
              <w:t>±5mm（激光定位）；±3mm（高精度机型）</w:t>
            </w:r>
          </w:p>
        </w:tc>
        <w:tc>
          <w:tcPr>
            <w:tcW w:w="0" w:type="auto"/>
            <w:vAlign w:val="center"/>
          </w:tcPr>
          <w:p w14:paraId="2FF6589D">
            <w:r>
              <w:t>±0.1mm（视觉定位）；±1mm（机械定位）</w:t>
            </w:r>
          </w:p>
        </w:tc>
      </w:tr>
      <w:tr w14:paraId="32C69254">
        <w:tblPrEx>
          <w:tblCellMar>
            <w:top w:w="0" w:type="dxa"/>
            <w:left w:w="0" w:type="dxa"/>
            <w:bottom w:w="0" w:type="dxa"/>
            <w:right w:w="0" w:type="dxa"/>
          </w:tblCellMar>
        </w:tblPrEx>
        <w:tc>
          <w:tcPr>
            <w:tcW w:w="0" w:type="auto"/>
            <w:vAlign w:val="center"/>
          </w:tcPr>
          <w:p w14:paraId="49EE21B4">
            <w:r>
              <w:rPr>
                <w:b/>
              </w:rPr>
              <w:t>冷却参数</w:t>
            </w:r>
          </w:p>
        </w:tc>
        <w:tc>
          <w:tcPr>
            <w:tcW w:w="0" w:type="auto"/>
            <w:vAlign w:val="center"/>
          </w:tcPr>
          <w:p w14:paraId="574B9C84">
            <w:r>
              <w:t>入口温度≤400℃；出口温度≤70℃；冷却时间30-60min</w:t>
            </w:r>
          </w:p>
        </w:tc>
        <w:tc>
          <w:tcPr>
            <w:tcW w:w="0" w:type="auto"/>
            <w:vAlign w:val="center"/>
          </w:tcPr>
          <w:p w14:paraId="0D812994">
            <w:r>
              <w:t>风量2000-5000m³/h；温控精度±1℃</w:t>
            </w:r>
          </w:p>
        </w:tc>
      </w:tr>
      <w:tr w14:paraId="037854F0">
        <w:tblPrEx>
          <w:tblCellMar>
            <w:top w:w="0" w:type="dxa"/>
            <w:left w:w="0" w:type="dxa"/>
            <w:bottom w:w="0" w:type="dxa"/>
            <w:right w:w="0" w:type="dxa"/>
          </w:tblCellMar>
        </w:tblPrEx>
        <w:tc>
          <w:tcPr>
            <w:tcW w:w="0" w:type="auto"/>
            <w:vAlign w:val="center"/>
          </w:tcPr>
          <w:p w14:paraId="50FA7F86">
            <w:r>
              <w:rPr>
                <w:b/>
              </w:rPr>
              <w:t>仓位尺寸</w:t>
            </w:r>
          </w:p>
        </w:tc>
        <w:tc>
          <w:tcPr>
            <w:tcW w:w="0" w:type="auto"/>
            <w:vAlign w:val="center"/>
          </w:tcPr>
          <w:p w14:paraId="6535D99F">
            <w:r>
              <w:t>宽1342×深1100mm（标准托盘位）；可定制</w:t>
            </w:r>
          </w:p>
        </w:tc>
        <w:tc>
          <w:tcPr>
            <w:tcW w:w="0" w:type="auto"/>
            <w:vAlign w:val="center"/>
          </w:tcPr>
          <w:p w14:paraId="62C1FF69">
            <w:r>
              <w:t>带宽500-1200mm；节距12.7-50.8mm（链条）</w:t>
            </w:r>
          </w:p>
        </w:tc>
      </w:tr>
      <w:tr w14:paraId="475AF008">
        <w:tblPrEx>
          <w:tblCellMar>
            <w:top w:w="0" w:type="dxa"/>
            <w:left w:w="0" w:type="dxa"/>
            <w:bottom w:w="0" w:type="dxa"/>
            <w:right w:w="0" w:type="dxa"/>
          </w:tblCellMar>
        </w:tblPrEx>
        <w:tc>
          <w:tcPr>
            <w:tcW w:w="0" w:type="auto"/>
            <w:vAlign w:val="center"/>
          </w:tcPr>
          <w:p w14:paraId="506DC7D1">
            <w:r>
              <w:rPr>
                <w:b/>
              </w:rPr>
              <w:t>电源配置</w:t>
            </w:r>
          </w:p>
        </w:tc>
        <w:tc>
          <w:tcPr>
            <w:tcW w:w="0" w:type="auto"/>
            <w:vAlign w:val="center"/>
          </w:tcPr>
          <w:p w14:paraId="1B75BCDD">
            <w:r>
              <w:t>380V/50Hz三相五线制；功率5-15kW</w:t>
            </w:r>
          </w:p>
        </w:tc>
        <w:tc>
          <w:tcPr>
            <w:tcW w:w="0" w:type="auto"/>
            <w:vAlign w:val="center"/>
          </w:tcPr>
          <w:p w14:paraId="3025E635">
            <w:r>
              <w:t>380V/50Hz三相五线制；功率3-35kW</w:t>
            </w:r>
          </w:p>
        </w:tc>
      </w:tr>
      <w:tr w14:paraId="0BF7C895">
        <w:tc>
          <w:tcPr>
            <w:tcW w:w="0" w:type="auto"/>
            <w:vAlign w:val="center"/>
          </w:tcPr>
          <w:p w14:paraId="3FA07603">
            <w:r>
              <w:rPr>
                <w:b/>
              </w:rPr>
              <w:t>环境适应</w:t>
            </w:r>
          </w:p>
        </w:tc>
        <w:tc>
          <w:tcPr>
            <w:tcW w:w="0" w:type="auto"/>
            <w:vAlign w:val="center"/>
          </w:tcPr>
          <w:p w14:paraId="5F5BBA2E">
            <w:r>
              <w:t>温度-20-45℃；湿度≤85%（无凝露）</w:t>
            </w:r>
          </w:p>
        </w:tc>
        <w:tc>
          <w:tcPr>
            <w:tcW w:w="0" w:type="auto"/>
            <w:vAlign w:val="center"/>
          </w:tcPr>
          <w:p w14:paraId="6838D527">
            <w:r>
              <w:t>温度-10-60℃；湿度≤90%（无凝露）</w:t>
            </w:r>
          </w:p>
        </w:tc>
      </w:tr>
    </w:tbl>
    <w:p w14:paraId="74C8DC86">
      <w:r>
        <w:t>参数选择需遵循“工艺适配”原则：例如冷却时间需根据模具材质确定（铝制模具30分钟，铸铁模具60分钟）；堆垛机额定载荷应预留20%余量（如实际负载1000kg，选型1250kg）；输送线速度需匹配上下游节拍（如拆模线节拍220秒/件，输送线速度0.05m/s）。</w:t>
      </w:r>
    </w:p>
    <w:p w14:paraId="35084D4C">
      <w:pPr>
        <w:pStyle w:val="3"/>
      </w:pPr>
      <w:r>
        <w:t>二、冷却库堆垛机系统</w:t>
      </w:r>
    </w:p>
    <w:p w14:paraId="73A98DCE">
      <w:pPr>
        <w:pStyle w:val="4"/>
      </w:pPr>
      <w:r>
        <w:t>2.1 结构组成</w:t>
      </w:r>
    </w:p>
    <w:p w14:paraId="7C88A1E7">
      <w:pPr>
        <w:pStyle w:val="5"/>
      </w:pPr>
      <w:r>
        <w:t>2.1.1 主体框架与仓位结构</w:t>
      </w:r>
    </w:p>
    <w:p w14:paraId="22369D46">
      <w:r>
        <w:t>主体框架是堆垛机的承重基础，采用喷塑冷轧异型钢（材质Q235）焊接而成，通过有限元分析优化设计，确保在400℃高温环境下结构变形量≤0.5mm/m。框架立柱截面为150mm×100mm矩形管，间距2.5m，顶部通过200mm×100mm横梁连接，形成刚性框架结构（整体承重≥20吨）。框架表面喷涂耐高温粉末涂料（厚度60-80μm），耐盐雾性能达500小时以上，适应冷却库潮湿环境。</w:t>
      </w:r>
    </w:p>
    <w:p w14:paraId="0EF0B1FA">
      <w:r>
        <w:t>仓位结构根据模具规格定制，标准托盘仓位尺寸为宽1342mm×深1100mm×高800mm，可容纳8件铝制压铸件托盘（单件重量125kg）。仓位采用双深位设计（可延伸至相邻货位），存储密度提升50%，但需匹配货架深度（≥3m）。每个仓位配置防坠落挡板（厚度3mm钢板，承重500kg）和仓位检测光电传感器（漫反射型，检测距离50-200mm），防止模具存放不到位导致坠落。仓位间距按“模具宽度+100mm安全间隙”设计，例如800mm宽模具对应仓位间距900mm，确保堆垛机货叉顺利存取。</w:t>
      </w:r>
    </w:p>
    <w:p w14:paraId="14692544">
      <w:r>
        <w:t>高温型冷却库框架额外配置热膨胀补偿结构，在立柱与横梁连接处安装滑动支座（位移量±20mm），吸收400℃高温下的金属热膨胀（线膨胀系数1.2×10⁻⁵/℃），避免框架扭曲变形。低温型冷却库（-20℃）则在框架内侧加装保温层（100mm厚聚氨酯发泡，导热系数≤0.03W/m·K），降低冷量损失（外壁温度≤环境温度+5℃）。</w:t>
      </w:r>
    </w:p>
    <w:p w14:paraId="49338467">
      <w:pPr>
        <w:pStyle w:val="5"/>
      </w:pPr>
      <w:r>
        <w:t>2.1.2 三向运动机构</w:t>
      </w:r>
    </w:p>
    <w:p w14:paraId="475072EF">
      <w:r>
        <w:t>三向运动机构实现堆垛机在X（水平行走）、Y（升降）、Z（货叉伸缩）三个方向的运动，是堆垛机的核心功能部件。</w:t>
      </w:r>
    </w:p>
    <w:p w14:paraId="64AAE03A">
      <w:r>
        <w:rPr>
          <w:b/>
        </w:rPr>
        <w:t>X轴水平行走机构</w:t>
      </w:r>
      <w:r>
        <w:t>：由行走轮组、驱动装置和导向装置组成。行走轮组采用双轮缘车轮（材质45#钢，淬火硬度HRC55-60），轮径200mm，轮距1800mm（根据框架宽度定制），配合P38工字钢地轨（安装水平度误差≤0.5mm/m），承载能力≥10吨。驱动装置采用1.5-5.5kW变频电机（根据载荷选择），通过减速机（速比50-100）驱动主动轮，运行速度120-240m/min，加速/减速时间3-5s（S型曲线）。导向装置包括水平导轮（MC尼龙材质，硬度邵氏85±5D）和侧面导向轮，与地轨侧面间隙保持1-2mm，限制横向偏移量≤3mm。</w:t>
      </w:r>
    </w:p>
    <w:p w14:paraId="4996DAA6">
      <w:r>
        <w:rPr>
          <w:b/>
        </w:rPr>
        <w:t>Y轴升降机构</w:t>
      </w:r>
      <w:r>
        <w:t>：通过钢丝绳或链条牵引载货台实现垂直运动，由驱动电机、传动部件和导向系统组成。驱动电机选用带绝对值编码器的伺服电机（如安川Σ-7系列，17位分辨率），功率2.2-11kW，额定转速1500r/min，配合电磁刹车器（DC24V，制动扭矩≥15N·m），确保断电时载货台静止（下滑量≤5mm）。传动部件采用钢丝绳（直径8-12mm，破断拉力≥150kN）或板式链条（节距25.4mm，破断载荷≥200kN），通过卷筒或链轮传递动力，升降速度30-60m/min，加速度0.3-0.5m/s²。导向系统采用双立柱内侧的精密线性导轨（如THK HSR系列），配合4组导向轮（间隙0.1-0.3mm），确保升降垂直度误差≤0.5mm/m。</w:t>
      </w:r>
    </w:p>
    <w:p w14:paraId="0C769468">
      <w:r>
        <w:rPr>
          <w:b/>
        </w:rPr>
        <w:t>Z轴货叉伸缩机构</w:t>
      </w:r>
      <w:r>
        <w:t>：采用四节嵌套式差动结构（固定叉-下中叉-上中叉-主叉），通过齿轮齿条传动实现伸缩。驱动系统为0.75-2.2kW异步电机（IP54防护等级），配合行星减速机（速比1:20）和电磁离合器（传递扭矩15N·m），伸缩速度空载60m/min、实载20m/min，行程500-2000mm（根据仓位深度定制）。货叉定位通过接近开关（NPN型，响应时间≤1ms）和旋转编码器（2500线）双重检测，定位精度±5mm。双深位货叉可延伸至相邻货位，伸出长度达2.0m，满足双排仓位存取需求。</w:t>
      </w:r>
    </w:p>
    <w:p w14:paraId="02F82089">
      <w:pPr>
        <w:pStyle w:val="5"/>
      </w:pPr>
      <w:r>
        <w:t>2.1.3 货叉取放装置</w:t>
      </w:r>
    </w:p>
    <w:p w14:paraId="5702EBF1">
      <w:r>
        <w:t>货叉取放装置是实现模具存取的执行部件，由货叉本体、导向轮组、限位装置和缓冲机构组成。货叉本体采用高强度合金钢板（材质Q345B，厚度12mm）焊接而成，表面经淬火处理（硬度HRC40-45），抗弯强度≥300MPa。四节式货叉通过齿轮齿条啮合实现差动伸缩，下中叉与固定叉、上中叉与下中叉、主叉与上中叉的传动比均为2:1，即主叉伸出400mm时，下中叉伸出200mm，上中叉伸出100mm，固定叉不动，确保伸缩平稳无卡顿。</w:t>
      </w:r>
    </w:p>
    <w:p w14:paraId="4FB891D5">
      <w:r>
        <w:t>导向轮组分布于各节叉体两侧，每组4个导轮（材质MC尼龙，直径50mm），与货叉导轨（铝型材，截面45×90mm）配合，导向间隙0.1-0.3mm，确保伸缩过程中货叉水平偏移量≤1mm。限位装置包括前限位（主叉完全伸出位置）和后限位（主叉完全缩回位置），通过接近开关触发停止信号，防止超程损坏。缓冲机构采用聚氨酯缓冲器（行程20mm，反弹系数≤20%），安装于主叉前端，避免取放货时与模具刚性碰撞（冲击力≤500N）。</w:t>
      </w:r>
    </w:p>
    <w:p w14:paraId="3DFF913C">
      <w:r>
        <w:t>针对特殊模具，货叉可配置辅助功能组件：</w:t>
      </w:r>
      <w:r>
        <w:rPr>
          <w:b/>
        </w:rPr>
        <w:t>侧移调整机构</w:t>
      </w:r>
      <w:r>
        <w:t>（行程±50mm，调整精度±0.5mm）用于模具对位偏差补偿；</w:t>
      </w:r>
      <w:r>
        <w:rPr>
          <w:b/>
        </w:rPr>
        <w:t>旋转机构</w:t>
      </w:r>
      <w:r>
        <w:t>（0-90°可调，定位精度±0.5°）适应异形模具存取；</w:t>
      </w:r>
      <w:r>
        <w:rPr>
          <w:b/>
        </w:rPr>
        <w:t>称重传感器</w:t>
      </w:r>
      <w:r>
        <w:t>（量程0-5000kg，精度±0.1%FS）实时监测模具重量，防止超载。高温环境下的货叉还需加装隔热罩（陶瓷纤维材质，耐温500℃），避免热量传递至驱动电机（电机外壳温度≤60℃）。</w:t>
      </w:r>
    </w:p>
    <w:p w14:paraId="4EF98281">
      <w:pPr>
        <w:pStyle w:val="5"/>
      </w:pPr>
      <w:r>
        <w:t>2.1.4 传感器检测系统</w:t>
      </w:r>
    </w:p>
    <w:p w14:paraId="404226AB">
      <w:r>
        <w:t>传感器检测系统是堆垛机实现精准定位和安全运行的“感知神经”，形成“位置-货位-安全”三维检测网络。</w:t>
      </w:r>
    </w:p>
    <w:p w14:paraId="75CFA147">
      <w:r>
        <w:rPr>
          <w:b/>
        </w:rPr>
        <w:t>位置检测传感器</w:t>
      </w:r>
      <w:r>
        <w:t>：包括激光测距仪、绝对值编码器和接近开关。激光测距仪（如基恩士LK-G5000系列）安装于堆垛机顶部，测量堆垛机与轨道端部基准块的距离，量程0-30m，线性度±0.03%FS，用于X轴水平定位（精度±1mm）；绝对值编码器（17位，多圈）安装于行走、升降电机轴端，实时反馈位置信息（分辨率0.01mm），用于闭环控制；接近开关（电感式，检测距离10mm）安装于行走轨道两端和升降立柱顶部/底部，作为极限位置保护（触发时立即切断电机电源）。</w:t>
      </w:r>
    </w:p>
    <w:p w14:paraId="07AC246B">
      <w:r>
        <w:rPr>
          <w:b/>
        </w:rPr>
        <w:t>货位检测传感器</w:t>
      </w:r>
      <w:r>
        <w:t>：采用漫反射光电传感器（如欧姆龙E3Z系列）和对射式光电传感器组合。漫反射传感器安装于货叉前端，检测模具是否存在（响应时间≤1ms），避免双重入库；对射式传感器安装于仓位两侧，检测模具是否完全存入（光束被遮挡时判定到位），防止部分伸出导致碰撞。高温环境下传感器需加装加热套（功率50W，温度控制50±5℃），防止镜头结霜（-20℃以下场景）。</w:t>
      </w:r>
    </w:p>
    <w:p w14:paraId="70CAE399">
      <w:r>
        <w:rPr>
          <w:b/>
        </w:rPr>
        <w:t>安全检测传感器</w:t>
      </w:r>
      <w:r>
        <w:t>：包括安全光幕、防撞条和速度监测器。安全光幕（分辨率10mm）安装于载货台四周，当检测到异物侵入时（如操作人员手伸入），立即停止所有运动；防撞条（聚氨酯材质，触发力50N）安装于堆垛机行走方向前端，碰撞时输出急停信号；速度监测器（安装于行走轮）实时监测运行速度，当超速120%额定速度时，触发机械制动（响应时间＜0.1s）。</w:t>
      </w:r>
    </w:p>
    <w:p w14:paraId="3DD602E4">
      <w:pPr>
        <w:pStyle w:val="4"/>
      </w:pPr>
      <w:r>
        <w:t>2.2 机械工作原理</w:t>
      </w:r>
    </w:p>
    <w:p w14:paraId="7B5D3B72">
      <w:pPr>
        <w:pStyle w:val="5"/>
      </w:pPr>
      <w:r>
        <w:t>2.2.1 三向运动协调机制</w:t>
      </w:r>
    </w:p>
    <w:p w14:paraId="25E895FC">
      <w:r>
        <w:t>堆垛机三向运动（X/Y/Z轴）的协调控制基于“任务优先级-速度规划-动作互锁”三层逻辑架构，确保模具存取高效精准。</w:t>
      </w:r>
    </w:p>
    <w:p w14:paraId="5A7DF66C">
      <w:r>
        <w:rPr>
          <w:b/>
        </w:rPr>
        <w:t>任务优先级调度</w:t>
      </w:r>
      <w:r>
        <w:t>：PLC根据WMS系统下发的任务指令（如“从A3仓位取模具至输送线”），自动规划运动路径，遵循“最短路径优先”原则（如同时存在A3和B5仓位任务时，优先执行距离更近的A3任务）。任务执行过程中，若接收到紧急任务（如模具冷却超时需优先出库），系统可中断当前低优先级任务，切换至紧急任务（中断响应时间≤1s），确保工艺节拍可控。</w:t>
      </w:r>
    </w:p>
    <w:p w14:paraId="44802AE3">
      <w:r>
        <w:rPr>
          <w:b/>
        </w:rPr>
        <w:t>速度曲线规划</w:t>
      </w:r>
      <w:r>
        <w:t>：三向运动均采用S型加减速曲线（加速度0.3-0.5m/s²），避免刚性冲击。以X轴行走为例，当目标距离＞5m时，速度从0按二次曲线升至最大速度240m/min，保持高速运行至距离目标2m时，按二次曲线减速至5m/min，最终通过激光测距仪精确定位（停车位置误差±3mm）。Y轴升降和Z轴货叉伸缩采用相同速度规划逻辑，确保运动平稳（振动加速度≤0.1g）。</w:t>
      </w:r>
    </w:p>
    <w:p w14:paraId="6FB01B91">
      <w:r>
        <w:rPr>
          <w:b/>
        </w:rPr>
        <w:t>动作互锁条件</w:t>
      </w:r>
      <w:r>
        <w:t>：三向运动设置严格的互锁逻辑，防止动作冲突导致设备损坏。例如，X轴行走未完全停止（速度＞0.1m/s）时，Y轴升降和Z轴货叉伸缩禁止动作；Y轴升降未到达目标高度（位置偏差＞10mm）时，Z轴货叉禁止伸出；Z轴货叉未完全缩回（伸出长度＞50mm）时，X轴行走和Y轴升降禁止启动。互锁条件通过PLC程序实时监控，响应时间≤100ms。</w:t>
      </w:r>
    </w:p>
    <w:p w14:paraId="60066B79">
      <w:r>
        <w:t>典型工作流程时序如下：1）接收任务指令（从A3仓位取模具）；2）X轴行走至A列（速度240m/min，定位误差±3mm）；3）Y轴升降至3层（速度60m/min，定位误差±2mm）；4）Z轴货叉伸出至A3仓位（速度20m/min，定位误差±5mm）；5）货叉承载模具缩回（确认模具存在信号）；6）Y轴升降至出库高度（1.2m）；7）X轴行走至输送线对接位置；8）货叉伸出将模具放置于输送线；9）货叉缩回，完成任务。全过程响应时间≤30秒，满足高节拍生产需求。</w:t>
      </w:r>
    </w:p>
    <w:p w14:paraId="5C1DCF71">
      <w:pPr>
        <w:pStyle w:val="5"/>
      </w:pPr>
      <w:r>
        <w:t>2.2.2 力传递与负载匹配</w:t>
      </w:r>
    </w:p>
    <w:p w14:paraId="1ED99610">
      <w:r>
        <w:t>堆垛机的力传递路径需根据运动方向和负载类型精准设计，确保动力高效传递且部件受力在安全范围内。</w:t>
      </w:r>
    </w:p>
    <w:p w14:paraId="663AE97F">
      <w:r>
        <w:rPr>
          <w:b/>
        </w:rPr>
        <w:t>X轴行走力传递</w:t>
      </w:r>
      <w:r>
        <w:t>：驱动力从伺服电机输出，经减速机（速比50）减速增扭后，通过联轴器传递至主动齿轮（模数5mm，齿数20），齿轮与齿条啮合产生水平驱动力F= T×i×η/d（T为电机输出扭矩，i为减速比，η为传动效率，d为齿轮分度圆直径）。以额定载荷1000kg堆垛机为例，行走阻力F阻=μ×m×g（μ为滚动摩擦系数0.02，m为总质量1500kg）=0.02×1500×9.8=294N，驱动力F需≥1.5×F阻=441N，计算得电机输出扭矩T=F×d/(i×η)=441×0.1/(50×0.9)=0.98N·m，选型1.5kW伺服电机（额定扭矩9.55N·m），留有充足余量。</w:t>
      </w:r>
    </w:p>
    <w:p w14:paraId="21B40613">
      <w:r>
        <w:rPr>
          <w:b/>
        </w:rPr>
        <w:t>Y轴升降力传递</w:t>
      </w:r>
      <w:r>
        <w:t>：钢丝绳牵引式升降机构中，驱动力F= (m×g+F摩)/n（m为载货台+模具总质量，F摩为导向摩擦阻力，n为钢丝绳根数）。以5吨堆垛机为例，m=5000kg，F摩=500N，n=4根钢丝绳，单根钢丝绳拉力F单=(5000×9.8+500)/4=12562.5N，选用破断拉力150kN的钢丝绳（安全系数12），确保断裂风险＜0.1%。链条传动式升降机构则通过链条节距（如25.4mm）和链轮齿数（20齿）计算拉力，链条张力需≤额定破断载荷的1/8。</w:t>
      </w:r>
    </w:p>
    <w:p w14:paraId="413FD226">
      <w:r>
        <w:rPr>
          <w:b/>
        </w:rPr>
        <w:t>Z轴货叉力传递</w:t>
      </w:r>
      <w:r>
        <w:t>：四节式货叉的力传递通过齿轮齿条啮合实现，下中叉与固定叉、上中叉与下中叉、主叉与上中叉的传动比均为2:1，即固定叉静止时，下中叉移动100mm，上中叉移动200mm，主叉移动400mm。货叉伸缩时，电机扭矩经减速机放大后，驱动主动齿轮（模数3mm）与齿条啮合，推动各节叉体运动，最大伸出行程时，主叉悬臂端挠度≤2mm（满载1000kg），满足刚度要求。</w:t>
      </w:r>
    </w:p>
    <w:p w14:paraId="419F47A4">
      <w:r>
        <w:rPr>
          <w:b/>
        </w:rPr>
        <w:t>负载匹配原则</w:t>
      </w:r>
      <w:r>
        <w:t>：各传动部件的选型需遵循“负载×安全系数”原则，齿轮齿条按接触疲劳强度（应力≤500MPa）和弯曲疲劳强度（应力≤800MPa）设计，轴承寿命按L10寿命（90%可靠性）≥10万小时计算，电机功率按“额定负载功率×1.2倍余量”选型，确保长期稳定运行。</w:t>
      </w:r>
    </w:p>
    <w:p w14:paraId="58B81638">
      <w:pPr>
        <w:pStyle w:val="5"/>
      </w:pPr>
      <w:r>
        <w:t>2.2.3 高精度定位控制原理</w:t>
      </w:r>
    </w:p>
    <w:p w14:paraId="6ADBD356">
      <w:r>
        <w:t>堆垛机定位精度（±5mm）的实现依赖“检测-补偿-校准”三位一体控制机制，通过多重技术手段消除机械误差和环境干扰。</w:t>
      </w:r>
    </w:p>
    <w:p w14:paraId="513B2A33">
      <w:r>
        <w:rPr>
          <w:b/>
        </w:rPr>
        <w:t>多传感器融合检测</w:t>
      </w:r>
      <w:r>
        <w:t>：X轴行走采用“激光测距仪+编码器”融合定位，激光测距仪提供绝对位置基准（精度±1mm），编码器提供实时位置反馈（分辨率0.01mm），PLC通过卡尔曼滤波算法融合两路信号，过滤激光信号跳变（如粉尘遮挡导致的瞬时偏差）和编码器累积误差，定位精度提升至±3mm。Y轴升降采用“绝对值编码器+条码带”双重检测，条码带（分辨率1mm）粘贴于立柱侧面，作为编码器漂移的校准基准（每500mm校准一次），确保长期运行精度≤±2mm。</w:t>
      </w:r>
    </w:p>
    <w:p w14:paraId="515453C0">
      <w:r>
        <w:rPr>
          <w:b/>
        </w:rPr>
        <w:t>机械误差补偿</w:t>
      </w:r>
      <w:r>
        <w:t>：通过预加载荷消除传动间隙，齿轮齿条啮合前通过弹簧施加预紧力（50-100N），使齿侧间隙≤0.1mm；滚珠丝杠采用双螺母预紧（预紧力10%额定动载荷），轴向间隙≤0.01mm。针对轨道不直度误差（如±0.5mm/m），通过PLC存储误差补偿表（每1m一个补偿点），实时修正位置指令（如在轨道凸起0.3mm处，指令位置自动减小0.3mm）。</w:t>
      </w:r>
    </w:p>
    <w:p w14:paraId="7B589A71">
      <w:r>
        <w:rPr>
          <w:b/>
        </w:rPr>
        <w:t>环境干扰抑制</w:t>
      </w:r>
      <w:r>
        <w:t>：温度变化导致的金属热膨胀通过“温度-位移模型”补偿，在堆垛机立柱安装温度传感器（测量范围-20-60℃），根据公式ΔL=α×L×ΔT（α为线膨胀系数1.2×10⁻⁵/℃，L为立柱高度，ΔT为温度变化量）计算膨胀量，实时修正升降位置（如20m高立柱温度升高10℃时，补偿+2.4mm）。振动干扰通过低通滤波算法（截止频率5Hz）消除，确保传感器信号稳定（波动≤±0.1mm）。</w:t>
      </w:r>
    </w:p>
    <w:p w14:paraId="1A10620C">
      <w:r>
        <w:rPr>
          <w:b/>
        </w:rPr>
        <w:t>定期校准机制</w:t>
      </w:r>
      <w:r>
        <w:t>：每日开机执行“原点校准”，堆垛机运行至轨道端部基准块，通过激光测距仪重置零点；每周执行“精度校准”，使用激光干涉仪（如雷尼绍XL-80）检测X/Y轴定位误差，当误差＞±5mm时，更新误差补偿表；每季度执行“机械校准”，调整齿轮齿条平行度（误差≤0.1mm/m）和货叉水平度（误差≤0.2mm/m），确保机械基准稳定。</w:t>
      </w:r>
    </w:p>
    <w:p w14:paraId="19C2D7DF">
      <w:pPr>
        <w:pStyle w:val="4"/>
      </w:pPr>
      <w:r>
        <w:t>2.3 控制系统原理</w:t>
      </w:r>
    </w:p>
    <w:p w14:paraId="199D0DBA">
      <w:pPr>
        <w:pStyle w:val="5"/>
      </w:pPr>
      <w:r>
        <w:t>2.3.1 PLC控制系统架构</w:t>
      </w:r>
    </w:p>
    <w:p w14:paraId="551DE59D">
      <w:r>
        <w:t>堆垛机控制系统采用“PLC+运动控制器+人机界面”三层架构，实现逻辑控制、运动控制和人机交互一体化。</w:t>
      </w:r>
    </w:p>
    <w:p w14:paraId="6EC3E8D2">
      <w:r>
        <w:rPr>
          <w:b/>
        </w:rPr>
        <w:t>硬件配置</w:t>
      </w:r>
      <w:r>
        <w:t>：核心控制器选用西门子S7-1500系列PLC（如CPU 1516-3PN/DP），集成Profinet接口（传输速率100Mbps），支持分布式I/O（如ET 200SP模块）。I/O配置包括数字量输入64点（检测传感器信号）、数字量输出32点（控制电磁阀、指示灯）、模拟量输入8点（力传感器、温度传感器信号）、模拟量输出4点（伺服驱动器控制信号）。运动控制模块（如西门子FM 357-2）支持3轴插补控制，脉冲输出频率1MHz，满足货叉高精度伸缩需求。人机界面为15寸触摸屏（分辨率1920×1080），实时显示设备状态（位置、速度、故障代码）和工艺参数（冷却时间、仓位占用率）。</w:t>
      </w:r>
    </w:p>
    <w:p w14:paraId="13559364">
      <w:r>
        <w:rPr>
          <w:b/>
        </w:rPr>
        <w:t>软件功能模块</w:t>
      </w:r>
      <w:r>
        <w:t>：系统软件采用模块化编程，包括初始化模块、手动/自动控制模块、任务调度模块、故障诊断模块。初始化模块在设备启动时执行自检（传感器、驱动器、安全装置状态），异常时报警；手动模块支持单轴点动（如“行走+”“升降-”按钮）和单动作调试（如“货叉伸出”单独触发），用于维护检修；自动模块执行WMS下发的任务指令，调用运动控制算法实现自动存取；故障诊断模块实时监测I/O状态、电机电流、传感器信号，当检测到异常（如“货叉超时未到位”），立即触发声光报警（蜂鸣器+红色警示灯），并在HMI显示故障代码（如“E103：激光传感器信号丢失”）及处理建议。</w:t>
      </w:r>
    </w:p>
    <w:p w14:paraId="0A28B4CD">
      <w:r>
        <w:rPr>
          <w:b/>
        </w:rPr>
        <w:t>通信接口</w:t>
      </w:r>
      <w:r>
        <w:t>：与WMS系统通过Profinet总线通信（周期≤100ms），接收任务指令并反馈执行状态；与输送线系统通过Modbus RTU协议（RS485，波特率9600bps）通信，协调模具交接；与远程监控系统通过TCP/IP协议通信，上传生产数据（产量、故障率、能耗），支持远程诊断（如PLC程序在线修改）。</w:t>
      </w:r>
    </w:p>
    <w:p w14:paraId="74AF259C">
      <w:pPr>
        <w:pStyle w:val="5"/>
      </w:pPr>
      <w:r>
        <w:t>2.3.2 伺服驱动与运动控制</w:t>
      </w:r>
    </w:p>
    <w:p w14:paraId="746BD239">
      <w:r>
        <w:t>堆垛机伺服驱动系统采用“位置环-速度环-电流环”三环闭环控制，实现三向运动的精准调速和定位。</w:t>
      </w:r>
    </w:p>
    <w:p w14:paraId="07171B23">
      <w:r>
        <w:rPr>
          <w:b/>
        </w:rPr>
        <w:t>三环控制架构</w:t>
      </w:r>
      <w:r>
        <w:t>：位置环接收PLC发送的目标位置指令（如X轴行走至10.5m），与编码器反馈的实际位置比较，通过PID调节输出速度指令（0-50Hz）；速度环根据速度指令与编码器反馈速度的偏差，输出电流指令（0-5A）；电流环控制电机定子电流，确保输出扭矩与负载匹配。三环控制周期分别为位置环10ms、速度环1ms、电流环0.1ms，响应速度逐层提升，确保动态性能（如阶跃响应超调量≤5%）。</w:t>
      </w:r>
    </w:p>
    <w:p w14:paraId="33AB6763">
      <w:r>
        <w:rPr>
          <w:b/>
        </w:rPr>
        <w:t>参数整定</w:t>
      </w:r>
      <w:r>
        <w:t>：伺服驱动器参数通过自整定和手动优化结合确定。自整定阶段，驱动器自动识别电机参数（惯量、电阻、电感），生成基础PID参数；手动优化阶段，通过调整位置环增益（Kp=5-15）、速度环增益（Kv=500-1000Hz）和积分时间（Ti=10-50ms），改善动态性能。例如，X轴行走时若出现定位超调，需减小位置环增益；若响应缓慢，需增大速度环增益。</w:t>
      </w:r>
    </w:p>
    <w:p w14:paraId="66475F8B">
      <w:r>
        <w:rPr>
          <w:b/>
        </w:rPr>
        <w:t>同步控制</w:t>
      </w:r>
      <w:r>
        <w:t>：双立柱堆垛机的Y轴升降采用“主从同步控制”，主驱动器接收位置指令，从驱动器跟随主驱动器位置，通过EtherCAT总线实现位置同步（同步误差≤±0.1mm）。同步控制算法实时比较主从轴位置偏差，当偏差＞0.5mm时，调整从轴速度（增加/减小输出频率），确保双立柱升降一致，避免载货台倾斜（倾斜角≤0.1°）。</w:t>
      </w:r>
    </w:p>
    <w:p w14:paraId="38A605EC">
      <w:r>
        <w:rPr>
          <w:b/>
        </w:rPr>
        <w:t>安全功能</w:t>
      </w:r>
      <w:r>
        <w:t>：伺服驱动器集成STO（安全扭矩关闭）功能，当急停信号触发时，立即切断电机输出扭矩（响应时间＜20ms）；过载保护（150%额定电流持续1s）防止电机过热；编码器故障保护在信号丢失时，立即启动制动（制动扭矩≥15N·m），确保设备安全。</w:t>
      </w:r>
    </w:p>
    <w:p w14:paraId="38F2BB14">
      <w:pPr>
        <w:pStyle w:val="5"/>
      </w:pPr>
      <w:r>
        <w:t>2.3.3 传感器信号处理</w:t>
      </w:r>
    </w:p>
    <w:p w14:paraId="78443EFA">
      <w:r>
        <w:t>传感器信号的可靠处理是堆垛机稳定运行的关键，系统通过“滤波-转换-诊断”三级处理流程，确保信号准确有效。</w:t>
      </w:r>
    </w:p>
    <w:p w14:paraId="1F5833C1">
      <w:r>
        <w:rPr>
          <w:b/>
        </w:rPr>
        <w:t>信号滤波</w:t>
      </w:r>
      <w:r>
        <w:t>：模拟量信号（如力传感器4-20mA）经低通滤波（截止频率10Hz）消除高频干扰（如电机噪声），再通过均值滤波（5点平均）平滑信号波动（波动幅度≤±0.5%FS）。数字量信号（如光电传感器开关量）经施密特触发器整形（迟滞电压2V），消除触点抖动（抖动时间≤10ms）。激光测距信号采用距离门限滤波，仅当连续3次测量值在门限范围内（如±1mm）时，才确认有效，避免单次干扰导致误判。</w:t>
      </w:r>
    </w:p>
    <w:p w14:paraId="650F7D03">
      <w:r>
        <w:rPr>
          <w:b/>
        </w:rPr>
        <w:t>信号转换与传输</w:t>
      </w:r>
      <w:r>
        <w:t>：模拟量信号通过PLC模拟量输入模块（16位精度）转换为数字量（如4-20mA对应0-30m距离），转换精度±0.1%FS。数字量信号通过光电耦合器隔离（隔离电压2500VAC），防止强电干扰窜入弱电系统。传感器线缆采用双绞屏蔽线（屏蔽层单端接地，接地电阻≤1Ω），模拟量线缆与动力线缆间距≥30cm，减少电磁耦合干扰（如伺服电机线缆对传感器信号的干扰）。</w:t>
      </w:r>
    </w:p>
    <w:p w14:paraId="7417088E">
      <w:r>
        <w:rPr>
          <w:b/>
        </w:rPr>
        <w:t>故障诊断</w:t>
      </w:r>
      <w:r>
        <w:t>：系统实时监测传感器信号状态，当出现“信号超出量程”（如激光测距仪显示31m，超出0-30m量程）、“信号丢失”（如编码器脉冲中断）、“信号跳变”（如1秒内变化超过5mm）时，立即判定传感器故障，触发报警并切换至备用传感器（如主激光传感器故障时，启用编码器定位）。传感器故障代码存储于PLC故障缓冲区，可通过HMI查询历史记录（存储容量1000条），便于维护人员分析原因。</w:t>
      </w:r>
    </w:p>
    <w:p w14:paraId="57BE3569">
      <w:pPr>
        <w:pStyle w:val="3"/>
      </w:pPr>
      <w:r>
        <w:t>三、输送线系统</w:t>
      </w:r>
    </w:p>
    <w:p w14:paraId="3FF82740">
      <w:pPr>
        <w:pStyle w:val="4"/>
      </w:pPr>
      <w:r>
        <w:t>3.1 结构组成</w:t>
      </w:r>
    </w:p>
    <w:p w14:paraId="6E85CCC8">
      <w:pPr>
        <w:pStyle w:val="5"/>
      </w:pPr>
      <w:r>
        <w:t>3.1.1 传动机构</w:t>
      </w:r>
    </w:p>
    <w:p w14:paraId="2AF0321C">
      <w:r>
        <w:t>输送线传动机构根据负载特性和工艺要求分为链式传动和带式传动两大类，通过电机驱动实现模具的连续输送。</w:t>
      </w:r>
    </w:p>
    <w:p w14:paraId="51EEA82D">
      <w:r>
        <w:rPr>
          <w:b/>
        </w:rPr>
        <w:t>链式传动机构</w:t>
      </w:r>
      <w:r>
        <w:t>：由链条、链轮、驱动装置和张紧装置组成，适用于重载模具输送（500kg/m以上）。链条类型根据负载选择：滚子链（如16A链条，节距25.4mm）适用于轻型模具（≤100kg/m），链板厚度8mm，单排许用拉力15kN；模锻链（如C2080链条，节距50.8mm）适用于重型模具（≥500kg/m），链板采用整体锻造（材质40Cr），许用拉力50kN，耐冲击性能优异（冲击载荷100kN下无变形）。</w:t>
      </w:r>
    </w:p>
    <w:p w14:paraId="0C7098B1">
      <w:r>
        <w:t>驱动装置为“变频电机+减速机+联轴器”组合，电机功率0.75-2.2kW（根据输送长度和负载选择），减速机速比50-100（输出转速15-30r/min），通过链条或齿轮驱动主动链轮（齿数17-21齿）。主动链轮与链条啮合采用“三齿啮合”设计（同时啮合3个齿），降低单齿受力（接触应力≤300MPa）。从动链轮安装于输送线末端，通过张紧装置调节链条张紧度（下垂量≤20mm/1m跨度）。</w:t>
      </w:r>
    </w:p>
    <w:p w14:paraId="2681FB7C">
      <w:r>
        <w:rPr>
          <w:b/>
        </w:rPr>
        <w:t>带式传动机构</w:t>
      </w:r>
      <w:r>
        <w:t>：由输送带、传动滚筒、改向滚筒和托辊组成，适用于中轻型模具（≤300kg/m）和表面敏感型模具（如精密线圈）。输送带材质包括橡胶带（耐温-10-60℃，摩擦系数0.8）、聚氨酯带（耐油腐蚀，适用食品医药行业）和钢带（耐温≤200℃，强度高）。带宽500-1200mm，厚度3-8mm（根据负载选择），接头采用硫化连接（强度≥90%基带强度）或钢扣连接（适用于临时场合）。</w:t>
      </w:r>
    </w:p>
    <w:p w14:paraId="4B12A2DE">
      <w:r>
        <w:t>传动滚筒直径根据带宽确定（如带宽500mm对应滚筒直径159mm），表面采用菱形花纹（深度2mm）或包胶（橡胶硬度邵氏60±5A），增大与输送带的摩擦力（摩擦系数≥0.3），防止打滑。托辊间距按“重载密排”原则布置，承载段间距800mm（确保输送带下垂量≤2%），回程段间距1500mm，托辊直径89mm（钢管材质，壁厚3mm），轴承采用双面密封（防水防尘等级IP54）。</w:t>
      </w:r>
    </w:p>
    <w:p w14:paraId="5F09ECDA">
      <w:pPr>
        <w:pStyle w:val="5"/>
      </w:pPr>
      <w:r>
        <w:t>3.1.2 导向装置</w:t>
      </w:r>
    </w:p>
    <w:p w14:paraId="2C68DF1F">
      <w:r>
        <w:t>导向装置确保模具在输送过程中直线运行（跑偏量≤10mm），由导轨系统、侧向导轮和定位挡块组成。</w:t>
      </w:r>
    </w:p>
    <w:p w14:paraId="74926F40">
      <w:r>
        <w:rPr>
          <w:b/>
        </w:rPr>
        <w:t>导轨系统</w:t>
      </w:r>
      <w:r>
        <w:t>：链式输送线的导轨分为承载导轨和导向导轨，承载导轨支撑链条下分支（运行方向），采用16Mn钢经表面淬火处理（硬度HRC50-55），厚度12mm，导轨宽度比链条宽度大5-10mm（如101.6mm链条配110mm导轨），确保链条运行平稳。导向导轨安装于链条两侧，与链条侧边间隙1-2mm，材质为耐磨铸铁（HT300），表面润滑采用固体润滑剂（如二硫化钼涂层），摩擦系数≤0.15。</w:t>
      </w:r>
    </w:p>
    <w:p w14:paraId="10A36C28">
      <w:r>
        <w:t>带式输送线的导向装置为侧边立辊（直径50mm，间距1.5m）和跑偏检测开关。立辊采用MC尼龙材质（摩擦系数0.1），高度100mm，与输送带侧边间隙5-10mm，限制横向偏移；跑偏检测开关（如欧姆龙WLG系列）安装于输送带两侧，当跑偏量＞15mm时触发报警，严重跑偏（＞30mm）时启动纠偏装置（如气动推缸推动托辊组偏转）。</w:t>
      </w:r>
    </w:p>
    <w:p w14:paraId="267D6317">
      <w:r>
        <w:rPr>
          <w:b/>
        </w:rPr>
        <w:t>定位挡块</w:t>
      </w:r>
      <w:r>
        <w:t>：用于模具在特定工位的精确定位，分为机械定位和气动定位。机械定位挡块为V型块（角度90°或120°），安装于输送线入口端，对模具进行粗定位（误差≤±5mm）；气动定位挡块由气缸（缸径63mm，行程50mm）驱动，当模具到达设定位置时，气缸伸出挡块（带缓冲垫），定位精度±0.5mm，适用于检测工位等高精度需求场景。</w:t>
      </w:r>
    </w:p>
    <w:p w14:paraId="3AC50D55">
      <w:pPr>
        <w:pStyle w:val="5"/>
      </w:pPr>
      <w:r>
        <w:t>3.1.3 张紧系统</w:t>
      </w:r>
    </w:p>
    <w:p w14:paraId="4DB6CC19">
      <w:r>
        <w:t>张紧系统维持传动部件的适当张力，防止打滑或振动，主要有螺杆张紧、重锤张紧和气动张紧三种形式。</w:t>
      </w:r>
    </w:p>
    <w:p w14:paraId="333FFE28">
      <w:r>
        <w:rPr>
          <w:b/>
        </w:rPr>
        <w:t>螺杆张紧装置</w:t>
      </w:r>
      <w:r>
        <w:t>：适用于短距离输送线（≤10m），通过旋转调节螺母推动从动轴移动，张紧行程50-150mm。张紧力通过扭矩扳手设定（如M20螺杆对应扭矩35-40N·m），确保链条下垂量≤20mm/1m跨度。该装置结构简单（成本低），但张紧力随链条磨损逐渐减小，需定期手动调整（每周检查一次）。</w:t>
      </w:r>
    </w:p>
    <w:p w14:paraId="072CA1F3">
      <w:r>
        <w:rPr>
          <w:b/>
        </w:rPr>
        <w:t>重锤张紧装置</w:t>
      </w:r>
      <w:r>
        <w:t>：适用于长距离输送线（＞10m），通过重锤的重力自动补偿链条/皮带的伸长量（补偿范围0-300mm）。重锤重量W根据传动部件类型计算：链条传动W=K×P×L（K为系数0.015，P为链条节距，L为输送长度）；皮带传动W=K×B×L（K为系数0.02，B为带宽，L为输送长度）。例如，50.8mm节距链条、20m长输送线，W=0.015×50.8×20≈15.2kg，实际配置16kg重锤（预留5%余量）。</w:t>
      </w:r>
    </w:p>
    <w:p w14:paraId="54F3BB2B">
      <w:r>
        <w:rPr>
          <w:b/>
        </w:rPr>
        <w:t>气动张紧装置</w:t>
      </w:r>
      <w:r>
        <w:t>：适用于需要频繁启停和动态张力控制的场景（如与堆垛机对接工位），通过气缸（缸径80-125mm）提供张紧力（0-5000N可调），压力通过精密减压阀（调节精度±0.5%设定压力）控制。当输送线启动时，气缸压力增大（张紧力提高20%），防止打滑；停止时压力减小（张紧力降低50%），减少链条/皮带静态应力。该装置响应速度快（调节时间≤0.5s），但需稳定气源（压力0.6-0.8MPa）。</w:t>
      </w:r>
    </w:p>
    <w:p w14:paraId="34CC5DCE">
      <w:pPr>
        <w:pStyle w:val="5"/>
      </w:pPr>
      <w:r>
        <w:t>3.1.4 支撑框架与冷却模块</w:t>
      </w:r>
    </w:p>
    <w:p w14:paraId="164B53D6">
      <w:r>
        <w:t>支撑框架是输送线的结构基础，冷却模块实现模具的梯度降温，两者协同确保系统稳定运行。</w:t>
      </w:r>
    </w:p>
    <w:p w14:paraId="6B5BBFF8">
      <w:r>
        <w:rPr>
          <w:b/>
        </w:rPr>
        <w:t>支撑框架</w:t>
      </w:r>
      <w:r>
        <w:t>：根据负载和环境选择材质，轻型输送线（≤300kg/m）采用工业铝型材（3030/4040系列，槽宽8mm），通过角件和T型螺栓连接，安装快捷（组装时间缩短40%），重量轻（比钢制框架轻30%）。中型输送线（300-500kg/m）采用方管焊接框架（50×50mm方管，壁厚3mm），表面喷涂环氧树脂（耐盐雾500小时），适用于一般工业环境。重型输送线（＞500kg/m）采用H型钢（HW100×100）作为主梁，立柱间距2-3m，底部通过膨胀螺栓（M20×200mm）固定于混凝土基础（地基承载力≥200kPa），框架挠度≤1/1000跨度。</w:t>
      </w:r>
    </w:p>
    <w:p w14:paraId="6B6A99C8">
      <w:r>
        <w:rPr>
          <w:b/>
        </w:rPr>
        <w:t>冷却模块</w:t>
      </w:r>
      <w:r>
        <w:t>：集成风机组、风道系统和温控装置，实现模具从400℃到70℃的梯度冷却。风机组为3-6台离心风机（单台功率7.5kW，风量15000m³/h），安装于输送线顶部，出风口设置导流板（角度30°±5°），使气流均匀吹向模具表面（风速10-15m/s）。风道采用镀锌钢板（厚度1.0mm）折弯成型，内表面贴吸音棉（厚度20mm），降低噪音（运行噪音≤85dB）。</w:t>
      </w:r>
    </w:p>
    <w:p w14:paraId="4A04A789">
      <w:r>
        <w:t>温控装置由温度传感器（K型热电偶，测量范围0-400℃，精度±1℃）、PLC和变频器组成，根据入口模具温度自动调节风机运行数量（如400℃时启动6台风机，200℃时启动3台风机），冷却速率控制在5-10℃/min（避免线圈开裂）。出口温度通过红外测温仪（响应时间≤100ms）监测，当温度＞70℃时，自动延长冷却时间（输送线暂停30秒）。</w:t>
      </w:r>
    </w:p>
    <w:p w14:paraId="7DFA8E68">
      <w:pPr>
        <w:pStyle w:val="4"/>
      </w:pPr>
      <w:r>
        <w:t>3.2 机械工作原理</w:t>
      </w:r>
    </w:p>
    <w:p w14:paraId="43A90016">
      <w:pPr>
        <w:pStyle w:val="5"/>
      </w:pPr>
      <w:r>
        <w:t>3.2.1 动力传递与速度调节</w:t>
      </w:r>
    </w:p>
    <w:p w14:paraId="6AE0880B">
      <w:r>
        <w:t>输送线的动力传递从电机输出到模具运动，经历“减速增扭-运动转换-负载驱动”过程，速度调节通过电气控制实现无级调速。</w:t>
      </w:r>
    </w:p>
    <w:p w14:paraId="3A95E7D2">
      <w:r>
        <w:rPr>
          <w:b/>
        </w:rPr>
        <w:t>动力传递路径</w:t>
      </w:r>
      <w:r>
        <w:t>：以链式输送线为例，电机输出转速n₁（1450r/min）经减速机减速后，输出转速n₂=n₁/i（i为速比，如i=100时n₂=14.5r/min）。减速机通过联轴器驱动主动链轮（分度圆直径d=100mm），链轮线速度v=π×d×n₂/60=π×0.1×14.5/60≈0.076m/s=4.56m/min。链条与链轮啮合带动模具运动，模具速度与链条线速度一致（忽略打滑）。带式输送线动力传递类似，主动滚筒线速度v=π×D×n₂/60（D为滚筒直径），输送带与模具同步运动（静摩擦力驱动）。</w:t>
      </w:r>
    </w:p>
    <w:p w14:paraId="15A5AD4B">
      <w:r>
        <w:rPr>
          <w:b/>
        </w:rPr>
        <w:t>速度调节原理</w:t>
      </w:r>
      <w:r>
        <w:t>：采用变频调速技术，通过改变电机电源频率（5-50Hz）实现速度连续调节。变频器输出频率f与电机转速n的关系为n=60f(1-s)/p（s为转差率，p为极对数），对于4极电机（p=2），f=50Hz时n=1450r/min（s=0.033）；f=25Hz时n=725r/min。速度调节精度±0.5%（在5-50Hz范围内），响应时间≤100ms（从0到额定速度的时间＜3s）。</w:t>
      </w:r>
    </w:p>
    <w:p w14:paraId="2B48315A">
      <w:r>
        <w:rPr>
          <w:b/>
        </w:rPr>
        <w:t>多段速控制</w:t>
      </w:r>
      <w:r>
        <w:t>：根据工艺需求设置不同速度段，如输送段高速（1.5m/s）、定位段低速（0.5m/s）、对接段微速（0.1m/s）。PLC通过数字量输出端子控制变频器多段速端子（如端子X1=高速，X2=低速），实现速度切换（切换时间＜0.5s）。例如，模具从冷却库出库后，输送线以1.0m/s高速运行至检测工位前2m处，切换至0.3m/s低速，确保精确定位（误差≤±0.5mm）。</w:t>
      </w:r>
    </w:p>
    <w:p w14:paraId="003F65E9">
      <w:pPr>
        <w:pStyle w:val="5"/>
      </w:pPr>
      <w:r>
        <w:t>3.2.2 物料输送与定位协调</w:t>
      </w:r>
    </w:p>
    <w:p w14:paraId="2D8C028A">
      <w:r>
        <w:t>输送线与堆垛机、检测设备的物料交接依赖精准的定位控制和动作协调，通过“预定位-精定位-交接确认”流程实现无缝衔接。</w:t>
      </w:r>
    </w:p>
    <w:p w14:paraId="568DC346">
      <w:r>
        <w:rPr>
          <w:b/>
        </w:rPr>
        <w:t>预定位</w:t>
      </w:r>
      <w:r>
        <w:t>：当模具从堆垛机放置于输送线时，输送线入口处的漫反射光电传感器（检测距离500mm）检测到模具，触发PLC启动预定位程序。输送线以0.5m/s速度运行，当模具前端到达预定位挡块（机械限位）时，减速至0.1m/s，为精定位做准备（预定位误差±5mm）。</w:t>
      </w:r>
    </w:p>
    <w:p w14:paraId="48E18A0C">
      <w:r>
        <w:rPr>
          <w:b/>
        </w:rPr>
        <w:t>精定位</w:t>
      </w:r>
      <w:r>
        <w:t>：精定位采用“编码器+定位销”组合，编码器（2500线）安装于从动滚筒轴端，实时反馈模具位置（分辨率0.01mm）；定位销气缸（缸径32mm，行程30mm）安装于输送线侧面，当编码器检测到模具到达目标位置（如检测工位中心）时，PLC控制定位销伸出，插入模具侧面定位孔（配合间隙0.1-0.3mm），定位精度±0.1mm。</w:t>
      </w:r>
    </w:p>
    <w:p w14:paraId="77101098">
      <w:r>
        <w:rPr>
          <w:b/>
        </w:rPr>
        <w:t>交接协调</w:t>
      </w:r>
      <w:r>
        <w:t>：输送线与堆垛机的交接需满足“位置同步-速度同步-信号互锁”条件。位置同步通过激光对射传感器确认（堆垛机货叉与输送线台面高度差≤2mm）；速度同步要求两者相对速度差≤0.05m/s（如堆垛机以0.3m/s速度放置模具时，输送线同步运行0.3m/s）；信号互锁确保“堆垛机货叉完全缩回后输送线才能启动”“输送线定位完成后堆垛机才能放货”，防止碰撞（互锁响应时间≤100ms）。</w:t>
      </w:r>
    </w:p>
    <w:p w14:paraId="41E57A2E">
      <w:pPr>
        <w:pStyle w:val="5"/>
      </w:pPr>
      <w:r>
        <w:t>3.2.3 冷却系统工作机制</w:t>
      </w:r>
    </w:p>
    <w:p w14:paraId="1C532532">
      <w:r>
        <w:t>冷却系统通过强制风冷实现模具的梯度降温，核心在于控制风量、风速和气流分布，确保冷却均匀（温差≤5℃）和效率达标（400℃→70℃/30min）。</w:t>
      </w:r>
    </w:p>
    <w:p w14:paraId="1F1ED2A5">
      <w:r>
        <w:rPr>
          <w:b/>
        </w:rPr>
        <w:t>风量调节</w:t>
      </w:r>
      <w:r>
        <w:t>：根据模具入口温度自动调节风机运行数量，温度传感器（安装于冷却段入口）实时监测模具温度（如400℃±10℃），PLC根据预设曲线控制风机启停（如温度＞350℃启动6台风机，200-350℃启动3台，＜200℃启动1台）。风机采用变频控制，风量调节范围30%-100%（通过改变频率5-50Hz实现），确保冷却速率稳定（5℃/min）。</w:t>
      </w:r>
    </w:p>
    <w:p w14:paraId="5D125EB0">
      <w:r>
        <w:rPr>
          <w:b/>
        </w:rPr>
        <w:t>气流组织</w:t>
      </w:r>
      <w:r>
        <w:t>：采用“顶出风侧回风”设计，风机安装于冷却段顶部，出风口设置蜂窝式均流板（孔径10mm），使气流均匀分布（风速偏差≤10%）；回风口设置于输送线两侧（高度500mm），形成“上送风-侧回风”气流循环（循环次数25次/小时）。模具下方安装托辊式透气台面（镂空率≥60%），避免底部气流死角（温度均匀性±3℃）。</w:t>
      </w:r>
    </w:p>
    <w:p w14:paraId="675D4070">
      <w:r>
        <w:rPr>
          <w:b/>
        </w:rPr>
        <w:t>温度闭环控制</w:t>
      </w:r>
      <w:r>
        <w:t>：PLC通过PID算法调节风机频率，实现出口温度精准控制（设定值70℃，精度±1℃）。PID参数根据冷却特性整定（比例系数Kp=5-15，积分时间Ti=10-30s，微分时间Td=5-10s），当出口温度＞70℃时，增大风机频率（增加风量）；＜70℃时，减小风机频率（降低风量）。温度采样周期1s，控制周期100ms，确保动态响应快速（从干扰发生到恢复稳定＜5min）。</w:t>
      </w:r>
    </w:p>
    <w:p w14:paraId="44150D32">
      <w:pPr>
        <w:pStyle w:val="4"/>
      </w:pPr>
      <w:r>
        <w:t>3.3 控制系统原理</w:t>
      </w:r>
    </w:p>
    <w:p w14:paraId="139B9CB7">
      <w:pPr>
        <w:pStyle w:val="5"/>
      </w:pPr>
      <w:r>
        <w:t>3.3.1 PLC控制逻辑与网络架构</w:t>
      </w:r>
    </w:p>
    <w:p w14:paraId="75ECF750">
      <w:r>
        <w:t>输送线控制系统以PLC为核心，通过分布式I/O和工业总线实现多设备协同控制，构建“集中管理-分散控制”网络架构。</w:t>
      </w:r>
    </w:p>
    <w:p w14:paraId="7367A9AF">
      <w:r>
        <w:rPr>
          <w:b/>
        </w:rPr>
        <w:t>PLC硬件配置</w:t>
      </w:r>
      <w:r>
        <w:t>：主控制器选用西门子S7-1200系列PLC（如CPU 1214C DC/DC/DC），集成14点DI、10点DO、4点AI、2点AO，扩展模块包括数字量I/O模块（SM 1223，16DI/16DO）、模拟量I/O模块（SM 1234，4AI/2AO）和Profinet通信模块（SM 1243-1）。I/O模块安装于控制柜内，通过Profinet总线连接远程I/O站（如ET 200SP，安装于输送线附近），减少布线长度（节省电缆30%）。</w:t>
      </w:r>
    </w:p>
    <w:p w14:paraId="67CBADFF">
      <w:r>
        <w:rPr>
          <w:b/>
        </w:rPr>
        <w:t>控制逻辑模块</w:t>
      </w:r>
      <w:r>
        <w:t>：包括初始化模块、手动/自动控制模块、工艺控制模块和故障处理模块。初始化模块检查传感器、驱动器状态，异常时报警；手动模块通过HMI按钮控制单段输送线启停；自动模块执行预设输送流程（如“冷却库→检测工位→AGV对接”）；工艺控制模块实现温度闭环控制（冷却系统）和速度闭环控制（输送系统）；故障处理模块监测过载、堵料等异常，触发时停止相关输送段并报警。</w:t>
      </w:r>
    </w:p>
    <w:p w14:paraId="4AED407A">
      <w:r>
        <w:rPr>
          <w:b/>
        </w:rPr>
        <w:t>网络架构</w:t>
      </w:r>
      <w:r>
        <w:t>：采用Profinet总线实现PLC与变频器、传感器、HMI的通信（传输速率100Mbps，周期通信≤1ms）；通过Modbus RTU协议（RS485）与堆垛机控制系统通信，交换模具位置、状态信息；通过以太网与车间MES系统通信，上传生产数据（产量、冷却时间、设备状态），接收生产计划指令。网络拓扑为总线型（短距离）或星型（长距离），配备网络交换机（如西门子X204-2），支持冗余通信（某段网线故障时自动切换备用路径）。</w:t>
      </w:r>
    </w:p>
    <w:p w14:paraId="1D9A16FE">
      <w:pPr>
        <w:pStyle w:val="5"/>
      </w:pPr>
      <w:r>
        <w:t>3.3.2 温度与速度闭环控制</w:t>
      </w:r>
    </w:p>
    <w:p w14:paraId="4BA84DDE">
      <w:r>
        <w:t>输送线系统的温度和速度闭环控制是确保工艺质量的核心，通过传感器反馈和PID调节实现精准控制。</w:t>
      </w:r>
    </w:p>
    <w:p w14:paraId="47B444CD">
      <w:r>
        <w:rPr>
          <w:b/>
        </w:rPr>
        <w:t>温度闭环控制</w:t>
      </w:r>
      <w:r>
        <w:t>：冷却段温度控制目标为入口400℃→出口70℃，控制对象为风机组频率（5-50Hz）。温度传感器（K型热电偶）安装于冷却段入口和出口，采样周期1s，将温度信号（4-20mA）送入PLC模拟量输入模块。PLC执行PID算法，计算风机频率调节量Δf=Kp(e+∫edt/Ti+Td de/dt)（e为温度偏差=设定值-实际值）。当出口温度＜70℃时，减小Δf（降低风机频率）；＞70℃时，增大Δf（提高风机频率）。控制精度±1℃（在20-400℃范围内），超调量≤5%（从室温到70℃的超调＜3.5℃）。</w:t>
      </w:r>
    </w:p>
    <w:p w14:paraId="0DAA20FB">
      <w:r>
        <w:rPr>
          <w:b/>
        </w:rPr>
        <w:t>速度闭环控制</w:t>
      </w:r>
      <w:r>
        <w:t>：输送线速度控制目标为0.5-1.5m/min（可调），控制对象为变频器输出频率。编码器（2500线）安装于从动滚筒，反馈实际速度（脉冲信号送入PLC高速计数模块），PLC将实际速度与设定速度比较，通过PID调节变频器频率（4-20mA模拟量输出）。速度控制精度±0.5%（如设定1.0m/s时，实际速度0.995-1.005m/s），动态响应时间≤200ms（负载变化10%时，恢复时间＜0.5s）。</w:t>
      </w:r>
    </w:p>
    <w:p w14:paraId="120156C5">
      <w:r>
        <w:rPr>
          <w:b/>
        </w:rPr>
        <w:t>协同控制</w:t>
      </w:r>
      <w:r>
        <w:t>：温度与速度控制协同工作，当入口模具温度过高（如420℃，超过设定值20℃）时，PLC自动降低输送速度（从1.0m/s降至0.7m/s），延长冷却时间（从30min增至43min），确保出口温度≤70℃。协同控制逻辑通过PLC程序实现，参数可通过HMI设置（如温度偏差与速度修正系数），适应不同材质模具（铝、铸铁、钢）的冷却需求。</w:t>
      </w:r>
    </w:p>
    <w:p w14:paraId="59C97044">
      <w:pPr>
        <w:pStyle w:val="5"/>
      </w:pPr>
      <w:r>
        <w:t>3.3.3 异常检测与安全联锁</w:t>
      </w:r>
    </w:p>
    <w:p w14:paraId="346F68B6">
      <w:r>
        <w:t>输送线系统的异常检测与安全联锁机制确保设备和人员安全，防止事故发生和扩大。</w:t>
      </w:r>
    </w:p>
    <w:p w14:paraId="4D98CF6E">
      <w:r>
        <w:rPr>
          <w:b/>
        </w:rPr>
        <w:t>异常检测</w:t>
      </w:r>
      <w:r>
        <w:t>：包括堵料检测、偏载检测、温度异常检测。堵料检测通过安装于输送线底部的拉绳开关（如施耐德XCS系列）实现，当模具堵塞时，操作人员拉动拉绳，触发急停；偏载检测通过安装于输送线两侧的光电传感器（对射式）实现，当模具偏移量＞10mm时，发出报警信号；温度异常检测通过监测冷却段出口温度，当温度＞80℃（超上限10℃）时，停止输送并报警。</w:t>
      </w:r>
    </w:p>
    <w:p w14:paraId="424BF1EA">
      <w:r>
        <w:rPr>
          <w:b/>
        </w:rPr>
        <w:t>安全联锁</w:t>
      </w:r>
      <w:r>
        <w:t>：设置多重安全保护，确保“不安全状态下不动作”。急停联锁：急停按钮（蘑菇头式，红色）按下时，切断所有电机电源，制动器抱闸；安全门联锁：输送线维修安全门（如长度＞3m时设置）关闭后，安全门开关（磁性开关）闭合，才能启动输送线；过载联锁：变频器检测到电机电流超过额定值150%（持续1s）时，输出过载信号，PLC停止电机并报警；双手启动联锁：启动输送线时，需同时按下两个启动按钮（间距＞500mm），防止单手操作时手在危险区域。</w:t>
      </w:r>
    </w:p>
    <w:p w14:paraId="663CE482">
      <w:r>
        <w:rPr>
          <w:b/>
        </w:rPr>
        <w:t>故障响应</w:t>
      </w:r>
      <w:r>
        <w:t>：异常发生时，PLC立即停止相关输送段（如堵料时停止堵料段及上游段，下游段继续运行至清空），触发声光报警（蜂鸣器+黄色警示灯闪烁），HMI显示故障代码和处理建议（如“E201：冷却段风机过载，检查滤网”）。故障信息存储于PLC数据记录区（容量1000条），可通过HMI查询历史故障（按时间、类型筛选），便于维护分析。</w:t>
      </w:r>
    </w:p>
    <w:p w14:paraId="5AAD0F9B">
      <w:pPr>
        <w:pStyle w:val="3"/>
      </w:pPr>
      <w:r>
        <w:t>四、常见故障诊断与处理</w:t>
      </w:r>
    </w:p>
    <w:p w14:paraId="52A9B093">
      <w:pPr>
        <w:pStyle w:val="4"/>
      </w:pPr>
      <w:r>
        <w:t>4.1 冷却库堆垛机系统故障</w:t>
      </w:r>
    </w:p>
    <w:p w14:paraId="0BC51F0F">
      <w:pPr>
        <w:pStyle w:val="5"/>
      </w:pPr>
      <w:r>
        <w:t>4.1.1 机械系统故障</w:t>
      </w:r>
    </w:p>
    <w:p w14:paraId="14741B97">
      <w:r>
        <w:rPr>
          <w:b/>
        </w:rPr>
        <w:t>传动部件磨损</w:t>
      </w:r>
    </w:p>
    <w:p w14:paraId="276ED915">
      <w:pPr>
        <w:numPr>
          <w:ilvl w:val="0"/>
          <w:numId w:val="13"/>
        </w:numPr>
        <w:spacing w:before="0" w:beforeAutospacing="1" w:after="0" w:afterAutospacing="1"/>
        <w:ind w:left="720" w:hanging="360"/>
      </w:pPr>
      <w:r>
        <w:rPr>
          <w:b/>
        </w:rPr>
        <w:t>故障现象</w:t>
      </w:r>
      <w:r>
        <w:t>：行走、升降或货叉伸缩时出现异响（“咔咔”声），定位精度超差（＞±5mm），振动加速度＞0.2g。</w:t>
      </w:r>
    </w:p>
    <w:p w14:paraId="54B90894">
      <w:pPr>
        <w:numPr>
          <w:ilvl w:val="0"/>
          <w:numId w:val="13"/>
        </w:numPr>
        <w:spacing w:before="0" w:beforeAutospacing="1" w:after="0" w:afterAutospacing="1"/>
        <w:ind w:left="720" w:hanging="360"/>
      </w:pPr>
      <w:r>
        <w:rPr>
          <w:b/>
        </w:rPr>
        <w:t>成因分析</w:t>
      </w:r>
      <w:r>
        <w:t>：齿轮齿条啮合间隙增大（＞0.3mm），齿面磨损（齿厚减少0.2mm以上）；滚珠丝杠轴向间隙超标（＞0.05mm），导轨滑块磨损（间隙＞0.2mm）；润滑不足导致金属直接摩擦，或异物进入运动副（如铁屑、粉尘）形成磨粒磨损。</w:t>
      </w:r>
    </w:p>
    <w:p w14:paraId="301A341A">
      <w:pPr>
        <w:numPr>
          <w:ilvl w:val="0"/>
          <w:numId w:val="13"/>
        </w:numPr>
        <w:spacing w:before="0" w:beforeAutospacing="1" w:after="0" w:afterAutospacing="1"/>
        <w:ind w:left="720" w:hanging="360"/>
      </w:pPr>
      <w:r>
        <w:rPr>
          <w:b/>
        </w:rPr>
        <w:t>诊断方法</w:t>
      </w:r>
      <w:r>
        <w:t>：用塞尺测量齿轮齿条啮合间隙（正常值0.1-0.3mm）；用千分表检测丝杠轴向间隙（推动丝杠，表针变化量即为间隙）；用振动分析仪检测振动频谱，若出现2倍频（齿轮啮合频率）峰值，判定齿轮磨损。</w:t>
      </w:r>
    </w:p>
    <w:p w14:paraId="7D93A50C">
      <w:pPr>
        <w:numPr>
          <w:ilvl w:val="0"/>
          <w:numId w:val="13"/>
        </w:numPr>
        <w:spacing w:before="0" w:beforeAutospacing="1" w:after="0" w:afterAutospacing="1"/>
        <w:ind w:left="720" w:hanging="360"/>
      </w:pPr>
      <w:r>
        <w:rPr>
          <w:b/>
        </w:rPr>
        <w:t>处理对策</w:t>
      </w:r>
      <w:r>
        <w:t>：齿轮齿条磨损时，调整齿条位置（前后移动）减小间隙，磨损严重时更换（新齿轮齿厚偏差≤0.05mm）；丝杠间隙超标时，更换预紧螺母或丝杠副；清理运动副异物，加注高温锂基润滑脂（NLGI 2级，每50小时加注一次）。</w:t>
      </w:r>
    </w:p>
    <w:p w14:paraId="71C796B6">
      <w:r>
        <w:rPr>
          <w:b/>
        </w:rPr>
        <w:t>机构卡滞</w:t>
      </w:r>
    </w:p>
    <w:p w14:paraId="7D56A96D">
      <w:pPr>
        <w:numPr>
          <w:ilvl w:val="0"/>
          <w:numId w:val="14"/>
        </w:numPr>
        <w:spacing w:before="0" w:beforeAutospacing="1" w:after="0" w:afterAutospacing="1"/>
        <w:ind w:left="720" w:hanging="360"/>
      </w:pPr>
      <w:r>
        <w:rPr>
          <w:b/>
        </w:rPr>
        <w:t>故障现象</w:t>
      </w:r>
      <w:r>
        <w:t>：某轴运动时阻力突然增大，电机电流升高（超过额定值50%），甚至无法运动，PLC报“过载”或“超时未到位”故障。</w:t>
      </w:r>
    </w:p>
    <w:p w14:paraId="464D0B94">
      <w:pPr>
        <w:numPr>
          <w:ilvl w:val="0"/>
          <w:numId w:val="14"/>
        </w:numPr>
        <w:spacing w:before="0" w:beforeAutospacing="1" w:after="0" w:afterAutospacing="1"/>
        <w:ind w:left="720" w:hanging="360"/>
      </w:pPr>
      <w:r>
        <w:rPr>
          <w:b/>
        </w:rPr>
        <w:t>成因分析</w:t>
      </w:r>
      <w:r>
        <w:t>：导轨变形（直线度误差＞0.5mm/m），或安装基座松动（水平度超差）；货叉导向轮卡死（轴承缺油或损坏）；链条张紧度过大（下垂量＜5mm/1m跨度），或异物卡入链条与链轮之间。</w:t>
      </w:r>
    </w:p>
    <w:p w14:paraId="15F2C00B">
      <w:pPr>
        <w:numPr>
          <w:ilvl w:val="0"/>
          <w:numId w:val="14"/>
        </w:numPr>
        <w:spacing w:before="0" w:beforeAutospacing="1" w:after="0" w:afterAutospacing="1"/>
        <w:ind w:left="720" w:hanging="360"/>
      </w:pPr>
      <w:r>
        <w:rPr>
          <w:b/>
        </w:rPr>
        <w:t>诊断方法</w:t>
      </w:r>
      <w:r>
        <w:t>：分段手动盘动传动部件（如丝杠、齿轮），判断卡滞位置；用水平仪检测导轨水平度，用百分表检测导轨直线度；检查链条张紧度（手压链条，下垂量应在10-20mm）。</w:t>
      </w:r>
    </w:p>
    <w:p w14:paraId="013CFE12">
      <w:pPr>
        <w:numPr>
          <w:ilvl w:val="0"/>
          <w:numId w:val="14"/>
        </w:numPr>
        <w:spacing w:before="0" w:beforeAutospacing="1" w:after="0" w:afterAutospacing="1"/>
        <w:ind w:left="720" w:hanging="360"/>
      </w:pPr>
      <w:r>
        <w:rPr>
          <w:b/>
        </w:rPr>
        <w:t>处理对策</w:t>
      </w:r>
      <w:r>
        <w:t>：导轨变形时，用千斤顶校直（加热至600-800℃辅助校正），或更换导轨；导向轮轴承损坏时，更换轴承（型号匹配，如6205轴承），加注润滑脂；清理异物，调整链条张紧度至标准范围。</w:t>
      </w:r>
    </w:p>
    <w:p w14:paraId="4E1C6FCC">
      <w:pPr>
        <w:pStyle w:val="5"/>
      </w:pPr>
      <w:r>
        <w:t>4.1.2 电气控制系统故障</w:t>
      </w:r>
    </w:p>
    <w:p w14:paraId="06D4DDCE">
      <w:r>
        <w:rPr>
          <w:b/>
        </w:rPr>
        <w:t>传感器失效</w:t>
      </w:r>
    </w:p>
    <w:p w14:paraId="2BF5CAB2">
      <w:pPr>
        <w:numPr>
          <w:ilvl w:val="0"/>
          <w:numId w:val="15"/>
        </w:numPr>
        <w:spacing w:before="0" w:beforeAutospacing="1" w:after="0" w:afterAutospacing="1"/>
        <w:ind w:left="720" w:hanging="360"/>
      </w:pPr>
      <w:r>
        <w:rPr>
          <w:b/>
        </w:rPr>
        <w:t>故障现象</w:t>
      </w:r>
      <w:r>
        <w:t>：激光测距仪无信号（显示“----”），或信号跳变（波动＞±5mm）；光电传感器误触发（无模具时检测到模具），或不触发（有模具时无信号）。</w:t>
      </w:r>
    </w:p>
    <w:p w14:paraId="401FA302">
      <w:pPr>
        <w:numPr>
          <w:ilvl w:val="0"/>
          <w:numId w:val="15"/>
        </w:numPr>
        <w:spacing w:before="0" w:beforeAutospacing="1" w:after="0" w:afterAutospacing="1"/>
        <w:ind w:left="720" w:hanging="360"/>
      </w:pPr>
      <w:r>
        <w:rPr>
          <w:b/>
        </w:rPr>
        <w:t>成因分析</w:t>
      </w:r>
      <w:r>
        <w:t>：激光测距仪镜头污染（油污、粉尘），透光率＜80%；传感器线缆断线（被拉扯或啮齿动物咬断）；光电传感器角度偏移（未对准检测区域），或灵敏度调节不当（过强或过弱）。</w:t>
      </w:r>
    </w:p>
    <w:p w14:paraId="4F7297E3">
      <w:pPr>
        <w:numPr>
          <w:ilvl w:val="0"/>
          <w:numId w:val="15"/>
        </w:numPr>
        <w:spacing w:before="0" w:beforeAutospacing="1" w:after="0" w:afterAutospacing="1"/>
        <w:ind w:left="720" w:hanging="360"/>
      </w:pPr>
      <w:r>
        <w:rPr>
          <w:b/>
        </w:rPr>
        <w:t>诊断方法</w:t>
      </w:r>
      <w:r>
        <w:t>：用无水乙醇清洁激光镜头，观察信号是否恢复；用万用表测量传感器供电电压（DC24V，正常22-26V），检测线缆通断（电阻＜1Ω为正常）；调整光电传感器角度（旋转支架），或通过 potentiometer 调节灵敏度（顺时针增加，逆时针减小）。</w:t>
      </w:r>
    </w:p>
    <w:p w14:paraId="3833ECF4">
      <w:pPr>
        <w:numPr>
          <w:ilvl w:val="0"/>
          <w:numId w:val="15"/>
        </w:numPr>
        <w:spacing w:before="0" w:beforeAutospacing="1" w:after="0" w:afterAutospacing="1"/>
        <w:ind w:left="720" w:hanging="360"/>
      </w:pPr>
      <w:r>
        <w:rPr>
          <w:b/>
        </w:rPr>
        <w:t>处理对策</w:t>
      </w:r>
      <w:r>
        <w:t>：更换断线线缆（双绞屏蔽线，屏蔽层接地）；重新校准激光测距仪（使用标准距离块）；更换损坏的光电传感器（型号与原型号一致，如欧姆龙E3Z系列）。</w:t>
      </w:r>
    </w:p>
    <w:p w14:paraId="57F056F0">
      <w:r>
        <w:rPr>
          <w:b/>
        </w:rPr>
        <w:t>伺服驱动器报警</w:t>
      </w:r>
    </w:p>
    <w:p w14:paraId="0844A4B0">
      <w:pPr>
        <w:numPr>
          <w:ilvl w:val="0"/>
          <w:numId w:val="16"/>
        </w:numPr>
        <w:spacing w:before="0" w:beforeAutospacing="1" w:after="0" w:afterAutospacing="1"/>
        <w:ind w:left="720" w:hanging="360"/>
      </w:pPr>
      <w:r>
        <w:rPr>
          <w:b/>
        </w:rPr>
        <w:t>故障现象</w:t>
      </w:r>
      <w:r>
        <w:t>：驱动器显示报警代码（如F022过载、F025编码器故障），电机不启动或运行中停机。</w:t>
      </w:r>
    </w:p>
    <w:p w14:paraId="3EFF5309">
      <w:pPr>
        <w:numPr>
          <w:ilvl w:val="0"/>
          <w:numId w:val="16"/>
        </w:numPr>
        <w:spacing w:before="0" w:beforeAutospacing="1" w:after="0" w:afterAutospacing="1"/>
        <w:ind w:left="720" w:hanging="360"/>
      </w:pPr>
      <w:r>
        <w:rPr>
          <w:b/>
        </w:rPr>
        <w:t>成因分析</w:t>
      </w:r>
      <w:r>
        <w:t>：过载报警（F022）：负载过大（模具超重），或机械卡滞（如导轨润滑不足）；编码器故障（F025）：编码器线缆屏蔽不良（受电磁干扰），或编码器内部损坏（码盘磨损）；过压报警（F002）：电网电压过高（＞418V），或制动电阻损坏（阻值变大）。</w:t>
      </w:r>
    </w:p>
    <w:p w14:paraId="273CB249">
      <w:pPr>
        <w:numPr>
          <w:ilvl w:val="0"/>
          <w:numId w:val="16"/>
        </w:numPr>
        <w:spacing w:before="0" w:beforeAutospacing="1" w:after="0" w:afterAutospacing="1"/>
        <w:ind w:left="720" w:hanging="360"/>
      </w:pPr>
      <w:r>
        <w:rPr>
          <w:b/>
        </w:rPr>
        <w:t>诊断方法</w:t>
      </w:r>
      <w:r>
        <w:t>：测量电机运行电流（正常≤额定电流），检查机械负载是否卡滞；用示波器观察编码器信号（A/B相正交脉冲），是否有缺失或干扰；测量电网电压（正常380±5%），检测制动电阻阻值（标准值100±5Ω）。</w:t>
      </w:r>
    </w:p>
    <w:p w14:paraId="600EA2E1">
      <w:pPr>
        <w:numPr>
          <w:ilvl w:val="0"/>
          <w:numId w:val="16"/>
        </w:numPr>
        <w:spacing w:before="0" w:beforeAutospacing="1" w:after="0" w:afterAutospacing="1"/>
        <w:ind w:left="720" w:hanging="360"/>
      </w:pPr>
      <w:r>
        <w:rPr>
          <w:b/>
        </w:rPr>
        <w:t>处理对策</w:t>
      </w:r>
      <w:r>
        <w:t>：减轻负载（检查模具重量是否超标），清理卡滞异物；更换编码器线缆（双绞屏蔽线，单端接地），或更换编码器；安装稳压器（电压波动＞±10%时），更换损坏的制动电阻。</w:t>
      </w:r>
    </w:p>
    <w:p w14:paraId="58EA6958">
      <w:pPr>
        <w:pStyle w:val="5"/>
      </w:pPr>
      <w:r>
        <w:t>4.1.3 高温环境特有的故障</w:t>
      </w:r>
    </w:p>
    <w:p w14:paraId="3985C8A6">
      <w:r>
        <w:rPr>
          <w:b/>
        </w:rPr>
        <w:t>润滑脂干结</w:t>
      </w:r>
    </w:p>
    <w:p w14:paraId="7A82E951">
      <w:pPr>
        <w:numPr>
          <w:ilvl w:val="0"/>
          <w:numId w:val="17"/>
        </w:numPr>
        <w:spacing w:before="0" w:beforeAutospacing="1" w:after="0" w:afterAutospacing="1"/>
        <w:ind w:left="720" w:hanging="360"/>
      </w:pPr>
      <w:r>
        <w:rPr>
          <w:b/>
        </w:rPr>
        <w:t>故障现象</w:t>
      </w:r>
      <w:r>
        <w:t>：高温环境（＞200℃）下，齿轮齿条、轴承润滑脂干结（滴点＜250℃），运动阻力增大，电机电流升高15%-20%。</w:t>
      </w:r>
    </w:p>
    <w:p w14:paraId="671A1412">
      <w:pPr>
        <w:numPr>
          <w:ilvl w:val="0"/>
          <w:numId w:val="17"/>
        </w:numPr>
        <w:spacing w:before="0" w:beforeAutospacing="1" w:after="0" w:afterAutospacing="1"/>
        <w:ind w:left="720" w:hanging="360"/>
      </w:pPr>
      <w:r>
        <w:rPr>
          <w:b/>
        </w:rPr>
        <w:t>成因分析</w:t>
      </w:r>
      <w:r>
        <w:t>：选用普通润滑脂（滴点180℃），高温下基础油蒸发，皂基碳化，形成硬质残渣，摩擦系数增大（从0.1增至0.3）。</w:t>
      </w:r>
    </w:p>
    <w:p w14:paraId="5CDCEACB">
      <w:pPr>
        <w:numPr>
          <w:ilvl w:val="0"/>
          <w:numId w:val="17"/>
        </w:numPr>
        <w:spacing w:before="0" w:beforeAutospacing="1" w:after="0" w:afterAutospacing="1"/>
        <w:ind w:left="720" w:hanging="360"/>
      </w:pPr>
      <w:r>
        <w:rPr>
          <w:b/>
        </w:rPr>
        <w:t>诊断方法</w:t>
      </w:r>
      <w:r>
        <w:t>：拆卸运动部件，观察润滑脂状态（正常为均匀油膜，干结后为块状或粉末状）；测量运行阻力（用测力计拉动部件，正常阻力＜500N，干结后＞1000N）。</w:t>
      </w:r>
    </w:p>
    <w:p w14:paraId="50551395">
      <w:pPr>
        <w:numPr>
          <w:ilvl w:val="0"/>
          <w:numId w:val="17"/>
        </w:numPr>
        <w:spacing w:before="0" w:beforeAutospacing="1" w:after="0" w:afterAutospacing="1"/>
        <w:ind w:left="720" w:hanging="360"/>
      </w:pPr>
      <w:r>
        <w:rPr>
          <w:b/>
        </w:rPr>
        <w:t>处理对策</w:t>
      </w:r>
      <w:r>
        <w:t>：更换高温润滑脂（如聚脲脂，滴点≥300℃），清理旧脂（用煤油冲洗）；缩短润滑周期（从每月一次改为每周一次）；在齿轮齿条啮合处安装润滑脂加注器（自动定时加注，每次3g）。</w:t>
      </w:r>
    </w:p>
    <w:p w14:paraId="592D9179">
      <w:r>
        <w:rPr>
          <w:b/>
        </w:rPr>
        <w:t>金属热变形</w:t>
      </w:r>
    </w:p>
    <w:p w14:paraId="4D60A5A7">
      <w:pPr>
        <w:numPr>
          <w:ilvl w:val="0"/>
          <w:numId w:val="18"/>
        </w:numPr>
        <w:spacing w:before="0" w:beforeAutospacing="1" w:after="0" w:afterAutospacing="1"/>
        <w:ind w:left="720" w:hanging="360"/>
      </w:pPr>
      <w:r>
        <w:rPr>
          <w:b/>
        </w:rPr>
        <w:t>故障现象</w:t>
      </w:r>
      <w:r>
        <w:t>：高温环境下，行走轨道、立柱等金属结构热膨胀，导致堆垛机卡滞（水平方向）或升降不平稳（垂直方向），定位精度超差（＞±5mm）。</w:t>
      </w:r>
    </w:p>
    <w:p w14:paraId="34785680">
      <w:pPr>
        <w:numPr>
          <w:ilvl w:val="0"/>
          <w:numId w:val="18"/>
        </w:numPr>
        <w:spacing w:before="0" w:beforeAutospacing="1" w:after="0" w:afterAutospacing="1"/>
        <w:ind w:left="720" w:hanging="360"/>
      </w:pPr>
      <w:r>
        <w:rPr>
          <w:b/>
        </w:rPr>
        <w:t>成因分析</w:t>
      </w:r>
      <w:r>
        <w:t>：轨道安装时未预留热膨胀间隙（温度升高50℃时，10m长轨道膨胀量0.6mm）；立柱与横梁刚性连接，无热膨胀补偿装置，高温下扭曲变形。</w:t>
      </w:r>
    </w:p>
    <w:p w14:paraId="30E92907">
      <w:pPr>
        <w:numPr>
          <w:ilvl w:val="0"/>
          <w:numId w:val="18"/>
        </w:numPr>
        <w:spacing w:before="0" w:beforeAutospacing="1" w:after="0" w:afterAutospacing="1"/>
        <w:ind w:left="720" w:hanging="360"/>
      </w:pPr>
      <w:r>
        <w:rPr>
          <w:b/>
        </w:rPr>
        <w:t>诊断方法</w:t>
      </w:r>
      <w:r>
        <w:t>：用激光干涉仪测量轨道在不同温度下的长度变化（如20℃时10.000m，80℃时10.007m）；用百分表测量立柱垂直度变化（常温时0.1mm/m，高温时0.5mm/m）。</w:t>
      </w:r>
    </w:p>
    <w:p w14:paraId="12504163">
      <w:pPr>
        <w:numPr>
          <w:ilvl w:val="0"/>
          <w:numId w:val="18"/>
        </w:numPr>
        <w:spacing w:before="0" w:beforeAutospacing="1" w:after="0" w:afterAutospacing="1"/>
        <w:ind w:left="720" w:hanging="360"/>
      </w:pPr>
      <w:r>
        <w:rPr>
          <w:b/>
        </w:rPr>
        <w:t>处理对策</w:t>
      </w:r>
      <w:r>
        <w:t>：轨道接头处预留热膨胀间隙（50℃温差预留1mm/10m），安装滑动接头；立柱与横梁连接处安装热膨胀补偿装置（如滑动支座，允许±20mm位移）；采用温度-位移补偿算法，PLC根据温度传感器信号实时修正位置指令（如温度每升高10℃，补偿+0.12mm/m）。</w:t>
      </w:r>
    </w:p>
    <w:p w14:paraId="7032E3F1">
      <w:pPr>
        <w:pStyle w:val="4"/>
      </w:pPr>
      <w:r>
        <w:t>4.2 输送线系统故障</w:t>
      </w:r>
    </w:p>
    <w:p w14:paraId="19ED4B36">
      <w:pPr>
        <w:pStyle w:val="5"/>
      </w:pPr>
      <w:r>
        <w:t>4.2.1 机械传动故障</w:t>
      </w:r>
    </w:p>
    <w:p w14:paraId="4787B22E">
      <w:r>
        <w:rPr>
          <w:b/>
        </w:rPr>
        <w:t>链条/皮带张紧异常</w:t>
      </w:r>
    </w:p>
    <w:p w14:paraId="5E29789D">
      <w:pPr>
        <w:numPr>
          <w:ilvl w:val="0"/>
          <w:numId w:val="19"/>
        </w:numPr>
        <w:spacing w:before="0" w:beforeAutospacing="1" w:after="0" w:afterAutospacing="1"/>
        <w:ind w:left="720" w:hanging="360"/>
      </w:pPr>
      <w:r>
        <w:rPr>
          <w:b/>
        </w:rPr>
        <w:t>故障现象</w:t>
      </w:r>
      <w:r>
        <w:t>：链条下垂量＞20mm/1m跨度，运行时振动大，出现“跳齿”；皮带松弛，打滑（传动滚筒与皮带间相对滑动＞5%），输送速度不稳定。</w:t>
      </w:r>
    </w:p>
    <w:p w14:paraId="61016A29">
      <w:pPr>
        <w:numPr>
          <w:ilvl w:val="0"/>
          <w:numId w:val="19"/>
        </w:numPr>
        <w:spacing w:before="0" w:beforeAutospacing="1" w:after="0" w:afterAutospacing="1"/>
        <w:ind w:left="720" w:hanging="360"/>
      </w:pPr>
      <w:r>
        <w:rPr>
          <w:b/>
        </w:rPr>
        <w:t>成因分析</w:t>
      </w:r>
      <w:r>
        <w:t>：链条张紧装置调节不当（螺杆张紧未拧到位），或链条节距伸长（＞2%）；皮带张紧重锤重量不足（未按W=K×B×L计算），或皮带弹性疲劳（永久变形＞3%）。</w:t>
      </w:r>
    </w:p>
    <w:p w14:paraId="300011AA">
      <w:pPr>
        <w:numPr>
          <w:ilvl w:val="0"/>
          <w:numId w:val="19"/>
        </w:numPr>
        <w:spacing w:before="0" w:beforeAutospacing="1" w:after="0" w:afterAutospacing="1"/>
        <w:ind w:left="720" w:hanging="360"/>
      </w:pPr>
      <w:r>
        <w:rPr>
          <w:b/>
        </w:rPr>
        <w:t>诊断方法</w:t>
      </w:r>
      <w:r>
        <w:t>：用直尺测量链条下垂量（距支点1m处，下垂量应≤20mm）；用张力计测量皮带张力（如橡胶带张力应8-12N）；检查链条节距（新链条节距50.8mm，伸长＞1mm时需更换）。</w:t>
      </w:r>
    </w:p>
    <w:p w14:paraId="08977C68">
      <w:pPr>
        <w:numPr>
          <w:ilvl w:val="0"/>
          <w:numId w:val="19"/>
        </w:numPr>
        <w:spacing w:before="0" w:beforeAutospacing="1" w:after="0" w:afterAutospacing="1"/>
        <w:ind w:left="720" w:hanging="360"/>
      </w:pPr>
      <w:r>
        <w:rPr>
          <w:b/>
        </w:rPr>
        <w:t>处理对策</w:t>
      </w:r>
      <w:r>
        <w:t>：调整链条张紧装置（螺杆张紧顺时针旋转调节螺母，每圈减少下垂量5mm），节距超差时更换链条；增加重锤重量（按计算值补足），或更换新皮带（硫化接头）。</w:t>
      </w:r>
    </w:p>
    <w:p w14:paraId="04FDBCEC">
      <w:r>
        <w:rPr>
          <w:b/>
        </w:rPr>
        <w:t>传动部件异响</w:t>
      </w:r>
    </w:p>
    <w:p w14:paraId="117C7AF5">
      <w:pPr>
        <w:numPr>
          <w:ilvl w:val="0"/>
          <w:numId w:val="20"/>
        </w:numPr>
        <w:spacing w:before="0" w:beforeAutospacing="1" w:after="0" w:afterAutospacing="1"/>
        <w:ind w:left="720" w:hanging="360"/>
      </w:pPr>
      <w:r>
        <w:rPr>
          <w:b/>
        </w:rPr>
        <w:t>故障现象</w:t>
      </w:r>
      <w:r>
        <w:t>：链轮与链条啮合处出现“沙沙”摩擦声，或滚筒轴承“嗡嗡”声，随转速升高而增大。</w:t>
      </w:r>
    </w:p>
    <w:p w14:paraId="74E6D663">
      <w:pPr>
        <w:numPr>
          <w:ilvl w:val="0"/>
          <w:numId w:val="20"/>
        </w:numPr>
        <w:spacing w:before="0" w:beforeAutospacing="1" w:after="0" w:afterAutospacing="1"/>
        <w:ind w:left="720" w:hanging="360"/>
      </w:pPr>
      <w:r>
        <w:rPr>
          <w:b/>
        </w:rPr>
        <w:t>成因分析</w:t>
      </w:r>
      <w:r>
        <w:t>：链轮齿形磨损（齿顶变尖，啮合不良）；链条滚子磨损（直径偏差＞1mm）；滚筒轴承缺油（润滑脂干涸），或轴承内圈、外圈磨损（间隙＞0.1mm）。</w:t>
      </w:r>
    </w:p>
    <w:p w14:paraId="64F77A4B">
      <w:pPr>
        <w:numPr>
          <w:ilvl w:val="0"/>
          <w:numId w:val="20"/>
        </w:numPr>
        <w:spacing w:before="0" w:beforeAutospacing="1" w:after="0" w:afterAutospacing="1"/>
        <w:ind w:left="720" w:hanging="360"/>
      </w:pPr>
      <w:r>
        <w:rPr>
          <w:b/>
        </w:rPr>
        <w:t>诊断方法</w:t>
      </w:r>
      <w:r>
        <w:t>：用听诊器确定异响位置（靠近链轮或轴承）；检查链轮齿形（用齿形样板对比，偏差＞0.2mm时需修复）；转动滚筒，感觉轴承间隙（有明显晃动时判定磨损）。</w:t>
      </w:r>
    </w:p>
    <w:p w14:paraId="23EE58B0">
      <w:pPr>
        <w:numPr>
          <w:ilvl w:val="0"/>
          <w:numId w:val="20"/>
        </w:numPr>
        <w:spacing w:before="0" w:beforeAutospacing="1" w:after="0" w:afterAutospacing="1"/>
        <w:ind w:left="720" w:hanging="360"/>
      </w:pPr>
      <w:r>
        <w:rPr>
          <w:b/>
        </w:rPr>
        <w:t>处理对策</w:t>
      </w:r>
      <w:r>
        <w:t>：修复链轮齿形（砂轮打磨至标准齿形），或更换链轮；更换磨损的链条滚子（或整根链条）；轴承缺油时加注润滑脂（锂基脂NLGI 2级），磨损时更换轴承（型号匹配，如6205）。</w:t>
      </w:r>
    </w:p>
    <w:p w14:paraId="543DF519">
      <w:r>
        <w:rPr>
          <w:b/>
        </w:rPr>
        <w:t>物料输送跑偏</w:t>
      </w:r>
    </w:p>
    <w:p w14:paraId="4D0A099E">
      <w:pPr>
        <w:numPr>
          <w:ilvl w:val="0"/>
          <w:numId w:val="21"/>
        </w:numPr>
        <w:spacing w:before="0" w:beforeAutospacing="1" w:after="0" w:afterAutospacing="1"/>
        <w:ind w:left="720" w:hanging="360"/>
      </w:pPr>
      <w:r>
        <w:rPr>
          <w:b/>
        </w:rPr>
        <w:t>故障现象</w:t>
      </w:r>
      <w:r>
        <w:t>：模具在输送线上向一侧偏移（偏移量＞10mm），触碰侧向导轮，导致边缘磨损或卡滞。</w:t>
      </w:r>
    </w:p>
    <w:p w14:paraId="230E8037">
      <w:pPr>
        <w:numPr>
          <w:ilvl w:val="0"/>
          <w:numId w:val="21"/>
        </w:numPr>
        <w:spacing w:before="0" w:beforeAutospacing="1" w:after="0" w:afterAutospacing="1"/>
        <w:ind w:left="720" w:hanging="360"/>
      </w:pPr>
      <w:r>
        <w:rPr>
          <w:b/>
        </w:rPr>
        <w:t>成因分析</w:t>
      </w:r>
      <w:r>
        <w:t>：输送带/链条两侧张力不均（如左侧紧右侧松）；主动滚筒/链轮安装倾斜（水平度误差＞0.5mm/m）；模具放置偏心（重心偏离输送中心线＞50mm）。</w:t>
      </w:r>
    </w:p>
    <w:p w14:paraId="7196087B">
      <w:pPr>
        <w:numPr>
          <w:ilvl w:val="0"/>
          <w:numId w:val="21"/>
        </w:numPr>
        <w:spacing w:before="0" w:beforeAutospacing="1" w:after="0" w:afterAutospacing="1"/>
        <w:ind w:left="720" w:hanging="360"/>
      </w:pPr>
      <w:r>
        <w:rPr>
          <w:b/>
        </w:rPr>
        <w:t>诊断方法</w:t>
      </w:r>
      <w:r>
        <w:t>：测量输送带两侧张力（用张力计，偏差应≤5%）；用水平仪检测主动滚筒水平度（轴向水平度误差≤0.2mm/m）；观察模具放置位置（是否居中）。</w:t>
      </w:r>
    </w:p>
    <w:p w14:paraId="541C8FD7">
      <w:pPr>
        <w:numPr>
          <w:ilvl w:val="0"/>
          <w:numId w:val="21"/>
        </w:numPr>
        <w:spacing w:before="0" w:beforeAutospacing="1" w:after="0" w:afterAutospacing="1"/>
        <w:ind w:left="720" w:hanging="360"/>
      </w:pPr>
      <w:r>
        <w:rPr>
          <w:b/>
        </w:rPr>
        <w:t>处理对策</w:t>
      </w:r>
      <w:r>
        <w:t>：调整张紧装置，使输送带两侧张力均匀；松开滚筒固定螺栓，用垫片调整水平度；模具放置时确保重心与输送中心线重合，加装导向挡板（宽度比模具宽20mm）。</w:t>
      </w:r>
    </w:p>
    <w:p w14:paraId="0DA8B5A6">
      <w:pPr>
        <w:pStyle w:val="5"/>
      </w:pPr>
      <w:r>
        <w:t>4.2.2 冷却系统故障</w:t>
      </w:r>
    </w:p>
    <w:p w14:paraId="39C7ECB5">
      <w:r>
        <w:rPr>
          <w:b/>
        </w:rPr>
        <w:t>冷却效果不足</w:t>
      </w:r>
    </w:p>
    <w:p w14:paraId="5CA87EF6">
      <w:pPr>
        <w:numPr>
          <w:ilvl w:val="0"/>
          <w:numId w:val="22"/>
        </w:numPr>
        <w:spacing w:before="0" w:beforeAutospacing="1" w:after="0" w:afterAutospacing="1"/>
        <w:ind w:left="720" w:hanging="360"/>
      </w:pPr>
      <w:r>
        <w:rPr>
          <w:b/>
        </w:rPr>
        <w:t>故障现象</w:t>
      </w:r>
      <w:r>
        <w:t>：冷却段出口模具温度＞70℃（超设定值），冷却时间延长（超过30min），影响后续工序节拍。</w:t>
      </w:r>
    </w:p>
    <w:p w14:paraId="4BA4EC43">
      <w:pPr>
        <w:numPr>
          <w:ilvl w:val="0"/>
          <w:numId w:val="22"/>
        </w:numPr>
        <w:spacing w:before="0" w:beforeAutospacing="1" w:after="0" w:afterAutospacing="1"/>
        <w:ind w:left="720" w:hanging="360"/>
      </w:pPr>
      <w:r>
        <w:rPr>
          <w:b/>
        </w:rPr>
        <w:t>成因分析</w:t>
      </w:r>
      <w:r>
        <w:t>：风机滤网堵塞（压差＞200Pa），风量不足（＜设计值90%）；风道导流板变形（角度偏差＞10°），气流分布不均（局部风速＜5m/s）；风机电机故障（转速低于额定值10%），或风机反转（接线错误）。</w:t>
      </w:r>
    </w:p>
    <w:p w14:paraId="241C2548">
      <w:pPr>
        <w:numPr>
          <w:ilvl w:val="0"/>
          <w:numId w:val="22"/>
        </w:numPr>
        <w:spacing w:before="0" w:beforeAutospacing="1" w:after="0" w:afterAutospacing="1"/>
        <w:ind w:left="720" w:hanging="360"/>
      </w:pPr>
      <w:r>
        <w:rPr>
          <w:b/>
        </w:rPr>
        <w:t>诊断方法</w:t>
      </w:r>
      <w:r>
        <w:t>：用压差计测量滤网前后压差（正常50-100Pa）；用风速仪测量冷却段各点风速（应≥10m/s，均匀性±10%）；测量风机转速（用转速计，额定转速1450r/min，实际＜1300r/min时异常）。</w:t>
      </w:r>
    </w:p>
    <w:p w14:paraId="275771E3">
      <w:pPr>
        <w:numPr>
          <w:ilvl w:val="0"/>
          <w:numId w:val="22"/>
        </w:numPr>
        <w:spacing w:before="0" w:beforeAutospacing="1" w:after="0" w:afterAutospacing="1"/>
        <w:ind w:left="720" w:hanging="360"/>
      </w:pPr>
      <w:r>
        <w:rPr>
          <w:b/>
        </w:rPr>
        <w:t>处理对策</w:t>
      </w:r>
      <w:r>
        <w:t>：清洁或更换风机滤网（每周一次）；校准导流板角度（30°±5°），修复变形风道；检查风机接线（确保正转），更换损坏的电机轴承（转速不足时）。</w:t>
      </w:r>
    </w:p>
    <w:p w14:paraId="562F3F2D">
      <w:r>
        <w:rPr>
          <w:b/>
        </w:rPr>
        <w:t>风机组故障</w:t>
      </w:r>
    </w:p>
    <w:p w14:paraId="2905FA28">
      <w:pPr>
        <w:numPr>
          <w:ilvl w:val="0"/>
          <w:numId w:val="23"/>
        </w:numPr>
        <w:spacing w:before="0" w:beforeAutospacing="1" w:after="0" w:afterAutospacing="1"/>
        <w:ind w:left="720" w:hanging="360"/>
      </w:pPr>
      <w:r>
        <w:rPr>
          <w:b/>
        </w:rPr>
        <w:t>故障现象</w:t>
      </w:r>
      <w:r>
        <w:t>：风机运行时振动大（振幅＞0.1mm），噪音＞90dB，或电机过热（外壳温度＞80℃）。</w:t>
      </w:r>
    </w:p>
    <w:p w14:paraId="46497996">
      <w:pPr>
        <w:numPr>
          <w:ilvl w:val="0"/>
          <w:numId w:val="23"/>
        </w:numPr>
        <w:spacing w:before="0" w:beforeAutospacing="1" w:after="0" w:afterAutospacing="1"/>
        <w:ind w:left="720" w:hanging="360"/>
      </w:pPr>
      <w:r>
        <w:rPr>
          <w:b/>
        </w:rPr>
        <w:t>成因分析</w:t>
      </w:r>
      <w:r>
        <w:t>：叶轮不平衡（叶片积尘或磨损，重量偏差＞5g）；电机轴承缺油（润滑脂干涸）或损坏（游隙＞0.1mm）；风机与电机联轴器不同心（径向偏差＞0.1mm）。</w:t>
      </w:r>
    </w:p>
    <w:p w14:paraId="4EC403A5">
      <w:pPr>
        <w:numPr>
          <w:ilvl w:val="0"/>
          <w:numId w:val="23"/>
        </w:numPr>
        <w:spacing w:before="0" w:beforeAutospacing="1" w:after="0" w:afterAutospacing="1"/>
        <w:ind w:left="720" w:hanging="360"/>
      </w:pPr>
      <w:r>
        <w:rPr>
          <w:b/>
        </w:rPr>
        <w:t>诊断方法</w:t>
      </w:r>
      <w:r>
        <w:t>：用动平衡仪检测叶轮不平衡量（应≤5g·mm）；用红外测温仪测量轴承温度（正常≤70℃）；用百分表检测联轴器同心度（径向偏差≤0.05mm，轴向偏差≤0.1mm/m）。</w:t>
      </w:r>
    </w:p>
    <w:p w14:paraId="6B21716D">
      <w:pPr>
        <w:numPr>
          <w:ilvl w:val="0"/>
          <w:numId w:val="23"/>
        </w:numPr>
        <w:spacing w:before="0" w:beforeAutospacing="1" w:after="0" w:afterAutospacing="1"/>
        <w:ind w:left="720" w:hanging="360"/>
      </w:pPr>
      <w:r>
        <w:rPr>
          <w:b/>
        </w:rPr>
        <w:t>处理对策</w:t>
      </w:r>
      <w:r>
        <w:t>：清理叶轮积尘，或进行动平衡校正（去重法）；加注高温润滑脂（轴承每半年一次），更换损坏轴承；重新找正联轴器（用塞尺和百分表），确保同心度达标。</w:t>
      </w:r>
    </w:p>
    <w:p w14:paraId="6FC35E6E">
      <w:pPr>
        <w:pStyle w:val="5"/>
      </w:pPr>
      <w:r>
        <w:t>4.2.3 电气与传感器故障</w:t>
      </w:r>
    </w:p>
    <w:p w14:paraId="58984D46">
      <w:r>
        <w:rPr>
          <w:b/>
        </w:rPr>
        <w:t>PLC程序错误</w:t>
      </w:r>
    </w:p>
    <w:p w14:paraId="3A2E67F4">
      <w:pPr>
        <w:numPr>
          <w:ilvl w:val="0"/>
          <w:numId w:val="24"/>
        </w:numPr>
        <w:spacing w:before="0" w:beforeAutospacing="1" w:after="0" w:afterAutospacing="1"/>
        <w:ind w:left="720" w:hanging="360"/>
      </w:pPr>
      <w:r>
        <w:rPr>
          <w:b/>
        </w:rPr>
        <w:t>故障现象</w:t>
      </w:r>
      <w:r>
        <w:t>：输送线不按预设流程运行（如该启动时不启动，或无故停机），HMI显示逻辑错误代码（如“程序段未找到”）。</w:t>
      </w:r>
    </w:p>
    <w:p w14:paraId="71ECFB5D">
      <w:pPr>
        <w:numPr>
          <w:ilvl w:val="0"/>
          <w:numId w:val="24"/>
        </w:numPr>
        <w:spacing w:before="0" w:beforeAutospacing="1" w:after="0" w:afterAutospacing="1"/>
        <w:ind w:left="720" w:hanging="360"/>
      </w:pPr>
      <w:r>
        <w:rPr>
          <w:b/>
        </w:rPr>
        <w:t>成因分析</w:t>
      </w:r>
      <w:r>
        <w:t>：程序逻辑错误（如遗漏互锁条件，导致“堆垛机未放货输送线已启动”）；参数设置错误（如冷却时间设为0，导致立即出库）；程序数据丢失（PLC电池电量不足，导致程序丢失）。</w:t>
      </w:r>
    </w:p>
    <w:p w14:paraId="5772FD0E">
      <w:pPr>
        <w:numPr>
          <w:ilvl w:val="0"/>
          <w:numId w:val="24"/>
        </w:numPr>
        <w:spacing w:before="0" w:beforeAutospacing="1" w:after="0" w:afterAutospacing="1"/>
        <w:ind w:left="720" w:hanging="360"/>
      </w:pPr>
      <w:r>
        <w:rPr>
          <w:b/>
        </w:rPr>
        <w:t>诊断方法</w:t>
      </w:r>
      <w:r>
        <w:t>：通过PLC编程软件在线监控程序运行，检查逻辑条件是否满足（如“</w:t>
      </w:r>
    </w:p>
    <w:p w14:paraId="306C7B61">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50534"/>
    <w:multiLevelType w:val="singleLevel"/>
    <w:tmpl w:val="9DF50534"/>
    <w:lvl w:ilvl="0" w:tentative="0">
      <w:start w:val="1"/>
      <w:numFmt w:val="bullet"/>
      <w:lvlText w:val=""/>
      <w:lvlJc w:val="left"/>
      <w:pPr>
        <w:ind w:left="720" w:hanging="360"/>
      </w:pPr>
      <w:rPr>
        <w:rFonts w:hint="default" w:ascii="Symbol" w:hAnsi="Symbol" w:cs="Symbol"/>
        <w:sz w:val="20"/>
      </w:rPr>
    </w:lvl>
  </w:abstractNum>
  <w:abstractNum w:abstractNumId="1">
    <w:nsid w:val="9FF67494"/>
    <w:multiLevelType w:val="singleLevel"/>
    <w:tmpl w:val="9FF67494"/>
    <w:lvl w:ilvl="0" w:tentative="0">
      <w:start w:val="1"/>
      <w:numFmt w:val="bullet"/>
      <w:lvlText w:val=""/>
      <w:lvlJc w:val="left"/>
      <w:pPr>
        <w:ind w:left="720" w:hanging="360"/>
      </w:pPr>
      <w:rPr>
        <w:rFonts w:hint="default" w:ascii="Symbol" w:hAnsi="Symbol" w:cs="Symbol"/>
        <w:sz w:val="20"/>
      </w:rPr>
    </w:lvl>
  </w:abstractNum>
  <w:abstractNum w:abstractNumId="2">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3">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4">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5">
    <w:nsid w:val="C9E5FB90"/>
    <w:multiLevelType w:val="singleLevel"/>
    <w:tmpl w:val="C9E5FB90"/>
    <w:lvl w:ilvl="0" w:tentative="0">
      <w:start w:val="1"/>
      <w:numFmt w:val="bullet"/>
      <w:lvlText w:val=""/>
      <w:lvlJc w:val="left"/>
      <w:pPr>
        <w:ind w:left="720" w:hanging="360"/>
      </w:pPr>
      <w:rPr>
        <w:rFonts w:hint="default" w:ascii="Symbol" w:hAnsi="Symbol" w:cs="Symbol"/>
        <w:sz w:val="20"/>
      </w:rPr>
    </w:lvl>
  </w:abstractNum>
  <w:abstractNum w:abstractNumId="6">
    <w:nsid w:val="CAEC8C0A"/>
    <w:multiLevelType w:val="singleLevel"/>
    <w:tmpl w:val="CAEC8C0A"/>
    <w:lvl w:ilvl="0" w:tentative="0">
      <w:start w:val="1"/>
      <w:numFmt w:val="bullet"/>
      <w:lvlText w:val=""/>
      <w:lvlJc w:val="left"/>
      <w:pPr>
        <w:ind w:left="720" w:hanging="360"/>
      </w:pPr>
      <w:rPr>
        <w:rFonts w:hint="default" w:ascii="Symbol" w:hAnsi="Symbol" w:cs="Symbol"/>
        <w:sz w:val="20"/>
      </w:rPr>
    </w:lvl>
  </w:abstractNum>
  <w:abstractNum w:abstractNumId="7">
    <w:nsid w:val="D97B7C9D"/>
    <w:multiLevelType w:val="singleLevel"/>
    <w:tmpl w:val="D97B7C9D"/>
    <w:lvl w:ilvl="0" w:tentative="0">
      <w:start w:val="1"/>
      <w:numFmt w:val="bullet"/>
      <w:lvlText w:val=""/>
      <w:lvlJc w:val="left"/>
      <w:pPr>
        <w:ind w:left="720" w:hanging="360"/>
      </w:pPr>
      <w:rPr>
        <w:rFonts w:hint="default" w:ascii="Symbol" w:hAnsi="Symbol" w:cs="Symbol"/>
        <w:sz w:val="20"/>
      </w:rPr>
    </w:lvl>
  </w:abstractNum>
  <w:abstractNum w:abstractNumId="8">
    <w:nsid w:val="DEDC7797"/>
    <w:multiLevelType w:val="singleLevel"/>
    <w:tmpl w:val="DEDC7797"/>
    <w:lvl w:ilvl="0" w:tentative="0">
      <w:start w:val="1"/>
      <w:numFmt w:val="bullet"/>
      <w:lvlText w:val=""/>
      <w:lvlJc w:val="left"/>
      <w:pPr>
        <w:ind w:left="720" w:hanging="360"/>
      </w:pPr>
      <w:rPr>
        <w:rFonts w:hint="default" w:ascii="Symbol" w:hAnsi="Symbol" w:cs="Symbol"/>
        <w:sz w:val="20"/>
      </w:rPr>
    </w:lvl>
  </w:abstractNum>
  <w:abstractNum w:abstractNumId="9">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10">
    <w:nsid w:val="F7BF084C"/>
    <w:multiLevelType w:val="singleLevel"/>
    <w:tmpl w:val="F7BF084C"/>
    <w:lvl w:ilvl="0" w:tentative="0">
      <w:start w:val="1"/>
      <w:numFmt w:val="bullet"/>
      <w:lvlText w:val=""/>
      <w:lvlJc w:val="left"/>
      <w:pPr>
        <w:ind w:left="720" w:hanging="360"/>
      </w:pPr>
      <w:rPr>
        <w:rFonts w:hint="default" w:ascii="Symbol" w:hAnsi="Symbol" w:cs="Symbol"/>
        <w:sz w:val="20"/>
      </w:rPr>
    </w:lvl>
  </w:abstractNum>
  <w:abstractNum w:abstractNumId="11">
    <w:nsid w:val="FCDBBF88"/>
    <w:multiLevelType w:val="singleLevel"/>
    <w:tmpl w:val="FCDBBF88"/>
    <w:lvl w:ilvl="0" w:tentative="0">
      <w:start w:val="1"/>
      <w:numFmt w:val="bullet"/>
      <w:lvlText w:val=""/>
      <w:lvlJc w:val="left"/>
      <w:pPr>
        <w:ind w:left="720" w:hanging="360"/>
      </w:pPr>
      <w:rPr>
        <w:rFonts w:hint="default" w:ascii="Symbol" w:hAnsi="Symbol" w:cs="Symbol"/>
        <w:sz w:val="20"/>
      </w:rPr>
    </w:lvl>
  </w:abstractNum>
  <w:abstractNum w:abstractNumId="12">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13">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14">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15">
    <w:nsid w:val="FFF30FD2"/>
    <w:multiLevelType w:val="singleLevel"/>
    <w:tmpl w:val="FFF30FD2"/>
    <w:lvl w:ilvl="0" w:tentative="0">
      <w:start w:val="1"/>
      <w:numFmt w:val="bullet"/>
      <w:lvlText w:val=""/>
      <w:lvlJc w:val="left"/>
      <w:pPr>
        <w:ind w:left="720" w:hanging="360"/>
      </w:pPr>
      <w:rPr>
        <w:rFonts w:hint="default" w:ascii="Symbol" w:hAnsi="Symbol" w:cs="Symbol"/>
        <w:sz w:val="20"/>
      </w:rPr>
    </w:lvl>
  </w:abstractNum>
  <w:abstractNum w:abstractNumId="16">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7">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18">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9">
    <w:nsid w:val="4DF42F8B"/>
    <w:multiLevelType w:val="singleLevel"/>
    <w:tmpl w:val="4DF42F8B"/>
    <w:lvl w:ilvl="0" w:tentative="0">
      <w:start w:val="1"/>
      <w:numFmt w:val="bullet"/>
      <w:lvlText w:val=""/>
      <w:lvlJc w:val="left"/>
      <w:pPr>
        <w:ind w:left="720" w:hanging="360"/>
      </w:pPr>
      <w:rPr>
        <w:rFonts w:hint="default" w:ascii="Symbol" w:hAnsi="Symbol" w:cs="Symbol"/>
        <w:sz w:val="20"/>
      </w:rPr>
    </w:lvl>
  </w:abstractNum>
  <w:abstractNum w:abstractNumId="2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21">
    <w:nsid w:val="7BF89F3F"/>
    <w:multiLevelType w:val="singleLevel"/>
    <w:tmpl w:val="7BF89F3F"/>
    <w:lvl w:ilvl="0" w:tentative="0">
      <w:start w:val="1"/>
      <w:numFmt w:val="bullet"/>
      <w:lvlText w:val=""/>
      <w:lvlJc w:val="left"/>
      <w:pPr>
        <w:ind w:left="720" w:hanging="360"/>
      </w:pPr>
      <w:rPr>
        <w:rFonts w:hint="default" w:ascii="Symbol" w:hAnsi="Symbol" w:cs="Symbol"/>
        <w:sz w:val="20"/>
      </w:rPr>
    </w:lvl>
  </w:abstractNum>
  <w:abstractNum w:abstractNumId="22">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23">
    <w:nsid w:val="7F3E9A8C"/>
    <w:multiLevelType w:val="singleLevel"/>
    <w:tmpl w:val="7F3E9A8C"/>
    <w:lvl w:ilvl="0" w:tentative="0">
      <w:start w:val="1"/>
      <w:numFmt w:val="bullet"/>
      <w:lvlText w:val=""/>
      <w:lvlJc w:val="left"/>
      <w:pPr>
        <w:ind w:left="720" w:hanging="360"/>
      </w:pPr>
      <w:rPr>
        <w:rFonts w:hint="default" w:ascii="Symbol" w:hAnsi="Symbol" w:cs="Symbol"/>
        <w:sz w:val="20"/>
      </w:rPr>
    </w:lvl>
  </w:abstractNum>
  <w:num w:numId="1">
    <w:abstractNumId w:val="18"/>
  </w:num>
  <w:num w:numId="2">
    <w:abstractNumId w:val="22"/>
  </w:num>
  <w:num w:numId="3">
    <w:abstractNumId w:val="3"/>
  </w:num>
  <w:num w:numId="4">
    <w:abstractNumId w:val="16"/>
  </w:num>
  <w:num w:numId="5">
    <w:abstractNumId w:val="12"/>
  </w:num>
  <w:num w:numId="6">
    <w:abstractNumId w:val="20"/>
  </w:num>
  <w:num w:numId="7">
    <w:abstractNumId w:val="9"/>
  </w:num>
  <w:num w:numId="8">
    <w:abstractNumId w:val="17"/>
  </w:num>
  <w:num w:numId="9">
    <w:abstractNumId w:val="13"/>
  </w:num>
  <w:num w:numId="10">
    <w:abstractNumId w:val="14"/>
  </w:num>
  <w:num w:numId="11">
    <w:abstractNumId w:val="4"/>
  </w:num>
  <w:num w:numId="12">
    <w:abstractNumId w:val="2"/>
  </w:num>
  <w:num w:numId="13">
    <w:abstractNumId w:val="0"/>
  </w:num>
  <w:num w:numId="14">
    <w:abstractNumId w:val="8"/>
  </w:num>
  <w:num w:numId="15">
    <w:abstractNumId w:val="5"/>
  </w:num>
  <w:num w:numId="16">
    <w:abstractNumId w:val="6"/>
  </w:num>
  <w:num w:numId="17">
    <w:abstractNumId w:val="23"/>
  </w:num>
  <w:num w:numId="18">
    <w:abstractNumId w:val="7"/>
  </w:num>
  <w:num w:numId="19">
    <w:abstractNumId w:val="10"/>
  </w:num>
  <w:num w:numId="20">
    <w:abstractNumId w:val="21"/>
  </w:num>
  <w:num w:numId="21">
    <w:abstractNumId w:val="15"/>
  </w:num>
  <w:num w:numId="22">
    <w:abstractNumId w:val="19"/>
  </w:num>
  <w:num w:numId="23">
    <w:abstractNumId w:val="11"/>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6BD97B1"/>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F3EB132D"/>
    <w:rsid w:val="F3FB3C28"/>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27</Pages>
  <Words>450</Words>
  <Characters>502</Characters>
  <Lines>1</Lines>
  <Paragraphs>1</Paragraphs>
  <TotalTime>0</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2025-09-29T22:47:15Z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0F48784EA1018630F39BDA680EB75AEF_43</vt:lpwstr>
  </property>
  <property fmtid="{D5CDD505-2E9C-101B-9397-08002B2CF9AE}" pid="4" name="KSOTemplateDocerSaveRecord">
    <vt:lpwstr>eyJoZGlkIjoiNzI4YmNmYThhZjA0NTVhODllNDhjMGZiNmFkMDJjN2YiLCJ1c2VySWQiOiIxNjA5OTI0MDI0In0=</vt:lpwstr>
  </property>
</Properties>
</file>