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49409">
      <w:pPr>
        <w:pStyle w:val="2"/>
      </w:pPr>
    </w:p>
    <w:p w14:paraId="5DE688C9">
      <w:pPr>
        <w:pStyle w:val="2"/>
      </w:pPr>
      <w:r>
        <w:t>干变浇注车间线圈拆模线-冷却库堆垛机输送线系统顶升机技术手册</w:t>
      </w:r>
    </w:p>
    <w:p w14:paraId="7D3319AF">
      <w:pPr>
        <w:pStyle w:val="3"/>
      </w:pPr>
      <w:r>
        <w:t>一、顶升机概述</w:t>
      </w:r>
    </w:p>
    <w:p w14:paraId="63779836">
      <w:pPr>
        <w:pStyle w:val="4"/>
      </w:pPr>
      <w:r>
        <w:t>1.1 设备定义与应用场景</w:t>
      </w:r>
    </w:p>
    <w:p w14:paraId="1BD0B85D">
      <w:r>
        <w:t>顶升机是干变浇注车间线圈拆模线、冷却库堆垛机及输送线系统中实现物料垂直转运的核心设备，通过动力驱动执行机构完成负载的精准升降，在干式变压器生产流程中承担关键衔接功能。在拆模线环节，顶升机用于承接拆模后的线圈模具，将其从拆模工位垂直提升至冷却库输送线入口，配合链式输送机完成模具向冷却区域的转运；在冷却库堆垛机系统中，顶升机作为堆垛机的执行末端，实现线圈模具在立体货架不同层高间的存取，通过与堆垛机行走、伸缩机构的协同动作，完成货物的三维空间定位；在输送线衔接部位，顶升机用于解决不同输送段的高度差问题，通过同步升降运动实现模具在辊道输送机、皮带输送机之间的平稳过渡。</w:t>
      </w:r>
    </w:p>
    <w:p w14:paraId="1D06638F">
      <w:r>
        <w:t>该设备的应用需满足干式变压器线圈模具的特殊工况要求：模具单重通常为2.5-5吨，外形尺寸多为1.2m×0.8m×1.5m（长×宽×高），要求顶升过程中负载偏心量不超过5%额定载荷，升降速度控制在0.5-2m/min范围内，以避免线圈绝缘层因冲击载荷受损。设备运行环境存在环氧树脂粉尘、液压油雾等污染物，需具备IP54级防护能力，工作温度范围覆盖-10~50℃，相对湿度≤90%（无凝结），满足连续工作制要求，平均无故障运行时间（MTBF）不低于5000小时。</w:t>
      </w:r>
    </w:p>
    <w:p w14:paraId="47BB0822">
      <w:pPr>
        <w:pStyle w:val="4"/>
      </w:pPr>
      <w:r>
        <w:t>1.2 主要技术参数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3EB3B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F078DD">
            <w:pPr>
              <w:jc w:val="center"/>
              <w:rPr>
                <w:b/>
              </w:rPr>
            </w:pPr>
            <w:r>
              <w:rPr>
                <w:b/>
              </w:rPr>
              <w:t>参数名称</w:t>
            </w:r>
          </w:p>
        </w:tc>
        <w:tc>
          <w:tcPr>
            <w:tcW w:w="0" w:type="auto"/>
            <w:vAlign w:val="center"/>
          </w:tcPr>
          <w:p w14:paraId="726FC3A7">
            <w:pPr>
              <w:jc w:val="center"/>
              <w:rPr>
                <w:b/>
              </w:rPr>
            </w:pPr>
            <w:r>
              <w:rPr>
                <w:b/>
              </w:rPr>
              <w:t>数值范围</w:t>
            </w:r>
          </w:p>
        </w:tc>
        <w:tc>
          <w:tcPr>
            <w:tcW w:w="0" w:type="auto"/>
            <w:vAlign w:val="center"/>
          </w:tcPr>
          <w:p w14:paraId="18A06199">
            <w:pPr>
              <w:jc w:val="center"/>
              <w:rPr>
                <w:b/>
              </w:rPr>
            </w:pPr>
            <w:r>
              <w:rPr>
                <w:b/>
              </w:rPr>
              <w:t>单位</w:t>
            </w:r>
          </w:p>
        </w:tc>
        <w:tc>
          <w:tcPr>
            <w:tcW w:w="0" w:type="auto"/>
            <w:vAlign w:val="center"/>
          </w:tcPr>
          <w:p w14:paraId="46FF1DBF">
            <w:pPr>
              <w:jc w:val="center"/>
              <w:rPr>
                <w:b/>
              </w:rPr>
            </w:pPr>
            <w:r>
              <w:rPr>
                <w:b/>
              </w:rPr>
              <w:t>工况条件</w:t>
            </w:r>
          </w:p>
        </w:tc>
      </w:tr>
      <w:tr w14:paraId="5D21F6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57D3886">
            <w:r>
              <w:t>额定负载</w:t>
            </w:r>
          </w:p>
        </w:tc>
        <w:tc>
          <w:tcPr>
            <w:tcW w:w="0" w:type="auto"/>
            <w:vAlign w:val="center"/>
          </w:tcPr>
          <w:p w14:paraId="43E84108">
            <w:r>
              <w:t>5~20</w:t>
            </w:r>
          </w:p>
        </w:tc>
        <w:tc>
          <w:tcPr>
            <w:tcW w:w="0" w:type="auto"/>
            <w:vAlign w:val="center"/>
          </w:tcPr>
          <w:p w14:paraId="1B5D15B1">
            <w:r>
              <w:t>t</w:t>
            </w:r>
          </w:p>
        </w:tc>
        <w:tc>
          <w:tcPr>
            <w:tcW w:w="0" w:type="auto"/>
            <w:vAlign w:val="center"/>
          </w:tcPr>
          <w:p w14:paraId="4391715F">
            <w:r>
              <w:t>均匀分布载荷</w:t>
            </w:r>
          </w:p>
        </w:tc>
      </w:tr>
      <w:tr w14:paraId="436CE4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333F8E">
            <w:r>
              <w:t>最大提升高度</w:t>
            </w:r>
          </w:p>
        </w:tc>
        <w:tc>
          <w:tcPr>
            <w:tcW w:w="0" w:type="auto"/>
            <w:vAlign w:val="center"/>
          </w:tcPr>
          <w:p w14:paraId="78847C16">
            <w:r>
              <w:t>1500~3000</w:t>
            </w:r>
          </w:p>
        </w:tc>
        <w:tc>
          <w:tcPr>
            <w:tcW w:w="0" w:type="auto"/>
            <w:vAlign w:val="center"/>
          </w:tcPr>
          <w:p w14:paraId="1D1E0B7E">
            <w:r>
              <w:t>mm</w:t>
            </w:r>
          </w:p>
        </w:tc>
        <w:tc>
          <w:tcPr>
            <w:tcW w:w="0" w:type="auto"/>
            <w:vAlign w:val="center"/>
          </w:tcPr>
          <w:p w14:paraId="140B1EFE">
            <w:r>
              <w:t>空载状态下测量</w:t>
            </w:r>
          </w:p>
        </w:tc>
      </w:tr>
      <w:tr w14:paraId="1BAA5F3B">
        <w:tc>
          <w:tcPr>
            <w:tcW w:w="0" w:type="auto"/>
            <w:vAlign w:val="center"/>
          </w:tcPr>
          <w:p w14:paraId="1B82746C">
            <w:r>
              <w:t>升降速度</w:t>
            </w:r>
          </w:p>
        </w:tc>
        <w:tc>
          <w:tcPr>
            <w:tcW w:w="0" w:type="auto"/>
            <w:vAlign w:val="center"/>
          </w:tcPr>
          <w:p w14:paraId="16BEFB9A">
            <w:r>
              <w:t>0.5~2</w:t>
            </w:r>
          </w:p>
        </w:tc>
        <w:tc>
          <w:tcPr>
            <w:tcW w:w="0" w:type="auto"/>
            <w:vAlign w:val="center"/>
          </w:tcPr>
          <w:p w14:paraId="5E64AC4B">
            <w:r>
              <w:t>m/min</w:t>
            </w:r>
          </w:p>
        </w:tc>
        <w:tc>
          <w:tcPr>
            <w:tcW w:w="0" w:type="auto"/>
            <w:vAlign w:val="center"/>
          </w:tcPr>
          <w:p w14:paraId="0F104370">
            <w:r>
              <w:t>额定负载下</w:t>
            </w:r>
          </w:p>
        </w:tc>
      </w:tr>
      <w:tr w14:paraId="5E852D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A2ADA6">
            <w:r>
              <w:t>定位精度</w:t>
            </w:r>
          </w:p>
        </w:tc>
        <w:tc>
          <w:tcPr>
            <w:tcW w:w="0" w:type="auto"/>
            <w:vAlign w:val="center"/>
          </w:tcPr>
          <w:p w14:paraId="07B186AB">
            <w:r>
              <w:t>±0.5</w:t>
            </w:r>
          </w:p>
        </w:tc>
        <w:tc>
          <w:tcPr>
            <w:tcW w:w="0" w:type="auto"/>
            <w:vAlign w:val="center"/>
          </w:tcPr>
          <w:p w14:paraId="312DA16E">
            <w:r>
              <w:t>mm</w:t>
            </w:r>
          </w:p>
        </w:tc>
        <w:tc>
          <w:tcPr>
            <w:tcW w:w="0" w:type="auto"/>
            <w:vAlign w:val="center"/>
          </w:tcPr>
          <w:p w14:paraId="0CE8D1EC">
            <w:r>
              <w:t>全程范围内任意位置</w:t>
            </w:r>
          </w:p>
        </w:tc>
      </w:tr>
      <w:tr w14:paraId="1813CC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6EC2D1">
            <w:r>
              <w:t>同步误差</w:t>
            </w:r>
          </w:p>
        </w:tc>
        <w:tc>
          <w:tcPr>
            <w:tcW w:w="0" w:type="auto"/>
            <w:vAlign w:val="center"/>
          </w:tcPr>
          <w:p w14:paraId="4E683F1E">
            <w:r>
              <w:t>≤±0.5</w:t>
            </w:r>
          </w:p>
        </w:tc>
        <w:tc>
          <w:tcPr>
            <w:tcW w:w="0" w:type="auto"/>
            <w:vAlign w:val="center"/>
          </w:tcPr>
          <w:p w14:paraId="1385DDCE">
            <w:r>
              <w:t>mm</w:t>
            </w:r>
          </w:p>
        </w:tc>
        <w:tc>
          <w:tcPr>
            <w:tcW w:w="0" w:type="auto"/>
            <w:vAlign w:val="center"/>
          </w:tcPr>
          <w:p w14:paraId="5F5E4F07">
            <w:r>
              <w:t>多单元协同工作时</w:t>
            </w:r>
          </w:p>
        </w:tc>
      </w:tr>
      <w:tr w14:paraId="7821E3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E9B4D5">
            <w:r>
              <w:t>电源参数</w:t>
            </w:r>
          </w:p>
        </w:tc>
        <w:tc>
          <w:tcPr>
            <w:tcW w:w="0" w:type="auto"/>
            <w:vAlign w:val="center"/>
          </w:tcPr>
          <w:p w14:paraId="2FFF6976">
            <w:r>
              <w:t>380/220</w:t>
            </w:r>
          </w:p>
        </w:tc>
        <w:tc>
          <w:tcPr>
            <w:tcW w:w="0" w:type="auto"/>
            <w:vAlign w:val="center"/>
          </w:tcPr>
          <w:p w14:paraId="0CA8E91C">
            <w:r>
              <w:t>V</w:t>
            </w:r>
          </w:p>
        </w:tc>
        <w:tc>
          <w:tcPr>
            <w:tcW w:w="0" w:type="auto"/>
            <w:vAlign w:val="center"/>
          </w:tcPr>
          <w:p w14:paraId="5A53751A">
            <w:r>
              <w:t>AC，50Hz，三相五线制</w:t>
            </w:r>
          </w:p>
        </w:tc>
      </w:tr>
      <w:tr w14:paraId="20C72647">
        <w:tc>
          <w:tcPr>
            <w:tcW w:w="0" w:type="auto"/>
            <w:vAlign w:val="center"/>
          </w:tcPr>
          <w:p w14:paraId="1B13F394">
            <w:r>
              <w:t>额定功率</w:t>
            </w:r>
          </w:p>
        </w:tc>
        <w:tc>
          <w:tcPr>
            <w:tcW w:w="0" w:type="auto"/>
            <w:vAlign w:val="center"/>
          </w:tcPr>
          <w:p w14:paraId="0662CC2D">
            <w:r>
              <w:t>4.5~7.5</w:t>
            </w:r>
          </w:p>
        </w:tc>
        <w:tc>
          <w:tcPr>
            <w:tcW w:w="0" w:type="auto"/>
            <w:vAlign w:val="center"/>
          </w:tcPr>
          <w:p w14:paraId="16DC6A5D">
            <w:r>
              <w:t>kW</w:t>
            </w:r>
          </w:p>
        </w:tc>
        <w:tc>
          <w:tcPr>
            <w:tcW w:w="0" w:type="auto"/>
            <w:vAlign w:val="center"/>
          </w:tcPr>
          <w:p w14:paraId="270CA699">
            <w:r>
              <w:t>满载运行状态</w:t>
            </w:r>
          </w:p>
        </w:tc>
      </w:tr>
      <w:tr w14:paraId="57FF407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644B23">
            <w:r>
              <w:t>工作压力</w:t>
            </w:r>
          </w:p>
        </w:tc>
        <w:tc>
          <w:tcPr>
            <w:tcW w:w="0" w:type="auto"/>
            <w:vAlign w:val="center"/>
          </w:tcPr>
          <w:p w14:paraId="0C8A85BC">
            <w:r>
              <w:t>12~16</w:t>
            </w:r>
          </w:p>
        </w:tc>
        <w:tc>
          <w:tcPr>
            <w:tcW w:w="0" w:type="auto"/>
            <w:vAlign w:val="center"/>
          </w:tcPr>
          <w:p w14:paraId="5C828EF5">
            <w:r>
              <w:t>MPa</w:t>
            </w:r>
          </w:p>
        </w:tc>
        <w:tc>
          <w:tcPr>
            <w:tcW w:w="0" w:type="auto"/>
            <w:vAlign w:val="center"/>
          </w:tcPr>
          <w:p w14:paraId="22E03E8B">
            <w:r>
              <w:t>液压系统工作压力</w:t>
            </w:r>
          </w:p>
        </w:tc>
      </w:tr>
      <w:tr w14:paraId="459852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4682263">
            <w:r>
              <w:t>油箱容积</w:t>
            </w:r>
          </w:p>
        </w:tc>
        <w:tc>
          <w:tcPr>
            <w:tcW w:w="0" w:type="auto"/>
            <w:vAlign w:val="center"/>
          </w:tcPr>
          <w:p w14:paraId="0D99A78F">
            <w:r>
              <w:t>80~150</w:t>
            </w:r>
          </w:p>
        </w:tc>
        <w:tc>
          <w:tcPr>
            <w:tcW w:w="0" w:type="auto"/>
            <w:vAlign w:val="center"/>
          </w:tcPr>
          <w:p w14:paraId="7AF22802">
            <w:r>
              <w:t>L</w:t>
            </w:r>
          </w:p>
        </w:tc>
        <w:tc>
          <w:tcPr>
            <w:tcW w:w="0" w:type="auto"/>
            <w:vAlign w:val="center"/>
          </w:tcPr>
          <w:p w14:paraId="0282C31E">
            <w:r>
              <w:t>有效容积</w:t>
            </w:r>
          </w:p>
        </w:tc>
      </w:tr>
      <w:tr w14:paraId="6F8F9B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463569">
            <w:r>
              <w:t>工作温度</w:t>
            </w:r>
          </w:p>
        </w:tc>
        <w:tc>
          <w:tcPr>
            <w:tcW w:w="0" w:type="auto"/>
            <w:vAlign w:val="center"/>
          </w:tcPr>
          <w:p w14:paraId="2EA5137A">
            <w:r>
              <w:t>-10~50</w:t>
            </w:r>
          </w:p>
        </w:tc>
        <w:tc>
          <w:tcPr>
            <w:tcW w:w="0" w:type="auto"/>
            <w:vAlign w:val="center"/>
          </w:tcPr>
          <w:p w14:paraId="2C21843E">
            <w:r>
              <w:t>℃</w:t>
            </w:r>
          </w:p>
        </w:tc>
        <w:tc>
          <w:tcPr>
            <w:tcW w:w="0" w:type="auto"/>
            <w:vAlign w:val="center"/>
          </w:tcPr>
          <w:p w14:paraId="213FC8A3">
            <w:r>
              <w:t>环境温度</w:t>
            </w:r>
          </w:p>
        </w:tc>
      </w:tr>
      <w:tr w14:paraId="0262B9E3">
        <w:tc>
          <w:tcPr>
            <w:tcW w:w="0" w:type="auto"/>
            <w:vAlign w:val="center"/>
          </w:tcPr>
          <w:p w14:paraId="31DD189A">
            <w:r>
              <w:t>相对湿度</w:t>
            </w:r>
          </w:p>
        </w:tc>
        <w:tc>
          <w:tcPr>
            <w:tcW w:w="0" w:type="auto"/>
            <w:vAlign w:val="center"/>
          </w:tcPr>
          <w:p w14:paraId="35CFFA6B">
            <w:r>
              <w:t>≤90</w:t>
            </w:r>
          </w:p>
        </w:tc>
        <w:tc>
          <w:tcPr>
            <w:tcW w:w="0" w:type="auto"/>
            <w:vAlign w:val="center"/>
          </w:tcPr>
          <w:p w14:paraId="1B44A63C">
            <w:r>
              <w:t>%</w:t>
            </w:r>
          </w:p>
        </w:tc>
        <w:tc>
          <w:tcPr>
            <w:tcW w:w="0" w:type="auto"/>
            <w:vAlign w:val="center"/>
          </w:tcPr>
          <w:p w14:paraId="07D94ABA">
            <w:r>
              <w:t>无凝结</w:t>
            </w:r>
          </w:p>
        </w:tc>
      </w:tr>
      <w:tr w14:paraId="26B915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144ACA">
            <w:r>
              <w:t>防护等级</w:t>
            </w:r>
          </w:p>
        </w:tc>
        <w:tc>
          <w:tcPr>
            <w:tcW w:w="0" w:type="auto"/>
            <w:vAlign w:val="center"/>
          </w:tcPr>
          <w:p w14:paraId="3B9DE117">
            <w:r>
              <w:t>IP54</w:t>
            </w:r>
          </w:p>
        </w:tc>
        <w:tc>
          <w:tcPr>
            <w:tcW w:w="0" w:type="auto"/>
            <w:vAlign w:val="center"/>
          </w:tcPr>
          <w:p w14:paraId="7AB8C2CD">
            <w:r>
              <w:t>-</w:t>
            </w:r>
          </w:p>
        </w:tc>
        <w:tc>
          <w:tcPr>
            <w:tcW w:w="0" w:type="auto"/>
            <w:vAlign w:val="center"/>
          </w:tcPr>
          <w:p w14:paraId="1AE4FE3E">
            <w:r>
              <w:t>电气控制系统</w:t>
            </w:r>
          </w:p>
        </w:tc>
      </w:tr>
      <w:tr w14:paraId="03E58B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B346E3">
            <w:r>
              <w:t>噪音等级</w:t>
            </w:r>
          </w:p>
        </w:tc>
        <w:tc>
          <w:tcPr>
            <w:tcW w:w="0" w:type="auto"/>
            <w:vAlign w:val="center"/>
          </w:tcPr>
          <w:p w14:paraId="1F43BA90">
            <w:r>
              <w:t>≤75</w:t>
            </w:r>
          </w:p>
        </w:tc>
        <w:tc>
          <w:tcPr>
            <w:tcW w:w="0" w:type="auto"/>
            <w:vAlign w:val="center"/>
          </w:tcPr>
          <w:p w14:paraId="57173A99">
            <w:r>
              <w:t>dB(A)</w:t>
            </w:r>
          </w:p>
        </w:tc>
        <w:tc>
          <w:tcPr>
            <w:tcW w:w="0" w:type="auto"/>
            <w:vAlign w:val="center"/>
          </w:tcPr>
          <w:p w14:paraId="3CB57F59">
            <w:r>
              <w:t>距离设备1m处测量</w:t>
            </w:r>
          </w:p>
        </w:tc>
      </w:tr>
      <w:tr w14:paraId="2EE7A9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325747">
            <w:r>
              <w:t>升降循环时间</w:t>
            </w:r>
          </w:p>
        </w:tc>
        <w:tc>
          <w:tcPr>
            <w:tcW w:w="0" w:type="auto"/>
            <w:vAlign w:val="center"/>
          </w:tcPr>
          <w:p w14:paraId="2A83FE6B">
            <w:r>
              <w:t>60~180</w:t>
            </w:r>
          </w:p>
        </w:tc>
        <w:tc>
          <w:tcPr>
            <w:tcW w:w="0" w:type="auto"/>
            <w:vAlign w:val="center"/>
          </w:tcPr>
          <w:p w14:paraId="002FE2B5">
            <w:r>
              <w:t>s</w:t>
            </w:r>
          </w:p>
        </w:tc>
        <w:tc>
          <w:tcPr>
            <w:tcW w:w="0" w:type="auto"/>
            <w:vAlign w:val="center"/>
          </w:tcPr>
          <w:p w14:paraId="463A09AE">
            <w:r>
              <w:t>含升程、停驻、回程动作</w:t>
            </w:r>
          </w:p>
        </w:tc>
      </w:tr>
      <w:tr w14:paraId="547F345E">
        <w:tc>
          <w:tcPr>
            <w:tcW w:w="0" w:type="auto"/>
            <w:vAlign w:val="center"/>
          </w:tcPr>
          <w:p w14:paraId="2AFF4EC1">
            <w:r>
              <w:t>液压油型号</w:t>
            </w:r>
          </w:p>
        </w:tc>
        <w:tc>
          <w:tcPr>
            <w:tcW w:w="0" w:type="auto"/>
            <w:vAlign w:val="center"/>
          </w:tcPr>
          <w:p w14:paraId="3365514B">
            <w:r>
              <w:t>L-HM46</w:t>
            </w:r>
          </w:p>
        </w:tc>
        <w:tc>
          <w:tcPr>
            <w:tcW w:w="0" w:type="auto"/>
            <w:vAlign w:val="center"/>
          </w:tcPr>
          <w:p w14:paraId="026632D3">
            <w:r>
              <w:t>-</w:t>
            </w:r>
          </w:p>
        </w:tc>
        <w:tc>
          <w:tcPr>
            <w:tcW w:w="0" w:type="auto"/>
            <w:vAlign w:val="center"/>
          </w:tcPr>
          <w:p w14:paraId="59F83EB9">
            <w:r>
              <w:t>环境温度-10~40℃时使用</w:t>
            </w:r>
          </w:p>
        </w:tc>
      </w:tr>
      <w:tr w14:paraId="1B6C6A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60A894">
            <w:r>
              <w:t>导轨直线度</w:t>
            </w:r>
          </w:p>
        </w:tc>
        <w:tc>
          <w:tcPr>
            <w:tcW w:w="0" w:type="auto"/>
            <w:vAlign w:val="center"/>
          </w:tcPr>
          <w:p w14:paraId="54049E30">
            <w:r>
              <w:t>≤0.5</w:t>
            </w:r>
          </w:p>
        </w:tc>
        <w:tc>
          <w:tcPr>
            <w:tcW w:w="0" w:type="auto"/>
            <w:vAlign w:val="center"/>
          </w:tcPr>
          <w:p w14:paraId="116DE74E">
            <w:r>
              <w:t>mm/m</w:t>
            </w:r>
          </w:p>
        </w:tc>
        <w:tc>
          <w:tcPr>
            <w:tcW w:w="0" w:type="auto"/>
            <w:vAlign w:val="center"/>
          </w:tcPr>
          <w:p w14:paraId="2D698F4B">
            <w:r>
              <w:t>全长范围内</w:t>
            </w:r>
          </w:p>
        </w:tc>
      </w:tr>
      <w:tr w14:paraId="33C8C6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C10CEC">
            <w:r>
              <w:t>紧急停止响应时间</w:t>
            </w:r>
          </w:p>
        </w:tc>
        <w:tc>
          <w:tcPr>
            <w:tcW w:w="0" w:type="auto"/>
            <w:vAlign w:val="center"/>
          </w:tcPr>
          <w:p w14:paraId="0EBF7308">
            <w:r>
              <w:t>≤0.5</w:t>
            </w:r>
          </w:p>
        </w:tc>
        <w:tc>
          <w:tcPr>
            <w:tcW w:w="0" w:type="auto"/>
            <w:vAlign w:val="center"/>
          </w:tcPr>
          <w:p w14:paraId="5C6CAAF7">
            <w:r>
              <w:t>s</w:t>
            </w:r>
          </w:p>
        </w:tc>
        <w:tc>
          <w:tcPr>
            <w:tcW w:w="0" w:type="auto"/>
            <w:vAlign w:val="center"/>
          </w:tcPr>
          <w:p w14:paraId="64574AD7">
            <w:r>
              <w:t>从触发到完全制动</w:t>
            </w:r>
          </w:p>
        </w:tc>
      </w:tr>
    </w:tbl>
    <w:p w14:paraId="0404F040">
      <w:pPr>
        <w:pStyle w:val="3"/>
      </w:pPr>
      <w:r>
        <w:t>二、顶升机结构组成与功能分析</w:t>
      </w:r>
    </w:p>
    <w:p w14:paraId="34CD0CF1">
      <w:pPr>
        <w:pStyle w:val="4"/>
      </w:pPr>
      <w:r>
        <w:t>2.1 按驱动方式分类及典型结构</w:t>
      </w:r>
    </w:p>
    <w:p w14:paraId="486B8714">
      <w:r>
        <w:t>干变浇注车间常用的顶升机按驱动方式可分为液压式、电动式两类，气动式因承载能力有限（通常≤2t）仅在轻型辅助工位应用。液压式顶升机由动力源、液压传动系统、执行机构和控制单元组成，核心部件包括轴向柱塞泵（额定压力21MPa，排量25mL/r）、双作用液压缸（缸径160~250mm，活塞杆直径90~140mm）、电液比例溢流阀（控制精度±1%设定值）及冷却器（换热面积0.8~1.5m²）。其结构特点为垂直安装的液压缸通过法兰与升降平台刚性连接，四组导柱导套（直径80~120mm）对称布置在平台四角，导向间隙控制在0.1~0.3mm，采用强制润滑方式实现导向面的长效润滑。</w:t>
      </w:r>
    </w:p>
    <w:p w14:paraId="2AAB9928">
      <w:r>
        <w:t>电动式顶升机采用"伺服电机-行星减速器-滚珠丝杆"传动链，伺服电机额定转速3000r/min，通过1:10~1:30速比的行星减速器驱动滚珠丝杆（导程10~20mm，精度等级C3），实现负载的精密升降。该结构通过四套独立传动单元驱动同一平台，采用机械同步轴（直径45~60mm，材料40CrNiMoA）实现多丝杆的刚性同步，传动效率可达90%以上，无负载自锁能力（需额外配置电磁制动器）。相比液压式，电动式结构无需液压站，节省设备占地面积40%以上，但单次最大提升高度受丝杆长度限制（通常≤3m），且初始投资成本较高（约为液压式的1.5~2倍）。</w:t>
      </w:r>
    </w:p>
    <w:p w14:paraId="019C9A8A">
      <w:r>
        <w:t>在干变车间选型中，液压式主要应用于拆模线重载工位（负载≥10t），利用其抗偏载能力强（允许偏心距≤100mm）的优势；电动式则适用于冷却库堆垛机等高精度要求场合，通过伺服控制实现±0.1mm级定位，满足立体仓储的密集存储需求。两种类型均需配置独立的防尘罩（材质Q235钢板，厚度3~5mm）和油雾收集装置（风量200~500m³/h），以适应车间粉尘环境。</w:t>
      </w:r>
    </w:p>
    <w:p w14:paraId="50E15239">
      <w:pPr>
        <w:pStyle w:val="4"/>
      </w:pPr>
      <w:r>
        <w:t>2.2 核心部件结构与功能</w:t>
      </w:r>
    </w:p>
    <w:p w14:paraId="22F1CD3B">
      <w:r>
        <w:t>动力传动系统是顶升机的核心执行单元，液压式动力源采用恒功率变量柱塞泵，通过电磁换向阀（中位机能O型）控制油缸伸缩，系统配置皮囊式蓄能器（容积10~20L，预充压力8MPa）吸收压力脉动，确保升降过程平稳性。油缸采用锻钢缸体（材料45#钢，内壁镀铬处理，表面粗糙度Ra0.4μm），活塞密封件选用聚氨酯U形圈（邵氏硬度85±5 Shore A），配合导向带（聚四氟乙烯材质）实现低摩擦运动，单缸最大行程可达3m，具备双向液压锁（开启压力≤0.3MPa）防止负载坠落。</w:t>
      </w:r>
    </w:p>
    <w:p w14:paraId="1E890E4A">
      <w:r>
        <w:t>电动式传动系统的核心部件为滚珠丝杆升降机，采用JWB系列滚珠丝杆副（公称直径50~80mm，导程10~20mm），丝杆材料为GCr15轴承钢（硬度HRC58~62），通过双螺母预紧消除轴向间隙（预紧力10~20%额定动载荷）。驱动电机选用永磁同步伺服电机（功率1.5~3kW），配置2500线编码器实现位置闭环控制，电机轴端通过胀套联轴器与减速器输入轴连接，确保传动无 backlash。</w:t>
      </w:r>
    </w:p>
    <w:p w14:paraId="0EDC98B2">
      <w:r>
        <w:t>导向装置采用四导柱结构，导柱材料为20CrMnTi（渗碳淬火，硬度HRC58~62），表面镀硬铬（厚度5~10μm），导套选用铸铁（HT300）或青铜材质，内置复合轴承（摩擦系数≤0.01），通过加油杯定期注入锂基润滑脂（型号2#）。导柱安装垂直度误差控制在0.1mm/m以内，确保升降过程中平台摆动量≤0.5mm/m。</w:t>
      </w:r>
    </w:p>
    <w:p w14:paraId="759C381A">
      <w:r>
        <w:t>承载平台采用箱型焊接结构（材料Q345B钢板，厚度8~12mm），通过有限元分析优化筋板布局，确保满载工况下最大变形量≤1.5mm。平台上表面安装耐磨衬板（厚度10~15mm，材质ZG35CrMo），开设T型槽（槽宽18~22mm，间距100~150mm）用于固定工装夹具。平台四角配置缓冲器（聚氨酯材质，压缩量20~30mm），吸收意外冲击载荷，保护设备结构。</w:t>
      </w:r>
    </w:p>
    <w:p w14:paraId="702C7E2F">
      <w:r>
        <w:t>检测控制系统包含位置检测和安全监控两类传感器，位置检测采用光栅尺（分辨率5μm，测量长度1.5~3m）或磁致伸缩位移传感器（精度±0.05%FS），实时反馈平台位置；安全监控系统配置压力传感器（量程0~25MPa，精度0.5级）监测系统压力，接近开关（NPN常开型，检测距离5~10mm）用于上下极限位置保护，销轴传感器（量程0~30t，精度1%FS）安装于导向柱底部，实现过载保护功能。所有传感器信号通过PROFINET总线接入PLC控制系统，数据更新周期≤10ms。</w:t>
      </w:r>
    </w:p>
    <w:p w14:paraId="5D86E905">
      <w:pPr>
        <w:pStyle w:val="3"/>
      </w:pPr>
      <w:r>
        <w:t>三、顶升机机械原理详解</w:t>
      </w:r>
    </w:p>
    <w:p w14:paraId="5BE1ADCC">
      <w:pPr>
        <w:pStyle w:val="4"/>
      </w:pPr>
      <w:r>
        <w:t>3.1 滚珠丝杆副传动原理</w:t>
      </w:r>
    </w:p>
    <w:p w14:paraId="30805974">
      <w:r>
        <w:t>滚珠丝杆副是电动式顶升机的核心传动元件，通过滚珠在丝杆与螺母之间的滚动摩擦实现运动转换，其机械原理基于螺旋传动与滚动摩擦的结合。丝杆外表面加工有连续的螺旋滚道（截面为哥特式弧线，曲率半径为滚珠直径的51~52%），螺母内表面加工有对应的反向滚道，滚珠在滚道内循环运动，将丝杆的旋转运动转化为螺母的直线运动。当电机驱动丝杆旋转时，滚珠沿滚道滚动，通过回珠器（内循环采用反向器，外循环采用插管式）实现闭合循环，螺母则沿丝杆轴线方向做直线运动，运动关系满足公式S=n×P（S为螺母移动距离，n为丝杆旋转圈数，P为丝杆导程）。</w:t>
      </w:r>
    </w:p>
    <w:p w14:paraId="4627166F">
      <w:r>
        <w:t>滚珠丝杆的传动效率高达90~95%，远高于梯形丝杆（30~50%），其摩擦系数仅为0.002~0.005，显著降低驱动功率需求。以导程16mm的滚珠丝杆为例，驱动10t负载以1m/min速度升降时，所需驱动扭矩T=F×P/(2π×η)=100000N×0.016m/(2×3.14×0.95)≈268N·m，配合减速比1:20的减速器，电机输出扭矩仅需13.4N·m，可选用2.2kW伺服电机驱动。</w:t>
      </w:r>
    </w:p>
    <w:p w14:paraId="0D555700">
      <w:r>
        <w:t>为实现精确位置控制，滚珠丝杆需满足高精度传动要求，其定位精度主要取决于导程误差（任意300mm行程内≤0.02mm）、累积误差（全程≤0.1mm）及反向间隙（通过预紧可消除至≤0.01mm）。预紧方式采用双螺母齿差调隙式，通过调整两个螺母的相对角位置，使滚珠与滚道产生预变形，预紧力通常设定为额定动载荷的10~15%，既保证无间隙传动，又避免过度预紧导致寿命降低。</w:t>
      </w:r>
    </w:p>
    <w:p w14:paraId="6F15DA4E">
      <w:r>
        <w:t>在垂直升降应用中，滚珠丝杆需具备自锁能力或配置制动装置。当丝杆导程角小于当量摩擦角（通常5°以下）时，可实现机械自锁，但顶升机常用导程（10~20mm）对应的导程角为3.5~7°，无法自锁，因此需在电机轴端配置电磁制动器（制动力矩为额定扭矩的1.5~2倍），断电时自动制动，防止负载坠落。制动响应时间≤50ms，确保紧急情况下的安全制动。</w:t>
      </w:r>
    </w:p>
    <w:p w14:paraId="06E68620">
      <w:r>
        <w:t>滚珠丝杆的寿命计算基于额定动载荷C，在额定负载F作用下，寿命L10=（C/F）³×10⁶转，当实际负载为额定负载的50%时，寿命可延长至8倍。为提高使用寿命，丝杆材料选用SUJ2轴承钢，经淬火处理（硬度HRC60~62），表面进行磷化或氮化处理（硬化层深度0.05~0.1mm），滚珠采用GCr15轴承钢（硬度HRC62~64），精度等级达到ISO 3级。在干变车间应用中，滚珠丝杆需每500小时加注一次特种润滑脂（聚脲基，NLGI 2级），通过油嘴注入螺母内部，确保滚珠与滚道之间的良好润滑。</w:t>
      </w:r>
    </w:p>
    <w:p w14:paraId="70D18DCD">
      <w:pPr>
        <w:pStyle w:val="4"/>
      </w:pPr>
      <w:r>
        <w:t>3.2 齿轮传动原理</w:t>
      </w:r>
    </w:p>
    <w:p w14:paraId="6EE21324">
      <w:r>
        <w:t>齿轮传动在顶升机中主要用于动力减速与运动方向转换，常见结构形式包括伞齿轮副、圆柱齿轮副及齿轮齿条机构。伞齿轮副用于垂直轴间的动力传递，如丝杆升降机中的直角传动，主动齿轮（小齿轮）与从动齿轮（大齿轮）的齿数比决定减速比i=z2/z1（z1为主动轮齿数，z2为从动轮齿数），传动效率随齿轮精度等级提高而增加，7级精度伞齿轮副效率可达98%以上。其工作原理基于渐开线齿廓的啮合传动，当主动轮旋转时，轮齿齿廓在从动轮齿廓上滚动，通过齿面法向力传递扭矩，同时实现旋转方向的90°改变。</w:t>
      </w:r>
    </w:p>
    <w:p w14:paraId="37904CDB">
      <w:r>
        <w:t>在电动式顶升机的多单元同步驱动中，常采用齿轮联轴器实现动力分配。电机输出轴通过一级圆柱齿轮减速（减速比1:3~1:5）后，驱动主动伞齿轮轴，主动轴通过齿轮联轴器连接多个从动伞齿轮轴，每个从动轴驱动一组滚珠丝杆，实现多丝杆的同步旋转。齿轮联轴器由两个带外齿的半联轴器和一个带内齿的套筒组成，外齿齿廓为渐开线，与套筒内齿啮合，允许两轴之间存在少量角向（≤1°）和轴向（≤2mm）偏差，补偿安装误差。</w:t>
      </w:r>
    </w:p>
    <w:p w14:paraId="1CB15DD5">
      <w:r>
        <w:t>齿轮齿条传动则适用于行程较长的顶升机构，齿条固定安装在升降平台上，齿轮由电机驱动，通过齿轮与齿条的啮合将旋转运动转化为直线运动。其传动特点是结构简单、行程不受限制，传动速度可达5m/s以上，但定位精度受齿轮齿距误差影响较大，通常需配合光栅尺实现闭环控制。在干变车间的大型顶升设备中，齿轮齿条机构作为辅助支撑，与滚珠丝杆形成复合传动，提高系统承载能力。</w:t>
      </w:r>
    </w:p>
    <w:p w14:paraId="7C032B53">
      <w:r>
        <w:t>齿轮传动的平稳性取决于齿形精度和啮合间隙，顶升机齿轮通常采用模数3~8mm，压力角20°，齿顶高系数1，顶隙系数0.25，精度等级GB/T 10095.1 7级。为减少啮合冲击，采用斜齿轮（螺旋角8~15°）替代直齿轮，通过齿面的渐进接触降低噪音（≤65dB）。齿轮材料选用20CrMnTi，渗碳淬火处理（渗碳层深度0.8~1.2mm，表面硬度HRC58~62），齿面进行磨齿加工，表面粗糙度Ra0.8~1.6μm。</w:t>
      </w:r>
    </w:p>
    <w:p w14:paraId="4B3212C6">
      <w:r>
        <w:t>润滑系统对齿轮传动寿命至关重要，闭式齿轮箱采用油浴润滑（润滑油型号L-CKC 150极压齿轮油），油位保持在最低齿轮的1/3齿高位置；开式齿轮传动则采用油脂润滑，定期涂抹锂基润滑脂（NLGI 2级），润滑周期根据工作环境确定，干变车间通常每200小时润滑一次，每次润滑量为齿面接触面积的1/3~1/2。</w:t>
      </w:r>
    </w:p>
    <w:p w14:paraId="28C511F0">
      <w:pPr>
        <w:pStyle w:val="4"/>
      </w:pPr>
      <w:r>
        <w:t>3.3 液压传动原理</w:t>
      </w:r>
    </w:p>
    <w:p w14:paraId="6F873D6E">
      <w:r>
        <w:t>液压传动基于帕斯卡原理，通过液压油传递压力能实现能量转换，其机械原理可概括为"力的放大"与"运动的控制"。液压式顶升机的液压系统由动力元件（液压泵）、执行元件（液压缸）、控制元件（阀类）和辅助元件（油箱、油管等）组成，工作时，液压泵将电机的机械能转化为液压油的压力能，通过控制元件调节压力、流量和方向，液压缸再将压力能转化为机械能，驱动负载升降。系统压力P由负载F和液压缸有效面积A决定，满足公式P=F/A（忽略摩擦损失），当负载增大时，系统压力自动升高，直至达到溢流阀设定压力。</w:t>
      </w:r>
    </w:p>
    <w:p w14:paraId="4CA9683C">
      <w:r>
        <w:t>液压泵是液压系统的动力源，顶升机采用轴向柱塞泵（型号A4VSO系列），其排量可通过调节斜盘倾角实现变量，在压力超过设定值时自动减小排量，保持恒功率输出。泵的工作压力为12~16MPa，流量25~63L/min，容积效率≥95%，总效率≥85%。为保护系统安全，泵出口设置溢流阀（调定压力为工作压力的1.1倍），防止过载；设置单向阀防止油液倒流，保护泵免受冲击。</w:t>
      </w:r>
    </w:p>
    <w:p w14:paraId="49ED3963">
      <w:r>
        <w:t>液压缸作为执行元件，其伸缩速度v由进入油缸的流量Q和有效面积A决定，公式v=Q/A。为实现速度控制，系统采用节流调速或容积调速：节流调速通过调节节流阀开度改变流量，结构简单但能耗大；容积调速通过改变泵排量调节流量，效率高，适用于大功率系统。顶升机通常采用容积节流联合调速，升降时通过变量泵调节流量，微调时通过比例节流阀控制，兼顾效率与精度。</w:t>
      </w:r>
    </w:p>
    <w:p w14:paraId="342D676D">
      <w:r>
        <w:t>液压系统的压力控制通过压力控制阀实现，每个顶升单元配置减压阀（设定压力根据负载单独调整），确保各油缸压力匹配；平衡阀（内控外泄式）安装在油缸下腔油路，防止负载超速下降，其开启压力为设定压力的10~15%，确保平稳下降。系统还配置压力传感器（精度0.5级）实时监测压力，当检测到压力异常（超过设定值10%或低于50%）时，PLC立即切断泵电源，实现故障保护。</w:t>
      </w:r>
    </w:p>
    <w:p w14:paraId="2873D680">
      <w:r>
        <w:t>液压油的特性对系统性能影响显著，顶升机选用L-HM46抗磨液压油，其粘度指数≥140，倾点≤-15℃，闪点≥180℃，在系统工作温度（30~50℃）下粘度保持在32~68mm²/s。为保持油液清洁度，系统设置三级过滤：吸油滤油器（精度80μm，压力损失≤0.02MPa）、回油滤油器（精度10μm，压力损失≤0.3MPa）和高压滤油器（精度5μm，安装在泵出口），油液污染度需控制在NAS 8级以内（每100mL油液中≥5μm颗粒数≤25000个）。</w:t>
      </w:r>
    </w:p>
    <w:p w14:paraId="27F74859">
      <w:r>
        <w:t>液压系统的维护重点包括油液更换（每6个月或2000工作小时）、滤芯更换（回油滤芯每500小时，吸油滤芯每年）、泄漏检查（每周）和排气操作（每月）。换油时需彻底清洗油箱，新油注入前通过精密滤油机（过滤精度3μm）过滤；排气时打开油缸顶部排气阀，手动操作使油缸全行程往复运动3~5次，直至排气阀连续出油无气泡。在干变车间环境下，液压站需配置油温控制装置（加热功率3~6kW，冷却面积0.5~1m²），确保油温维持在30~50℃，避免低温粘度增大或高温氧化变质。</w:t>
      </w:r>
    </w:p>
    <w:p w14:paraId="352C0391">
      <w:pPr>
        <w:pStyle w:val="3"/>
      </w:pPr>
      <w:r>
        <w:t>四、控制原理与PLC同步系统</w:t>
      </w:r>
    </w:p>
    <w:p w14:paraId="17273ED5">
      <w:pPr>
        <w:pStyle w:val="4"/>
      </w:pPr>
      <w:r>
        <w:t>4.1 控制系统组成</w:t>
      </w:r>
    </w:p>
    <w:p w14:paraId="41109B21">
      <w:r>
        <w:t>顶升机控制系统采用"PLC+伺服驱动+传感器"的三层架构，实现对设备的精准控制与状态监测。核心控制单元采用西门子S7-1200系列PLC（型号1214C DC/DC/DC），配置16点数字量输入（DI）、16点数字量输出（DO）、4点模拟量输入（AI，12位分辨率）及2点模拟量输出（AO），通过PROFINET总线（传输速率100Mbps）连接远程I/O模块（ET200SP系列）和伺服驱动器，形成分布式控制网络。人机交互界面采用10.1英寸触摸屏（型号TP1700 Comfort），实时显示设备运行参数（位置、速度、压力等）、报警信息及故障诊断结果，支持参数设置、手动操作和程序监控功能。</w:t>
      </w:r>
    </w:p>
    <w:p w14:paraId="565467D9">
      <w:r>
        <w:t>传感检测系统是控制精度的保障，位置检测采用光栅尺（型号LS 487，分辨率0.005mm，测量长度1.5~3m），安装在升降平台侧面，通过读数头反馈实时位置；压力检测采用扩散硅压力传感器（型号MPM480，量程0~25MPa，输出4~20mA），安装在油缸进油口，监测系统压力；接近开关（型号Ni8-M18-AP6X）用于极限位置检测，上、下极限各设置1个，前置位置设置1个用于减速控制；销轴传感器（型号CYB-12，量程0~30t，精度0.5%FS）安装在导向柱底部，监测实际负载。所有传感器信号经隔离模块（型号SM 1223）接入PLC，采样周期≤1ms。</w:t>
      </w:r>
    </w:p>
    <w:p w14:paraId="25640438">
      <w:r>
        <w:t>执行驱动系统根据驱动方式不同分为液压和电动两类：液压系统采用比例阀（型号4WRAE系列，响应时间≤50ms）控制流量，电磁换向阀（型号4WE6系列）控制方向，通过PLC模拟量输出（0~10V）调节比例阀开度；电动系统采用伺服驱动器（型号S120系列）驱动伺服电机，通过PROFINET实现位置闭环控制，驱动器配置编码器接口（支持Sin/Cos 1Vpp信号），实现全闭环控制。系统还配置急停按钮（蘑菇头式，常闭触点）、安全门开关（磁性开关）等安全装置，接入安全继电器（型号3TK2825），实现SIL2级安全控制。</w:t>
      </w:r>
    </w:p>
    <w:p w14:paraId="3B53B5A3">
      <w:r>
        <w:t>辅助系统包括液压站温控（加热器与冷却风扇）、电机过载保护、电源浪涌抑制等。液压站油温通过铂电阻（PT100，精度A级）监测，当油温低于15℃时启动加热器（功率3kW），高于50℃时启动冷却风扇（风量150m³/h）；电机配置热过载继电器（整定电流为额定电流的1.1倍），保护电机免受过载损坏；电源输入端安装浪涌保护器（Imax 40kA），抑制电网干扰。所有辅助系统状态信号接入PLC，实现集中监控。</w:t>
      </w:r>
    </w:p>
    <w:p w14:paraId="739DCC0E">
      <w:pPr>
        <w:pStyle w:val="4"/>
      </w:pPr>
      <w:r>
        <w:t>4.2 PLC同步控制核心技术</w:t>
      </w:r>
    </w:p>
    <w:p w14:paraId="245B3CC6">
      <w:r>
        <w:t>PLC同步控制是多单元顶升系统的关键技术，通过协调控制多个执行机构，实现负载的平稳升降，核心技术包括压力闭环控制、位移同步控制和负载均衡控制。压力闭环控制以压力传感器反馈信号为依据，通过PID算法调节比例阀开度，维持系统压力稳定。系统为每个顶升单元设置独立的压力闭环，PLC将设定压力与实际压力比较，计算压力偏差e=P设定-P实际，通过PID控制器（比例增益Kp=2.0~5.0，积分时间Ti=0.5~2.0s，微分时间Td=0~0.5s）输出控制量，调节比例阀开度，直至压力偏差≤±0.2MPa。在重载启动阶段，系统采用压力斜坡控制，压力上升速率设定为0.5~1MPa/s，避免冲击载荷。</w:t>
      </w:r>
    </w:p>
    <w:p w14:paraId="1D901CA0">
      <w:r>
        <w:t>位移同步控制采用主从控制策略，以其中一个顶升单元（主单元）为基准，其他单元（从单元）跟踪主单元的位移。PLC通过数字积分器生成主单元位移指令，各从单元的实际位移与主单元位移比较，计算同步偏差ΔS=S主-S从，通过速度前馈+PID调节补偿同步偏差。同步控制算法采用交叉耦合控制，不仅考虑各单元与主单元的偏差，还考虑单元间的相对偏差，当相对偏差超过±0.3mm时，自动调整各单元速度，确保同步精度≤±0.5mm。系统采样周期10ms，控制周期1ms，满足高速响应要求。</w:t>
      </w:r>
    </w:p>
    <w:p w14:paraId="4CD02035">
      <w:r>
        <w:t>负载均衡控制通过力-位协同控制实现，系统同时监测各顶升点的压力和位移，建立负载-位移模型。当负载偏差超过设定阈值（15%额定负载）时，PLC自动调整对应单元的位移指令，将负载转移至承载能力较强的单元。例如，当某单元压力超过平均压力15%时，系统降低该单元的顶升速度，同时提高其他单元速度，直至负载重新均衡。负载均衡控制与位移同步控制并行工作，通过加权系数（压力权重0.4，位移权重0.6）协调控制目标，既保证同步精度，又实现负载均衡。</w:t>
      </w:r>
    </w:p>
    <w:p w14:paraId="1D045F1A">
      <w:r>
        <w:t>同步控制流程分为启动、加速、匀速、减速、停止五个阶段：启动阶段（0~1s），各单元按压力闭环控制，建立初始压力（50%额定压力）；加速阶段（1~3s），按S型曲线加速至设定速度，同步偏差控制在±0.3mm以内；匀速阶段，维持设定速度，通过位移同步控制确保同步精度；减速阶段（行程末3~5s），按S型曲线减速，同步偏差逐步收敛至±0.1mm；停止阶段，各单元压力调整至设定值，误差≤±1%。系统还具备自动校准功能，每次启动前执行零点校准（以极限位置为基准），消除累计误差。</w:t>
      </w:r>
    </w:p>
    <w:p w14:paraId="697D0817">
      <w:pPr>
        <w:pStyle w:val="4"/>
      </w:pPr>
      <w:r>
        <w:t>4.3 安全保护控制逻辑</w:t>
      </w:r>
    </w:p>
    <w:p w14:paraId="2995062F">
      <w:r>
        <w:t>顶升机安全保护控制逻辑基于"故障检测-风险评估-安全响应"的三层防护机制，通过硬件与软件的冗余设计，实现对人员、设备和产品的全方位保护。安全控制逻辑符合EN ISO 13849-1标准，达到PLd等级，安全功能包括急停保护、过载保护、超程保护、防坠落保护及设备互锁等。</w:t>
      </w:r>
    </w:p>
    <w:p w14:paraId="3B67056B">
      <w:r>
        <w:t>急停保护通过安全继电器实现，当按下急停按钮或安全门打开时，安全继电器切断驱动器使能信号，同时输出信号至PLC，PLC立即关闭比例阀（液压系统）或切断电机电源（电动系统），使设备停止运动。急停响应时间≤100ms，停止过程中通过制动装置（电磁制动器或液压锁）锁定负载位置，防止坠落。急停状态需手动复位，复位前需确认故障排除，复位后系统执行自检，无异常方可重新启动。</w:t>
      </w:r>
    </w:p>
    <w:p w14:paraId="2155BEF0">
      <w:r>
        <w:t>过载保护通过压力传感器和销轴传感器双重监测实现，当任一传感器检测到负载超过额定值110%时，系统立即停止顶升动作，切换至保压状态，并发出过载报警。压力过载判断条件为：系统压力持续3s超过设定压力1.1倍；负载过载判断条件为：销轴传感器检测值持续2s超过额定负载1.1倍。两种条件满足其一即触发保护，保护动作优先级高于其他控制指令。</w:t>
      </w:r>
    </w:p>
    <w:p w14:paraId="4400F3E6">
      <w:r>
        <w:t>超程保护采用多级限位控制，包括软限位和硬限位。软限位通过PLC程序设定，在距离极限位置100mm处触发减速信号，50mm处触发低速信号；硬限位通过接近开关实现，当平台到达极限位置时，接近开关信号触发硬件联锁，切断驱动电源。软限位可通过人机界面调整，硬限位为物理极限，不可调整。系统还具备位置异常检测功能，当实际位置与指令位置偏差超过5mm时，判定为位置异常，立即停止运动。</w:t>
      </w:r>
    </w:p>
    <w:p w14:paraId="2B9353B8">
      <w:r>
        <w:t>防坠落保护是垂直升降设备的关键安全功能，液压系统通过平衡阀（内置单向阀）防止油缸失压坠落，平衡阀的开启压力设定为工作压力的10~15%，确保即使油管破裂，负载下降速度也不超过0.1m/s；电动系统通过电磁制动器（断电制动型）实现，制动器制动力矩为额定扭矩的1.5倍，响应时间≤50ms。系统还配置防坠落检测，通过比较光栅尺位置变化率，当检测到异常下降速度（超过正常速度150%）时，立即触发紧急制动。</w:t>
      </w:r>
    </w:p>
    <w:p w14:paraId="078E3753">
      <w:r>
        <w:t>设备互锁逻辑确保顶升机与周边设备的协同工作安全，包括与堆垛机的通信互锁（通过PROFIBUS DP实现）、与输送线的信号互锁（通过光电传感器）、与模具定位装置的机械互锁（通过定位销）。互锁条件不满足时，顶升机禁止启动；运行过程中互锁条件丢失时，立即停止动作。例如，堆垛机未到达指定位置时，顶升机上升指令被禁止；模具未完全定位时，顶升机不执行升降动作。互锁信号采用双通道设计，确保信号可靠性。</w:t>
      </w:r>
    </w:p>
    <w:p w14:paraId="4004ED4C">
      <w:r>
        <w:t>系统还具备故障诊断与报警功能，PLC实时监测各传感器、执行器状态，当检测到故障时（如传感器断线、电机过载、压力异常等），立即执行安全保护动作，并在人机界面显示故障代码、故障位置及处理建议。故障代码采用分层编码结构，第一位表示故障类型（1-机械，2-电气，3-液压），后三位表示具体故障点（如1001表示油缸泄漏）。系统还记录故障发生时间、工况参数等信息，存储容量≥1000条，便于故障分析与预防。</w:t>
      </w:r>
    </w:p>
    <w:p w14:paraId="73CB8D36">
      <w:pPr>
        <w:pStyle w:val="3"/>
      </w:pPr>
      <w:r>
        <w:t>五、常见故障类型与成因分析</w:t>
      </w:r>
    </w:p>
    <w:p w14:paraId="4013199D">
      <w:pPr>
        <w:pStyle w:val="4"/>
      </w:pPr>
      <w:r>
        <w:t>5.1 机械系统典型故障</w:t>
      </w:r>
    </w:p>
    <w:p w14:paraId="0EF4A9DD">
      <w:r>
        <w:t>机械系统故障是顶升机最常见的故障类型，主要表现为结构件损坏、传动部件失效及运动精度下降，典型故障包括油缸锁不住、活塞杆卡滞、升降平台偏载及丝杆螺母磨损等。油缸锁不住故障表现为停止顶升后负载缓慢下降（下降速度超过5mm/min），其直接成因是油缸密封件失效（约占70%），如活塞密封件老化龟裂（使用超过8000小时）、密封唇口磨损（磨粒磨损导致）或安装不当（密封件扭曲）；其次是液压锁故障（约占20%），如阀芯卡滞（污染物堵塞阻尼孔）、弹簧断裂（疲劳失效）或阀座磨损（液压油冲蚀）；少数情况下为油缸缸体变形（约占10%），如缸筒内壁划伤（异物进入）或活塞杆弯曲（偏载导致）。</w:t>
      </w:r>
    </w:p>
    <w:p w14:paraId="6A2B8BE1">
      <w:r>
        <w:t>活塞杆卡滞表现为升降过程中运动不平稳，伴随异常噪音（＞85dB），主要成因包括导向装置故障（40%）：导柱与导套间隙过小（＜0.1mm）导致润滑不良，或间隙过大（＞0.5mm）导致偏摆；传动部件卡滞（35%）：滚珠丝杆螺母副缺油（润滑周期超过规定2倍）、丝杆弯曲（直线度误差＞0.2mm/m）或齿轮啮合不良（齿侧间隙＜0.1mm或＞0.5mm）；负载偏心（25%）：模具定位偏差（超过±50mm）导致活塞杆承受径向力，或平台上负载分布不均（偏载率＞10%）。在干变车间环境下，粉尘进入导向间隙是卡滞的常见诱因，约占故障总数的30%。</w:t>
      </w:r>
    </w:p>
    <w:p w14:paraId="72BC7B34">
      <w:r>
        <w:t>升降平台偏载故障表现为平台在升降过程中倾斜（倾斜角度＞0.5°），严重时导致模具碰撞。成因包括机械结构不对称（45%）：两侧丝杆螺母磨损量差异＞0.2mm，或油缸活塞杆伸出长度不一致（偏差＞5mm）；导向装置磨损不均（30%）：某侧导柱导套磨损量＞0.3mm，或导轨直线度超差（＞0.3mm/m）；同步控制系统故障（25%）：两侧位置传感器信号偏差＞0.5mm未纠正，或PLC同步算法参数设置错误（如比例增益过大导致震荡）。偏载故障在多单元协同顶升系统中更为常见，约占机械故障的25%。</w:t>
      </w:r>
    </w:p>
    <w:p w14:paraId="1DD07249">
      <w:r>
        <w:t>丝杆螺母副磨损是慢性故障，表现为定位精度逐渐下降（每月下降超过0.05mm），其主要成因包括润滑不良（50%）：未按规定加注润滑脂（型号错误或周期过长），导致滚珠与滚道干摩擦；负载超标（30%）：长期在120%额定负载以上运行，或频繁承受冲击载荷（如急停次数＞10次/天）；安装误差（20%）：丝杆轴向窜动＞0.1mm，或径向跳动＞0.05mm，导致局部应力集中。磨损程度可通过测量螺母轴向间隙判断，当间隙＞0.1mm时需进行预紧调整，＞0.3mm时必须更换螺母副。</w:t>
      </w:r>
    </w:p>
    <w:p w14:paraId="7928BDDD">
      <w:pPr>
        <w:pStyle w:val="4"/>
      </w:pPr>
      <w:r>
        <w:t>5.2 液压/气动系统故障</w:t>
      </w:r>
    </w:p>
    <w:p w14:paraId="1E9E8254">
      <w:r>
        <w:t>液压系统故障在液压式顶升机中占比达60~70%，主要包括压力不足、管路泄漏、油温过高及液压油污染等类型。压力不足表现为系统无法达到设定压力（如设定16MPa仅能达到10MPa），或压力不稳定（波动＞±1MPa）。压力建立不起来的成因包括动力元件故障（40%）：液压泵排量不足（磨损导致容积效率＜85%）、电机转速不够（电压偏低10%以上）或泵转向错误；控制元件故障（35%）：溢流阀设定压力过低（未按负载调整）、阀芯磨损（内泄漏量＞50mL/min）或比例阀卡滞（电磁铁故障）；执行元件故障（25%）：油缸内泄漏（活塞密封件损坏，泄漏量＞10mL/min）或液压锁内泄漏（保压测试10分钟压力下降＞0.5MPa）。在压力测试中，若堵塞油缸进油口后压力能升至设定值，则故障在执行元件；反之则在动力或控制元件。</w:t>
      </w:r>
    </w:p>
    <w:p w14:paraId="6E68FD89">
      <w:r>
        <w:t>管路泄漏是液压系统常见故障，分为外泄漏和内泄漏。外泄漏表现为油管接头、法兰或油缸活塞杆处有油滴渗出（滴油频率＞1滴/分钟），成因包括接头松动（40%）：管接头螺纹未拧紧（扭矩＜规定值的80%），或密封圈老化（使用超过1年）；管路损坏（35%）：高压油管疲劳破裂（弯曲半径过小或频繁振动），或接头焊接缺陷（如气孔、裂纹）；密封件失效（25%）：O型圈压缩量不足（＜15%）或过大（＞30%），或密封材料与液压油不相容（如使用丁腈橡胶密封件接触磷酸酯液压油）。内泄漏表现为系统压力正常但执行元件速度下降，主要发生在阀类元件内部（如换向阀内泄漏量＞10mL/min）或油缸活塞密封失效。</w:t>
      </w:r>
    </w:p>
    <w:p w14:paraId="3DBAB180">
      <w:r>
        <w:t>油温过高故障表现为液压油温度超过55℃（正常范围30~50℃），导致油液粘度下降、密封件老化加速。成因包括散热不良（50%）：冷却器堵塞（散热片积尘厚度＞2mm）、风扇故障（转速不足额定值的80%）或油箱油量不足（低于最低液位20%）；系统效率低（30%）：液压泵磨损（容积效率＜85%）、溢流阀长期开启（压力损失＞2MPa）或管路布局不合理（弯头过多导致沿程损失＞0.5MPa/m）；环境因素（20%）：车间环境温度超过40℃，或设备安装在通风不良区域（周围有热源）。油温每升高10℃，液压油寿命缩短50%，密封件寿命缩短40%，需重点预防。</w:t>
      </w:r>
    </w:p>
    <w:p w14:paraId="2E615041">
      <w:r>
        <w:t>液压油污染是液压系统故障的根源，70%的液压故障与油液污染有关。污染类型包括固体颗粒污染（60%）：NAS 8级以上颗粒（≥5μm颗粒数＞25000个/100mL），主要来源于油箱密封不严（粉尘进入）、新油未过滤（清洁度等级＜NAS 8级）或元件磨损（金属屑）；水污染（25%）：水含量＞0.1%，导致油液乳化、金属锈蚀，主要来源于空气中水分凝结（油箱呼吸帽失效）或冷却器泄漏；油液氧化变质（15%）：酸值＞0.5mgKOH/g，粘度变化率＞10%，主要原因是油温长期过高（超过55℃）或使用超过6个月未更换。</w:t>
      </w:r>
    </w:p>
    <w:p w14:paraId="1FB981A6">
      <w:pPr>
        <w:pStyle w:val="4"/>
      </w:pPr>
      <w:r>
        <w:t>5.3 电气与控制系统故障</w:t>
      </w:r>
    </w:p>
    <w:p w14:paraId="76F02032">
      <w:r>
        <w:t>电气与控制系统故障占顶升机故障总数的20~30%，主要包括传感器故障、PLC通讯异常、电机驱动故障及程序逻辑错误等。传感器故障表现为信号异常（如压力信号跳变＞±0.5MPa，位置信号无变化），导致系统无法正常工作。压力传感器故障（35%）成因包括：接线松动或断线（振动导致端子排接触不良）、传感器零点漂移（温度变化超过20℃未补偿）、膜片损坏（过载压力超过量程150%）；位置传感器故障（30%）：光栅尺读数头污染（粉尘覆盖）、信号线屏蔽不良（接地电阻＞1Ω）、标尺光栅损坏（碰撞导致刻线磨损）；接近开关故障（25%）：感应距离变化（从8mm降至＜3mm）、开关触点氧化（潮湿环境导致）或安装松动（位置偏差＞2mm）；销轴传感器故障（10%）：应变片老化（使用超过2年）、信号线断裂（反复弯曲）或桥路供电故障（电压波动超过±5%）。</w:t>
      </w:r>
    </w:p>
    <w:p w14:paraId="3D493C53">
      <w:r>
        <w:t>PLC通讯异常表现为数据传输中断或延迟（周期＞100ms），主要成因包括网络故障（50%）：PROFINET网线接触不良（水晶头氧化）、交换机端口故障（数据丢包率＞1%）或网络拓扑错误（未采用星型结构）；硬件故障（30%）：PLC模块松动（导轨安装不牢固）、电源模块电压波动（输出电压偏差＞±5%）或I/O模块损坏（通道短路）；软件配置错误（20%）：IP地址冲突、通讯速率不匹配（如设置为10Mbps而非100Mbps）或PROFINET设备名称重复。在多单元协同系统中，通讯异常易导致同步误差增大，是引发机械故障的间接原因。</w:t>
      </w:r>
    </w:p>
    <w:p w14:paraId="4FDD6A94">
      <w:r>
        <w:t>电机驱动故障在电动式顶升机中较为常见，表现为电机不启动、转速异常或异响。伺服电机故障（40%）成因包括：编码器故障（信号丢失或干扰）、轴承磨损（运行噪音＞75dB）或绕组绝缘老化（绝缘电阻＜1MΩ）；伺服驱动器故障（35%）：功率模块损坏（过流导致IGBT烧毁）、制动单元故障（制动电阻过热）或控制板故障（程序丢失）；电源故障（25%）：输入电压缺相、电压过低（＜320V）或电源滤波器损坏（无法抑制谐波）。电机过载（电流超过额定值150%持续3s）是驱动故障的主要诱因，约占电机故障的60%。</w:t>
      </w:r>
    </w:p>
    <w:p w14:paraId="337739F3">
      <w:r>
        <w:t>程序逻辑错误表现为设备动作不符合预期，如升降顺序错误、同步控制失效等，主要成因包括参数设置错误（50%）：同步控制参数（如比例增益、积分时间）设置不当，或传感器校准参数错误（零点偏移未修正）；逻辑漏洞（35%）：未考虑极限工况（如急停后重启流程缺失）、互锁条件不完整（安全门信号未接入）或定时器设置不合理（延时过短导致动作冲突）；程序版本问题（15%）：使用未测试的Beta版程序、程序上传不完整或备份与实际运行版本不一致。逻辑错误在设备调试阶段占电气故障的70%，在运行阶段因参数篡改或电池失电导致的占30%。</w:t>
      </w:r>
    </w:p>
    <w:p w14:paraId="502553E0">
      <w:pPr>
        <w:pStyle w:val="3"/>
      </w:pPr>
      <w:r>
        <w:t>六、故障诊断与维护对策</w:t>
      </w:r>
    </w:p>
    <w:p w14:paraId="75394F6E">
      <w:pPr>
        <w:pStyle w:val="4"/>
      </w:pPr>
      <w:r>
        <w:t>6.1 故障诊断方法</w:t>
      </w:r>
    </w:p>
    <w:p w14:paraId="31623A69">
      <w:r>
        <w:t>顶升机故障诊断需采用"先外后内、先简后繁、先软后硬"的原则，结合直观检查法、仪器检测法和数据分析法，实现故障的准确定位。直观检查法是故障诊断的第一步，通过"看、听、摸、闻"四步法初步判断故障部位：看——观察设备外观有无明显异常，如液压油泄漏（油管接头有油迹）、部件变形（平台倾斜）、指示灯状态（报警灯闪烁）或模具位置偏差（与基准线偏差＞10mm）；听——辨别运行声音是否正常，如电机异响（轴承损坏的"嗡嗡"声）、液压泵气蚀（"嘶嘶"声）、齿轮啮合不良（"咔咔"声）或油缸爬行（"顿挫"声）；摸——检测关键部位温度和振动，如电机外壳温度（正常≤70℃，超过80℃为异常）、液压油箱温度（超过55℃需警惕）、丝杆螺母座振动（振幅＞0.1mm为异常）；闻——嗅闻有无异常气味，如绝缘烧焦味（电机绕组烧毁）、液压油焦糊味（油温过高氧化）或橡胶老化味（密封件失效）。直观检查法可解决约30%的简单故障，如松动、漏油、异物卡滞等。</w:t>
      </w:r>
    </w:p>
    <w:p w14:paraId="62F43F4E">
      <w:r>
        <w:t>仪器检测法是精确定位故障的核心手段，根据故障类型选用相应仪器：压力检测采用便携式数字压力表（精度0.2级），测量液压系统各关键点压力，如泵出口压力（正常12~16MPa，低于10MPa为压力不足）、油缸无杆腔压力（与负载匹配）、溢流阀回油压力（正常＜0.5MPa，超过1MPa为阀芯卡滞）；流量检测采用超声波流量计（精度±1%），测量液压系统流量，判断泵排量是否达标（如额定25L/min实测仅15L/min则泵磨损）；位置精度检测采用激光干涉仪（分辨率0.01μm），测量平台定位误差（超过±0.1mm需校准）和重复定位误差（超过±0.05mm需维修）；振动检测采用振动分析仪（频率范围10~1000Hz），测量轴承、齿轮等旋转部件的振动加速度（正常≤10m/s²，超过20m/s²为异常），通过频谱分析判断故障源（如滚珠丝杆故障频率为旋转频率的2倍）；电气检测采用万用表（精度0.5级）测量电压、电流、电阻，示波器（带宽≥100MHz）观察传感器信号波形（如光栅尺信号是否失真），绝缘电阻表（量程0~1000MΩ）测量电机绝缘电阻（正常≥5MΩ）。</w:t>
      </w:r>
    </w:p>
    <w:p w14:paraId="17451B87">
      <w:r>
        <w:t>PLC数据分析法通过读取控制系统内部数据，深入分析故障原因。利用人机界面的诊断页面，查看实时参数：压力曲线（正常为平滑曲线，波动＞±0.5MPa为异常）、位置同步误差（超过±0.5mm需调整）、电机电流（超过额定值120%为过载）；调取历史故障记录，查看故障代码、发生时间及当时工况（如负载、速度、温度）；通过PLC编程软件（如TIA Portal）在线监控程序运行，强制输出信号判断执行元件是否动作，模拟输入信号判断传感器是否正常。数据分析法特别适用于间歇性故障（如偶发通讯中断）和隐性故障（如参数漂移），可通过趋势分析预测潜在故障，如油温每月升高2℃提示冷却系统效率下降。</w:t>
      </w:r>
    </w:p>
    <w:p w14:paraId="5E139486">
      <w:r>
        <w:t>故障诊断流程应标准化，分为故障现象记录→初步判断→系统检测→部件定位→原因确认五个步骤。以"顶升压力不足"为例，诊断流程为：记录压力值（如设定16MPa仅达10MPa）→初步判断为动力系统或执行系统故障→检测泵出口压力（若仍为10MPa则泵或溢流阀故障）→拆解溢流阀检查（发现阀芯卡滞）→确认原因为液压油污染（NAS等级9级）。每个诊断步骤需记录数据，形成故障诊断报告，作为维护依据。</w:t>
      </w:r>
    </w:p>
    <w:p w14:paraId="72A8BCFA">
      <w:pPr>
        <w:pStyle w:val="4"/>
      </w:pPr>
      <w:r>
        <w:t>6.2 典型故障处理步骤</w:t>
      </w:r>
    </w:p>
    <w:p w14:paraId="52A03A37">
      <w:r>
        <w:t>油缸锁不住故障的处理需按"先易后难"原则分步排查：第一步，检查液压油位和清洁度，油位需在液位计1/2~2/3处，油液污染度需≤NAS 8级，若油位过低补充至标准位置，油液污染则更换液压油并清洗油箱；第二步，测试液压锁功能，拆卸液压锁进油口油管，手动操作换向阀使油缸伸出，观察油管出油情况，若持续出油则液压锁失效，需拆解清洗或更换；第三步，检查油缸密封件，将活塞杆全部伸出，拆卸无杆腔油管，手动操作换向阀使油缸收回，若油管有油流出则无杆腔密封件损坏，需更换活塞密封件（U形圈和导向带）；第四步，检查油缸缸体，测量活塞杆直线度（允许偏差≤0.5mm/m），检测缸筒内壁粗糙度（Ra≤0.8μm），若超标则需更换油缸总成。处理完毕后进行保压测试：16MPa压力下保压10分钟，压力下降≤0.5MPa为合格。</w:t>
      </w:r>
    </w:p>
    <w:p w14:paraId="43439910">
      <w:r>
        <w:t>压力不足故障的处理步骤：第一步，检查电机转向和转速，确认电机接线正确（三相序无误），转速达到额定值（如1450r/min），若转向错误调换任意两相接线，转速不足检查电源电压（需≥360V）；第二步，检查溢流阀设定压力，顺时针调节溢流阀手柄，观察压力是否上升，若压力无变化则溢流阀故障，拆解清洗阻尼孔（直径0.8mm），更换老化弹簧（自由长度偏差≤1mm）；第三步，检测液压泵性能，关闭泵出口截止阀，测量泵出口压力，若能达到设定压力则泵正常，否则泵磨损，需测量泵容积效率（低于85%需维修或更换）；第四步，检查油缸内泄漏，在油缸无杆腔施加16MPa压力，测量活塞杆回缩量（10分钟≤0.5mm为合格），超标则更换密封件。处理后进行加载测试，在100%额定负载下运行3个循环，压力稳定为合格。</w:t>
      </w:r>
    </w:p>
    <w:p w14:paraId="28D55EE0">
      <w:r>
        <w:t>传感器故障的处理步骤（以光栅尺为例）：第一步，清洁读数头和标尺光栅，用无水乙醇擦拭读数头镜片，软布擦拭标尺光栅表面，去除粉尘和油污；第二步，检查信号电缆，测量电缆导通性（芯线间电阻＜1Ω，屏蔽层接地电阻＜1Ω），修复断线或更换电缆；第三步，重新校准零点，通过PLC程序将平台移动至机械零点，设置光栅尺零点偏移量（补偿机械误差）；第四步，测试信号质量，用示波器观察光栅尺输出信号（Sin/Cos 1Vpp），信号幅度应≥0.8V，波形失真度≤5%，不合格则更换读数头或标尺光栅。处理后进行定位精度测试，全程范围内定位误差需≤±0.1mm。</w:t>
      </w:r>
    </w:p>
    <w:p w14:paraId="5C408358">
      <w:r>
        <w:t>同步误差超差故障的处理步骤：第一步，检查各单元位置传感器，确保信号正常（无跳变），重新校准传感器零点（偏差≤0.05mm）；第二步，调整机械同步机构，测量两侧丝杆螺母座高度差（允许偏差≤0.2mm），通过垫片调整至一致；第三步，优化PLC同步控制参数，比例增益Kp从当前值降低20%，积分时间Ti增加20%，消除震荡；第四步，检查导向装置，测量两侧导柱导套间隙（0.1~0.3mm），更换磨损超差的导套（磨损量＞0.3mm）。处理后进行同步测试：多单元以0.5m/min速度升降，全程同步误差需≤±0.5mm。</w:t>
      </w:r>
    </w:p>
    <w:p w14:paraId="081FBB97">
      <w:pPr>
        <w:pStyle w:val="4"/>
      </w:pPr>
      <w:r>
        <w:t>6.3 预防性维护措施</w:t>
      </w:r>
    </w:p>
    <w:p w14:paraId="5C7FF990">
      <w:r>
        <w:t>预防性维护是降低故障率的关键，需制定"日常-每周-每月-季度-年度"五级维护计划，覆盖机械、液压、电气各系统。日常维护（每班）由操作工执行，内容包括：检查液压油位（液位计1/2~2/3）、有无泄漏（接头无油迹）、电机温度（≤70℃）、运行声音（≤75dB）；清洁设备表面和光栅尺读数头；记录运行参数（压力、温度、时间）。发现异常立即停机，通知维修工处理。</w:t>
      </w:r>
    </w:p>
    <w:p w14:paraId="57D59730">
      <w:r>
        <w:t>每周维护由维修工执行，重点内容：检查液压系统压力（泵出口12~16MPa，溢流阀设定17.6MPa）；测试急停功能（按下急停按钮，设备应立即停止并锁定）；检查导柱导套润滑情况（注入锂基润滑脂，直至溢出）；清洁接近开关感应面（无粉尘覆盖）。对多单元系统，需检查同步误差（≤±0.5mm），必要时进行微调。</w:t>
      </w:r>
    </w:p>
    <w:p w14:paraId="1E2403D3">
      <w:r>
        <w:t>每月维护需停机4小时，内容包括：全面检查液压系统，测量液压油污染度（NAS 8级以下），检测油缸密封件（无渗漏），紧固油管接头（扭矩25N·m）；检查滚珠丝杆副润滑（注入特种润滑脂，每个螺母20~30g）；校准位置传感器（激光干涉仪校准，定位精度≤±0.1mm）；测试安全保护功能（过载、超程保护动作可靠）。对电气系统，检查接线端子紧固度（扭矩1.5N·m），测量接地电阻（≤1Ω）。</w:t>
      </w:r>
    </w:p>
    <w:p w14:paraId="230B3F05">
      <w:r>
        <w:t>季度维护需停机8小时，内容包括：更换液压油回油滤芯（精度10μm），清洗吸油滤芯；检查齿轮箱油位和油质，油位不足补充L-CKC 150齿轮油；测量电机绝缘电阻（≥10MΩ），检查碳刷磨损量（剩余长度≥15mm）；检测导轨直线度（≤0.3mm/m），调整导柱垂直度；测试PLC程序备份，更新故障记录。</w:t>
      </w:r>
    </w:p>
    <w:p w14:paraId="303F2BDE">
      <w:r>
        <w:t>年度维护需停机16小时，内容包括：更换液压油（L-HM46抗磨液压油），清洗油箱和液压元件；更换滚珠丝杆螺母副润滑脂（聚脲基润滑脂）；解体检查齿轮传动系统，测量齿侧间隙（0.2~0.4mm），必要时调整垫片；更换所有密封件（O型圈、U形圈等）；全面校准控制系统（同步误差、压力控制精度等）。年度维护后进行全面性能测试，确保各项指标达标。</w:t>
      </w:r>
    </w:p>
    <w:p w14:paraId="3C6E416A">
      <w:r>
        <w:t>维护过程中需使用专用工具，如扭矩扳手（精度±3%）、液压油滤油机（过滤精度3μm）、激光干涉仪（精度±0.5μm）等，确保维护质量。每个维护项目需记录数据，形成维护档案，作为设备状态评估依据。</w:t>
      </w:r>
    </w:p>
    <w:p w14:paraId="7BA9EF0D">
      <w:pPr>
        <w:pStyle w:val="4"/>
      </w:pPr>
      <w:r>
        <w:t>6.4 故障预防与健康管理</w:t>
      </w:r>
    </w:p>
    <w:p w14:paraId="2184AB74">
      <w:r>
        <w:t>故障预防通过"主动维护+状态监测"相结合的方式，实现对潜在故障的早期干预。主动维护措施包括：润滑管理（建立润滑卡片，明确润滑点、油脂型号、周期和用量，如丝杆螺母每500小时加注2#聚脲脂30g）；清洁管理（每日清理设备表面粉尘，每周清洁电气柜滤网，每月清洁光栅尺）；紧固管理（每月检查关键部位螺栓扭矩，如电机地脚螺栓35N·m，丝杆螺母座螺栓25N·m）；校准管理（每季度校准传感器，每半年校准压力表，每年校准PLC程序）。主动维护可降低30~40%的机械故障。</w:t>
      </w:r>
    </w:p>
    <w:p w14:paraId="0C6A0AD9">
      <w:r>
        <w:t>状态监测技术是故障预防的高级手段，通过实时采集设备运行参数，分析设备健康状态。振动监测：在电机轴承、丝杆螺母座安装振动传感器（加速度传感器，量程0~50g），监测振动加速度（正常≤10m/s²）和特征频率（如轴承故障频率），当振动值超过阈值15m/s²时发出预警；温度监测：在电机绕组、液压油箱、齿轮箱安装温度传感器（PT100），实时监测温度变化（温升速率≤5℃/h），超过设定值（如电机80℃）时报警；油液分析：每季度取液压油样，检测粘度（变化率≤10%）、酸值（≤0.5mgKOH/g）、水分（≤0.1%）和污染度（NAS 8级以下），提前发现油液劣化；电流监测：监测电机运行电流，分析电流频谱，判断是否存在堵转、轴承磨损等问题。</w:t>
      </w:r>
    </w:p>
    <w:p w14:paraId="584318A5">
      <w:r>
        <w:t>基于状态监测数据，建立设备健康评估模型，通过PLC或上位机软件实现健康度评分（0~100分），评分指标包括：机械系统（40分）：振动20分、温度10分、位置精度10分；液压系统（30分）：压力稳定性10分、油液状态10分、泄漏5分、响应速度5分；电气系统（30分）：传感器精度10分、电机电流10分、通讯质量5分、程序逻辑5分。健康度＜80分时发出预警，＜60分时停机维护。</w:t>
      </w:r>
    </w:p>
    <w:p w14:paraId="0541D293">
      <w:r>
        <w:t>故障知识库建设是长期预防的基础，收集历史故障数据，建立故障模式库，包括故障现象、成因、处理方法和预防措施。采用FMEA（故障模式与影响分析）方法，对关键部件进行风险评估，确定高风险项目（如液压锁失效导致坠落），制定专项预防措施。定期组织维护人员培训，提高故障判断能力，开展模拟故障演练，提升应急处理效率。</w:t>
      </w:r>
    </w:p>
    <w:p w14:paraId="4C71F7B2">
      <w:r>
        <w:t>备品备件管理确保故障处理及时，关键备件库存需满足：密封件（常用规格各5套）、液压滤芯（10个）、接近开关（5个）、传感器（各2套）、滚珠丝杆螺母副（1套）。备件需分类存放，标识清晰，定期检查库存和保质期（如密封件保质期2年），建立最低库存预警机制。</w:t>
      </w:r>
    </w:p>
    <w:p w14:paraId="7ED61907">
      <w:r>
        <w:t>通过综合应用预防性维护、状态监测、健康管理和知识库建设，可将顶升机平均无故障运行时间（MTBF）从5000小时提升至8000小时以上，降低维护成本30%。</w:t>
      </w:r>
    </w:p>
    <w:p w14:paraId="7123F1C9">
      <w:pPr>
        <w:pStyle w:val="3"/>
      </w:pPr>
      <w:r>
        <w:t>七、维护保养与安全操作规程</w:t>
      </w:r>
    </w:p>
    <w:p w14:paraId="0D67C178">
      <w:pPr>
        <w:pStyle w:val="4"/>
      </w:pPr>
      <w:r>
        <w:t>7.1 定期维护保养规范</w:t>
      </w:r>
    </w:p>
    <w:p w14:paraId="0AD43A60">
      <w:r>
        <w:t>定期维护保养需严格遵循"预防为主、按需维护"的原则，根据设备运行工况和部件寿命制定详细计划，确保维护工作的系统性和有效性。日常维护保养由设备操作人员每班执行，内容包括班前检查、班中巡检和班后清理。班前检查项目：液压油位（液位计1/2~2/3处）、电源电压（380V±5%）、急停按钮（完好有效）、安全门开关（闭合可靠）、模具定位装置（无松动）；启动设备后，观察空载运行30秒，确认有无异响（≤75dB）、漏油（无滴漏）及报警信息（无故障代码）。班中巡检每2小时进行一次，记录运行参数：系统压力（12~16MPa）、油温（30~50℃）、电机温度（≤70℃）及同步误差（≤±0.5mm），发现异常立即停机检查。班后清理工作：清扫设备表面粉尘（使用压缩空气，压力≤0.4MPa）、清理导轨和导柱表面油污、关闭电源和气源，填写设备运行记录。</w:t>
      </w:r>
    </w:p>
    <w:p w14:paraId="33883C89">
      <w:r>
        <w:t>每周维护保养由维修人员执行，重点检查机械传动和液压系统。机械部分：检查导柱导套润滑情况，注入锂基润滑脂（型号ZL-3，用量以溢出为准）；紧固平台连接螺栓（扭矩35N·m）；检查齿轮啮合情况，齿面涂抹润滑脂（NLGI 2级）。液压系统：检查油管接头有无松动（扭矩25N·m）、液压锁有无渗漏；测试油缸保压性能（16MPa保压5分钟，压降≤0.3MPa）；清洁液压站空气过滤器（滤芯无堵塞）。电气系统：检查传感器信号线有无破损、接近开关位置是否偏移（±1mm内）；清洁触摸屏和操作按钮。维护后进行功能测试，确保各动作正常。</w:t>
      </w:r>
    </w:p>
    <w:p w14:paraId="76991A8B">
      <w:r>
        <w:t>每月维护保养需停机4小时，进行深度检查和校准。液压系统：检测液压油污染度（NAS 8级以下），使用颗粒计数器测量，超标则更换液压油（L-HM46抗磨液压油）；更换回油滤芯（精度10μm），清洗吸油滤芯；检查蓄能器压力（预充压力8MPa），不足时补充氮气。机械系统：测量滚珠丝杆轴向间隙（≤0.1mm），必要时调整预紧螺母；检查活塞杆表面有无划伤（深度≤0.1mm），轻微划伤可用800目砂纸抛光；校准导轨直线度（≤0.3mm/m），调整导柱垂直度。电气系统：校准位置传感器（激光干涉仪，定位精度≤±0.1mm）；检查PLC程序备份，测试通讯链路（丢包率≤0.1%）；紧固电气柜接线端子（扭矩1.5N·m）。</w:t>
      </w:r>
    </w:p>
    <w:p w14:paraId="162B83A7">
      <w:r>
        <w:t>季度维护保养需停机8小时，重点检查关键部件磨损情况。机械部分：解体检查丝杆螺母副，测量滚道磨损量（≤0.05mm），更换润滑脂（聚脲基，用量20~30g/螺母）；检查齿轮箱油位，补充L-CKC 150齿轮油至油位线；测量电机轴承温度（≤75℃），测试振动加速度（≤10m/s²）。液压部分：检查油缸活塞杆密封件（无老化裂纹）；测试比例阀响应时间（≤50ms）；清洗液压油箱（使用中性清洗剂）。电气部分：测量电机绝缘电阻（≥5MΩ）；检查伺服驱动器散热风扇（运转正常）；测试安全继电器功能（动作可靠）。</w:t>
      </w:r>
    </w:p>
    <w:p w14:paraId="05B97D1B">
      <w:r>
        <w:t>年度维护保养需停机16小时，执行全面检修和部件更换。机械系统：更换所有密封件（O型圈、U形圈、导向带）；更换滚珠丝杆螺母副润滑脂；检测平台变形量（平面度≤0.5mm/m），必要时进行校正。液压系统：更换液压油和所有滤芯（吸油、高压、回油滤芯）；测试液压泵容积效率（≥90%）；检查油缸内表面（Ra≤0.8μm），磨损超标则更换油缸。电气系统：更换接近开关和传感器（使用超过2年）；更新PLC程序至最新版本；测试应急停机响应时间（≤100ms）。年度维护后进行全面性能测试，包括负载测试（100%和110%额定负载各3次循环）、同步精度测试（全程误差≤±0.5mm）及安全功能测试，确保设备达到出厂标准。</w:t>
      </w:r>
    </w:p>
    <w:p w14:paraId="319CDA52">
      <w:pPr>
        <w:pStyle w:val="4"/>
      </w:pPr>
      <w:r>
        <w:t>7.2 安全操作规程</w:t>
      </w:r>
    </w:p>
    <w:p w14:paraId="6B25D245">
      <w:r>
        <w:t>设备操作人员必须经过专业培训，熟悉设备结构、原理及安全注意事项，考核合格后方可上岗。操作前准备：穿戴劳动防护用品（安全帽、防护眼镜、防滑鞋）；检查工作区域无障碍物（通道宽度≥1.5m）；确认模具重量（≤额定负载）和定位基准（偏差≤5mm）；清理平台表面异物（无工具、杂物）。禁止在设备运行时进行清洁、润滑或维修作业；禁止超载运行（超过额定负载10%）；禁止在平台上放置不稳定物品；禁止随意修改PLC参数或屏蔽安全保护功能。</w:t>
      </w:r>
    </w:p>
    <w:p w14:paraId="2B283DA2">
      <w:r>
        <w:t>开机操作步骤：合上主电源开关（QF1），观察电源指示灯亮；打开控制电源开关（QF2），PLC和触摸屏启动（约30秒）；检查触摸屏显示无故障报警；确认安全门关闭，急停按钮复位；选择操作模式（自动/手动），手动模式下需确认各轴点动正常；将模具吊装至平台中心位置，确认定位销插入到位；在触摸屏输入顶升高度和速度参数（高度≤3m，速度≤2m/min）；按下启动按钮，设备自动完成顶升流程。运行过程中，操作人员需全程监控，禁止离开操作岗位；密切关注平台运行状态，发现异常（异响、振动、偏移）立即按下急停按钮。</w:t>
      </w:r>
    </w:p>
    <w:p w14:paraId="0D154C25">
      <w:r>
        <w:t>停机操作步骤：设备完成顶升动作后，自动停止在目标位置；将操作模式切换至"手动"；按下"下降"按钮，使平台返回初始位置；确认模具已被转运设备取走；清理平台表面；关闭控制电源开关（QF2）；关闭主电源开关（QF1）；填写设备运行记录。紧急停机操作：当发生危及人身或设备安全的情况时，立即按下急停按钮（红色蘑菇头按钮）；确认设备完全停止后，检查故障原因；排除故障后，顺时针旋转急停按钮复位；重新启动前需进行手动点动测试，确认无异常方可继续运行。</w:t>
      </w:r>
    </w:p>
    <w:p w14:paraId="71D43545">
      <w:r>
        <w:t>模具装卸安全规程：模具吊装必须使用专用吊具（承重≥2倍模具重量）；吊装时设专人指挥，使用对讲机通讯；模具放置时需缓慢下降（速度≤0.5m/min），避免冲击；定位销必须完全插入（露出长度≤5mm），并锁紧防松螺母；禁止在平台上调整模具位置（需在地面完成）；模具转运过程中，设备需处于"停止"状态，安全门关闭。</w:t>
      </w:r>
    </w:p>
    <w:p w14:paraId="388E1AC3">
      <w:r>
        <w:t>维护作业安全规程：进行维护作业前，必须执行"上锁挂牌"程序（LOTO）：切断主电源并上锁，悬挂"正在维修，禁止合闸"警示牌；关闭液压系统截止阀，释放系统压力（≤0.1MPa）；使用机械支撑（如千斤顶、垫块）固定平台，防止意外下降。进入平台下方作业时，必须设置安全通道（高度≥1.8m，宽度≥0.8m），并使用便携式照明（电压≤36V）。液压系统维修时，禁止正对油口（防止油液喷射）；拆卸部件需使用专用工具，禁止野蛮操作。电气系统维修时，必须使用绝缘工具（绝缘电阻≥1MΩ），禁止带电作业。维护完成后，移除所有工具和支撑物，确认人员撤离后，方可解锁通电。</w:t>
      </w:r>
    </w:p>
    <w:p w14:paraId="1C6A04D6">
      <w:pPr>
        <w:pStyle w:val="4"/>
      </w:pPr>
      <w:r>
        <w:t>7.3 备品备件管理</w:t>
      </w:r>
    </w:p>
    <w:p w14:paraId="3CE1CDD8">
      <w:r>
        <w:t>备品备件管理实行"分类存储、定量库存、周期校验"的原则，确保备件供应及时、质量可靠。备件分类按"ABC分类法"：A类关键备件（影响安全和生产的核心部件）：滚珠丝杆螺母副、伺服电机、液压泵、油缸总成，库存数量≥1套；B类重要备件（影响设备性能的主要部件）：比例阀、压力传感器、光栅尺、齿轮箱，库存数量≥2套；C类一般备件（易损件和常用件）：密封件、滤芯、接近开关、轴承，库存数量≥5套。备件编码采用"大类-小类-规格-序列号"格式，如"Y-01-160/90-001"表示液压类（Y）油缸（01）缸径160mm杆径90mm（160/90）第1个序列号（001），便于信息化管理。</w:t>
      </w:r>
    </w:p>
    <w:p w14:paraId="76840F17">
      <w:r>
        <w:t>备件存储环境需满足：温度15~30℃，相对湿度40~60%，无腐蚀性气体；A、B类备件存放于密封货架（带防尘罩），C类备件存放于透明塑料盒（带标签）；液压元件需竖直放置，防止密封圈变形；电气备件需防静电包装，远离强磁场。备件库配置温湿度计（实时监测）、除湿机（湿度＞60%时启动）及灭火器（ABC干粉灭火器，每50㎡1具）。备件入库前需验收：核对型号、规格、数量（与采购订单一致）；检查外观（无损伤、锈蚀）；验证质量证明文件（合格证、校准报告）；关键备件（如传感器）需进行性能测试，合格后方可入库。</w:t>
      </w:r>
    </w:p>
    <w:p w14:paraId="31CD2F23">
      <w:r>
        <w:t>库存管理采用"最低库存预警"机制：设定各备件的最低库存量（A类1套，B类2套，C类3套），当库存低于预警值时，自动生成采购申请。备件领用实行"先进先出"原则，建立领用登记台账，记录领用日期、数量、领用人及用途。更换下来的旧备件分类处理：可修复备件（如齿轮箱、电机）送修，修复后进行性能测试，合格后作为备用；不可修复备件（如密封件、滤芯）按危险废物处理，交由有资质单位回收。</w:t>
      </w:r>
    </w:p>
    <w:p w14:paraId="37370DB6">
      <w:r>
        <w:t>备件质量验证周期：A类备件每年校验一次（如液压泵测试容积效率）；B类备件每半年校验一次（如传感器精度校准）；C类备件在使用前检查（如密封件硬度测试）。校验不合格的备件及时报废，更新库存信息。通过ERP系统实现备件全生命周期管理，记录采购、入库、领用、维修、报废等信息，分析备件消耗规律，优化库存结构（如增加高频消耗备件库存，减少呆滞备件）。</w:t>
      </w:r>
    </w:p>
    <w:p w14:paraId="01457455">
      <w:pPr>
        <w:pStyle w:val="4"/>
      </w:pPr>
      <w:r>
        <w:t>7.4 设备改造与升级</w:t>
      </w:r>
    </w:p>
    <w:p w14:paraId="7E7AE048">
      <w:r>
        <w:t>随着生产需求变化和技术进步，顶升机需进行必要的改造与升级，以提高性能、安全性和可靠性。设备改造应遵循"技术先进、经济合理、安全可靠"的原则，改造前进行可行性分析，包括技术可行性（改造方案是否成熟）、经济可行性（投入产出比≥1.5）及安全可行性（满足现行标准）。常见改造项目包括：控制系统升级（将继电器控制改为PLC控制）、驱动系统改造（液压改电动或伺服升级）、安全装置增强（增加防坠落保护）及智能化改造（添加状态监测和远程诊断功能）。</w:t>
      </w:r>
    </w:p>
    <w:p w14:paraId="329AAE3E">
      <w:r>
        <w:t>控制系统升级适用于使用超过8年的老旧设备，将传统继电器控制改为PLC控制，配置触摸屏人机界面，实现参数设置、故障诊断和数据记录功能。改造步骤：设计电气原理图（符合IEC 61131标准）；选型PLC（如西门子S7-1200）、触摸屏（10.1英寸）及传感器（光栅尺、压力传感器）；安装接线（采用PROFINET总线，减少布线）；编写控制程序（符合安全规范）；调试与测试（功能测试和安全验证）。改造后可提高控制精度（定位误差从±1mm降至±0.1mm），减少故障率（降低50%）。</w:t>
      </w:r>
    </w:p>
    <w:p w14:paraId="53A2C5DF">
      <w:r>
        <w:t>驱动系统改造根据负载和精度需求选择方案：重载（＞10t）设备可保留液压系统，升级为比例控制（更换比例阀和压力传感器），提高速度控制精度（±5%）；中轻载（＜10t）设备可改造为电动伺服系统（更换为滚珠丝杆+伺服电机），消除液压油泄漏风险，提高能源效率（从50%提升至85%）。改造需重新设计机械结构（如电机安装座、联轴器），计算传动比（确保扭矩匹配），进行强度校核（关键部件安全系数≥2.5）。改造后需进行负载测试（125%额定负载运行30分钟）和耐久性测试（连续运行500小时无故障）。</w:t>
      </w:r>
    </w:p>
    <w:p w14:paraId="004099CC">
      <w:r>
        <w:t>安全装置增强改造需符合最新安全标准，增加防坠落保护（如安全螺母或机械制动器）、双手启动装置（防止单手误操作）、安全光幕（保护区域≥平台周边500mm）及防爆装置（适用于有易燃物的场合）。改造步骤：风险评估（识别新增危险源）；选型安全部件（符合EN ISO 13849-1标准）；安装调试（安全功能验证）；第三方认证（必要时）。改造后安全等级需达到PLd以上，急停响应时间≤50ms。</w:t>
      </w:r>
    </w:p>
    <w:p w14:paraId="21EE3DE5">
      <w:r>
        <w:t>智能化改造通过添加传感器、物联网模块和数据分析软件，实现预测性维护。改造内容：安装振动传感器（监测轴承和齿轮状态）、油液传感器（监测污染度和水分）、电流传感器（监测电机负载）；配置工业网关（支持4G/5G或以太网），实现数据上传至云平台；开发监测软件（显示设备健康度、故障预警和维护建议）。改造后可实现远程监控（实时查看运行数据）、故障预警（提前30天预测潜在故障）和维护优化（基于实际状态安排维护），提高设备综合效率（OEE）15%以上。</w:t>
      </w:r>
    </w:p>
    <w:p w14:paraId="13A56BFD">
      <w:r>
        <w:t>设备改造完成后，需进行验收测试，包括功能测试（所有改造功能正常）、性能测试（达到设计指标）、安全测试（通过安全认证）及生产测试（连续运行3个生产周期无故障）。验收合格后，更新设备技术资料（图纸、手册、参数），对操作人员和维护人员进行培训，确保改造效果持续有效。</w:t>
      </w:r>
    </w:p>
    <w:p w14:paraId="52E1C493">
      <w:pPr>
        <w:pStyle w:val="3"/>
      </w:pPr>
      <w:r>
        <w:t>八、技术资料与附录</w:t>
      </w:r>
    </w:p>
    <w:p w14:paraId="39B57F0F">
      <w:pPr>
        <w:pStyle w:val="4"/>
      </w:pPr>
      <w:r>
        <w:t>8.1 技术资料清单</w:t>
      </w:r>
    </w:p>
    <w:p w14:paraId="68B60F9F">
      <w:r>
        <w:t>设备技术资料是维护保养和故障处理的重要依据，应完整、准确、系统，包括设计资料、安装调试资料、操作维护资料及备件资料。设计资料包括：设备总图（标明整体尺寸和安装尺寸）、部件装配图（如液压系统图、电气原理图）、零件图（关键件如丝杆、油缸）、基础图（地基尺寸和载荷要求）及技术规格书（性能参数和执行标准）。电气原理图需符合IEC 61082标准，采用EPLAN软件绘制，包含主电路、控制电路、信号电路和接地系统，标注元件型号、参数和安装位置。液压系统图需符合ISO 1219标准，标明液压元件型号、管路规格和流向，包含系统工作原理说明和压力控制回路分析。</w:t>
      </w:r>
    </w:p>
    <w:p w14:paraId="63A0D7A6">
      <w:r>
        <w:t>安装调试资料包括：安装手册（基础施工要求、设备就位、找平找正方法）、调试大纲（分阶段调试步骤和验收标准）、校准证书（传感器、仪表的校准数据）及试运行报告（空载、负载试运行记录）。安装手册需详细说明找平精度（水平度≤0.1mm/m）、地脚螺栓紧固扭矩（如M20螺栓45N·m）及管路连接要求（清洁度、密封性测试）。调试大纲应分阶段进行：单机调试（各部件单独测试）、联动调试（多单元协同测试）、带载调试（50%、80%、100%额定负载）及性能测试（同步精度、定位精度），每个阶段需记录测试数据和验收结论。</w:t>
      </w:r>
    </w:p>
    <w:p w14:paraId="3BA92B1D">
      <w:r>
        <w:t>操作维护资料包括：操作手册（操作步骤、参数设置、注意事项）、维护手册（定期维护计划、故障诊断指南、备件更换方法）、安全规程（风险提示、防护措施、应急处理）及培训教材（原理讲解、操作视频、考核题库）。操作手册需图文并茂，步骤清晰，使用通俗语言，避免专业术语过多；维护手册需包含详细的故障诊断流程图、部件分解图和维护记录表；安全规程需突出警示信息（如"禁止超载"、"必须断电维修"），使用标准安全标识。</w:t>
      </w:r>
    </w:p>
    <w:p w14:paraId="2E470676">
      <w:r>
        <w:t>备件资料包括：备件清单（型号、规格、数量、供应商）、备件图纸（关键备件的尺寸和公差）、互换性清单（可替代的备件型号）及供应商资料（联系方式、技术支持）。备件清单需按A、B、C分类，标注最低库存量和采购周期；备件图纸需标注关键尺寸（如丝杆导程、油缸行程）和材料要求（如45#钢、GCr15）；供应商资料需包含资质证明（营业执照、质量认证）和售后服务承诺（响应时间≤24小时）。</w:t>
      </w:r>
    </w:p>
    <w:p w14:paraId="15BC6E97">
      <w:r>
        <w:t>技术资料管理应建立电子档案（PDF格式）和纸质档案（装订成册），电子档案存储在服务器（定期备份），纸质档案存放在资料柜（干燥、通风）。资料更新需记录版本号和日期（如V1.0 2024-01-01），旧版本资料需存档保留（至少3年）。设备改造后，相关资料需同步更新，确保与实际状态一致。操作人员和维护人员可通过内部网络或移动终端查阅资料，确保随时获取准确信息。</w:t>
      </w:r>
    </w:p>
    <w:p w14:paraId="6041162B">
      <w:pPr>
        <w:pStyle w:val="4"/>
      </w:pPr>
      <w:r>
        <w:t>8.2 常用技术参数汇总</w:t>
      </w:r>
    </w:p>
    <w:p w14:paraId="7ACB9C5F">
      <w:r>
        <w:t>顶升机常用技术参数按"机械性能、液压系统、电气系统、安全性能"分类汇总，便于快速查询和参考。机械性能参数：额定负载5~20t，最大提升高度1.5~3m，升降速度0.5~2m/min，定位精度±0.1~±0.5mm，同步误差≤±0.5mm，平台尺寸（长×宽）1.2~2m×0.8~1.5m，设备总重1.5~5t。结构参数：导柱数量4根，导柱直径80~120mm，丝杆直径50~80mm（滚珠丝杆）或60~100mm（梯形丝杆），齿轮模数3~8mm，减速比10~30:1。</w:t>
      </w:r>
    </w:p>
    <w:p w14:paraId="07B1100C">
      <w:r>
        <w:t>液压系统参数（液压式）：工作压力12~16MPa，液压泵排量25~63L/min，油箱容积80~150L，油缸数量1~4个，缸径125~250mm，活塞杆直径70~140mm，行程1.5~3m，液压油型号L-HM46抗磨液压油，油液清洁度≤NAS 8级。液压元件参数：比例阀型号4WRAE10~30，响应时间≤50ms；溢流阀设定压力17.6MPa；液压锁开启压力≤0.3MPa；蓄能器容积10~20L，预充压力8MPa。</w:t>
      </w:r>
    </w:p>
    <w:p w14:paraId="4F87AA95">
      <w:r>
        <w:t>电气系统参数：电源AC 380V±10%，50Hz，额定功率4.5~7.5kW；PLC型号西门子S7-1200/S7-1500，I/O点数16DI/16DO/4AI/2AO；伺服电机功率1.5~5.5kW，额定转速1500~3000r/min，编码器分辨率2500~10000线；传感器参数：压力传感器量程0~25MPa，精度0.5级；光栅尺分辨率0.005mm，测量长度1.5~3m；接近开关感应距离5~10mm，响应时间≤1ms。控制网络：PROFINET总线，传输速率100Mbps，数据更新周期≤10ms。</w:t>
      </w:r>
    </w:p>
    <w:p w14:paraId="35C0583A">
      <w:r>
        <w:t>安全性能参数：急停响应时间≤100ms；过载保护设定值110%额定负载；超程保护距离50~100mm；防坠落保护响应时间≤0.5s，制动力矩≥1.5倍额定扭矩；噪音等级≤75dB(A)；防护等级IP54（电气柜）、IP65（传感器）；安全等级PLd（EN ISO 13849-1），SIL2（IEC 61508）。</w:t>
      </w:r>
    </w:p>
    <w:p w14:paraId="7A93C7B4">
      <w:r>
        <w:t>环境适应参数：工作温度-10~50℃，存储温度-20~60℃；相对湿度≤90%（无凝结）；振动等级≤5g（10~500Hz）；防护能力防尘（粉尘浓度≤10mg/m³）、防油污（油雾浓度≤5mg/m³）。</w:t>
      </w:r>
    </w:p>
    <w:p w14:paraId="01D697FF">
      <w:pPr>
        <w:pStyle w:val="4"/>
      </w:pPr>
      <w:r>
        <w:t>8.3 故障代码表</w:t>
      </w:r>
    </w:p>
    <w:p w14:paraId="5B637CB3">
      <w:r>
        <w:t>顶升机故障代码采用"字母+数字"编码规则，第一位字母表示故障类型（M-机械，H-液压，E-电气，S-安全），后三位数字表示具体故障点，便于快速定位。故障代码在触摸屏上显示，同时蜂鸣器报警（间隔1秒），故障记录存储在PLC中（最多1000条），可通过U盘导出或上位机查询。</w:t>
      </w:r>
    </w:p>
    <w:p w14:paraId="37E43484">
      <w:r>
        <w:t>机械系统故障代码（M开头）：</w:t>
      </w:r>
    </w:p>
    <w:p w14:paraId="2FAF09A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M001：丝杆螺母副卡滞（处理：检查润滑，清洁异物，必要时更换）</w:t>
      </w:r>
    </w:p>
    <w:p w14:paraId="490741D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M002：导柱导套磨损（处理：检查间隙，超过0.5mm更换导套）</w:t>
      </w:r>
    </w:p>
    <w:p w14:paraId="2355AA1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M003：平台倾斜（处理：调整同步，检查两侧丝杆长度差）</w:t>
      </w:r>
    </w:p>
    <w:p w14:paraId="7C2F337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M004：齿轮啮合不良（处理：检查齿侧间隙，调整齿轮位置）</w:t>
      </w:r>
    </w:p>
    <w:p w14:paraId="0F38D37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M005：活塞杆弯曲（处理：校直或更换活塞杆）</w:t>
      </w:r>
    </w:p>
    <w:p w14:paraId="2D39EF3C">
      <w:r>
        <w:t>液压系统故障代码（H开头）：</w:t>
      </w:r>
    </w:p>
    <w:p w14:paraId="2287E27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H001：系统压力不足（处理：检查泵、溢流阀、密封件）</w:t>
      </w:r>
    </w:p>
    <w:p w14:paraId="774E00E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H002：油缸泄漏（处理：更换密封件或油缸）</w:t>
      </w:r>
    </w:p>
    <w:p w14:paraId="27AF3F3A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H003：液压油污染（处理：更换液压油，清洗油箱）</w:t>
      </w:r>
    </w:p>
    <w:p w14:paraId="025DE89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H004：油温过高（处理：检查冷却系统，清理散热器）</w:t>
      </w:r>
    </w:p>
    <w:p w14:paraId="2B04690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H005：液压锁失效（处理：清洗或更换液压锁）</w:t>
      </w:r>
    </w:p>
    <w:p w14:paraId="1760BDA2">
      <w:r>
        <w:t>电气系统故障代码（E开头）：</w:t>
      </w:r>
    </w:p>
    <w:p w14:paraId="7354EA0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E001：PLC通讯故障（处理：检查网线、交换机、IP地址）</w:t>
      </w:r>
    </w:p>
    <w:p w14:paraId="27F9991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E002：光栅尺信号丢失（处理：清洁读数头，检查信号线）</w:t>
      </w:r>
    </w:p>
    <w:p w14:paraId="17F0F85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E003：压力传感器故障（处理：检查接线，校准或更换传感器）</w:t>
      </w:r>
    </w:p>
    <w:p w14:paraId="7DD7253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E004：伺服电机过载（处理：检查负载，电机轴承，驱动器）</w:t>
      </w:r>
    </w:p>
    <w:p w14:paraId="24218260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E005：接近开关故障（处理：检查位置，清洁感应面，更换开关）</w:t>
      </w:r>
    </w:p>
    <w:p w14:paraId="1215FD1C">
      <w:r>
        <w:t>安全系统故障代码（S开头）：</w:t>
      </w:r>
    </w:p>
    <w:p w14:paraId="2D7E04F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S001：急停触发（处理：检查急停按钮，复位后重启）</w:t>
      </w:r>
    </w:p>
    <w:p w14:paraId="3DD7C3F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S002：安全门打开（处理：关闭安全门，检查磁性开关）</w:t>
      </w:r>
    </w:p>
    <w:p w14:paraId="1EFC058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S003：过载保护（处理：减轻负载，检查销轴传感器）</w:t>
      </w:r>
    </w:p>
    <w:p w14:paraId="1CE7700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S004：超程保护（处理：手动复位至中间位置，检查限位开关）</w:t>
      </w:r>
    </w:p>
    <w:p w14:paraId="048FE8F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S005：防坠落装置故障（处理：检查制动器，安全螺母，更换故障件）</w:t>
      </w:r>
    </w:p>
    <w:p w14:paraId="755C21FB">
      <w:r>
        <w:t>故障代码处理流程：当出现故障代码时，操作人员应立即停机，记录故障代码和现象，通知维修人员；维修人员根据代码查阅故障手册，按步骤排查处理；处理完毕后，通过触摸屏"故障复位"按钮清除代码，设备方可重新启动。无法立即处理的故障，需上报设备管理部门，制定维修计划。</w:t>
      </w:r>
    </w:p>
    <w:p w14:paraId="62C0B292">
      <w:pPr>
        <w:pStyle w:val="4"/>
      </w:pPr>
      <w:r>
        <w:t>8.4 维护记录表</w:t>
      </w:r>
    </w:p>
    <w:p w14:paraId="5EE3F15F">
      <w:r>
        <w:t>维护记录表是设备维护的重要文档，包括定期维护记录表、故障处理记录表和备件更换记录表，需如实填写，长期保存（至少3年）。定期维护记录表按维护周期分为日、周、月、季、年度表，内容包括维护日期、维护人员、维护项目、检查数据、处理措施及验收结果。例如，月度维护记录表包含：液压油污染度（NAS等级）、丝杆轴向间隙（mm）、定位精度（mm）、传感器校准值（%FS）等数据，维护人员和检验人员需签字确认。</w:t>
      </w:r>
    </w:p>
    <w:p w14:paraId="3D7B8DDC">
      <w:r>
        <w:t>故障处理记录表内容包括：故障日期、故障现象、故障代码、诊断过程、处理措施、更换备件（型号、数量）、处理结果及预防措施。例如，记录"2024-05-10，平台倾斜，代码M003，诊断为左侧丝杆磨损，更换丝杆螺母副，测试同步误差0.2mm，加强润滑周期"。</w:t>
      </w:r>
    </w:p>
    <w:p w14:paraId="078870CC">
      <w:r>
        <w:t>备件更换记录表内容包括：更换日期、备件名称、型号规格、更换原因、更换数量、供应商、更换人及验收人。例如，记录"2024-06-15，滚珠丝杆螺母副，JWB4005，定位精度超差，1套，XX公司，张三，李四"。</w:t>
      </w:r>
    </w:p>
    <w:p w14:paraId="158AB10D">
      <w:r>
        <w:t>维护记录表采用纸质和电子版并行管理，纸质表存档于设备档案袋，电子版录入设备管理系统，便于统计分析（如故障频率、备件寿命）。每年对维护记录进行回顾，优化维护计划和备件库存，持续改进设备管理水平。</w:t>
      </w:r>
    </w:p>
    <w:p w14:paraId="23D73094">
      <w:r>
        <w:t>通过以上技术资料的系统管理，可确保设备维护的规范性和可追溯性，为设备全生命周期管理提供数据支持。</w:t>
      </w:r>
    </w:p>
    <w:p w14:paraId="3D50755E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EDEBD561"/>
    <w:multiLevelType w:val="singleLevel"/>
    <w:tmpl w:val="EDEBD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57E3F52"/>
    <w:multiLevelType w:val="singleLevel"/>
    <w:tmpl w:val="F57E3F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D973700"/>
    <w:multiLevelType w:val="singleLevel"/>
    <w:tmpl w:val="FD9737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8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0">
    <w:nsid w:val="FFBB8FF1"/>
    <w:multiLevelType w:val="singleLevel"/>
    <w:tmpl w:val="FFBB8F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5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3"/>
  </w:num>
  <w:num w:numId="2">
    <w:abstractNumId w:val="15"/>
  </w:num>
  <w:num w:numId="3">
    <w:abstractNumId w:val="1"/>
  </w:num>
  <w:num w:numId="4">
    <w:abstractNumId w:val="11"/>
  </w:num>
  <w:num w:numId="5">
    <w:abstractNumId w:val="7"/>
  </w:num>
  <w:num w:numId="6">
    <w:abstractNumId w:val="14"/>
  </w:num>
  <w:num w:numId="7">
    <w:abstractNumId w:val="4"/>
  </w:num>
  <w:num w:numId="8">
    <w:abstractNumId w:val="12"/>
  </w:num>
  <w:num w:numId="9">
    <w:abstractNumId w:val="8"/>
  </w:num>
  <w:num w:numId="10">
    <w:abstractNumId w:val="9"/>
  </w:num>
  <w:num w:numId="11">
    <w:abstractNumId w:val="2"/>
  </w:num>
  <w:num w:numId="12">
    <w:abstractNumId w:val="0"/>
  </w:num>
  <w:num w:numId="13">
    <w:abstractNumId w:val="10"/>
  </w:num>
  <w:num w:numId="14">
    <w:abstractNumId w:val="5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B7FC586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DDFD0848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65AB5CA950AD28D831B7E368F7D8D6E1_43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