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C1357">
      <w:pPr>
        <w:pStyle w:val="2"/>
      </w:pPr>
    </w:p>
    <w:p w14:paraId="32CB0B8B">
      <w:pPr>
        <w:pStyle w:val="2"/>
      </w:pPr>
      <w:r>
        <w:t>干变浇注车间真空浇注设备（非填料）技术手册</w:t>
      </w:r>
    </w:p>
    <w:p w14:paraId="1B7BA581">
      <w:pPr>
        <w:pStyle w:val="3"/>
      </w:pPr>
      <w:r>
        <w:t>一、设备概述</w:t>
      </w:r>
    </w:p>
    <w:p w14:paraId="0486B8E8">
      <w:pPr>
        <w:pStyle w:val="4"/>
      </w:pPr>
      <w:r>
        <w:t>1.1 设备用途与应用范围</w:t>
      </w:r>
    </w:p>
    <w:p w14:paraId="4464F70A">
      <w:r>
        <w:t>干变浇注车间真空浇注设备（非填料型）是干式变压器生产的核心工艺设备，主要用于将环氧树脂等液态绝缘材料在真空环境下注入变压器线圈模具，经固化后形成高强度、低局部放电量的绝缘结构。与填料型设备相比，非填料型设备因无需处理硅微粉等固体填料，简化了物料预处理流程，特别适用于10kV-220kV级干式变压器的线圈绝缘浇注，尤其在对绝缘层纯净度要求较高的H级、C级干式变压器生产中优势显著。设备遵循GB 6450《干式电力变压器》、JB/T 10088《6kV～500kV级电力变压器声级》等行业标准，可满足容量范围50kVA-2500kVA变压器的批量生产需求，典型应用场景包括电力系统配电变压器、新能源风电用变压器及轨道交通牵引变压器的绝缘成型工艺。</w:t>
      </w:r>
    </w:p>
    <w:p w14:paraId="23E8D422">
      <w:pPr>
        <w:pStyle w:val="4"/>
      </w:pPr>
      <w:r>
        <w:t>1.2 设备主要技术参数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4CDDBC1">
        <w:tblPrEx>
          <w:tblCellMar>
            <w:top w:w="0" w:type="dxa"/>
            <w:left w:w="0" w:type="dxa"/>
            <w:bottom w:w="0" w:type="dxa"/>
            <w:right w:w="0" w:type="dxa"/>
          </w:tblCellMar>
        </w:tblPrEx>
        <w:tc>
          <w:tcPr>
            <w:tcW w:w="0" w:type="auto"/>
            <w:vAlign w:val="center"/>
          </w:tcPr>
          <w:p w14:paraId="5EE8AEEC">
            <w:pPr>
              <w:jc w:val="center"/>
              <w:rPr>
                <w:b/>
              </w:rPr>
            </w:pPr>
            <w:r>
              <w:rPr>
                <w:b/>
              </w:rPr>
              <w:t>系统模块</w:t>
            </w:r>
          </w:p>
        </w:tc>
        <w:tc>
          <w:tcPr>
            <w:tcW w:w="0" w:type="auto"/>
            <w:vAlign w:val="center"/>
          </w:tcPr>
          <w:p w14:paraId="7323D1D5">
            <w:pPr>
              <w:jc w:val="center"/>
              <w:rPr>
                <w:b/>
              </w:rPr>
            </w:pPr>
            <w:r>
              <w:rPr>
                <w:b/>
              </w:rPr>
              <w:t>核心参数</w:t>
            </w:r>
          </w:p>
        </w:tc>
        <w:tc>
          <w:tcPr>
            <w:tcW w:w="0" w:type="auto"/>
            <w:vAlign w:val="center"/>
          </w:tcPr>
          <w:p w14:paraId="4D37571B">
            <w:pPr>
              <w:jc w:val="center"/>
              <w:rPr>
                <w:b/>
              </w:rPr>
            </w:pPr>
            <w:r>
              <w:rPr>
                <w:b/>
              </w:rPr>
              <w:t>测试条件</w:t>
            </w:r>
          </w:p>
        </w:tc>
        <w:tc>
          <w:tcPr>
            <w:tcW w:w="0" w:type="auto"/>
            <w:vAlign w:val="center"/>
          </w:tcPr>
          <w:p w14:paraId="66181877">
            <w:pPr>
              <w:jc w:val="center"/>
              <w:rPr>
                <w:b/>
              </w:rPr>
            </w:pPr>
            <w:r>
              <w:rPr>
                <w:b/>
              </w:rPr>
              <w:t>单位</w:t>
            </w:r>
          </w:p>
        </w:tc>
      </w:tr>
      <w:tr w14:paraId="2F70608F">
        <w:tblPrEx>
          <w:tblCellMar>
            <w:top w:w="0" w:type="dxa"/>
            <w:left w:w="0" w:type="dxa"/>
            <w:bottom w:w="0" w:type="dxa"/>
            <w:right w:w="0" w:type="dxa"/>
          </w:tblCellMar>
        </w:tblPrEx>
        <w:tc>
          <w:tcPr>
            <w:tcW w:w="0" w:type="auto"/>
            <w:vAlign w:val="center"/>
          </w:tcPr>
          <w:p w14:paraId="740E4872">
            <w:r>
              <w:rPr>
                <w:b/>
              </w:rPr>
              <w:t>真空系统</w:t>
            </w:r>
          </w:p>
        </w:tc>
        <w:tc>
          <w:tcPr>
            <w:tcW w:w="0" w:type="auto"/>
            <w:vAlign w:val="center"/>
          </w:tcPr>
          <w:p w14:paraId="5BD6D145">
            <w:r>
              <w:t>极限真空度</w:t>
            </w:r>
          </w:p>
        </w:tc>
        <w:tc>
          <w:tcPr>
            <w:tcW w:w="0" w:type="auto"/>
            <w:vAlign w:val="center"/>
          </w:tcPr>
          <w:p w14:paraId="47813798">
            <w:r>
              <w:t>空载常温</w:t>
            </w:r>
          </w:p>
        </w:tc>
        <w:tc>
          <w:tcPr>
            <w:tcW w:w="0" w:type="auto"/>
            <w:vAlign w:val="center"/>
          </w:tcPr>
          <w:p w14:paraId="7D059BD3">
            <w:r>
              <w:t>≤5</w:t>
            </w:r>
          </w:p>
        </w:tc>
      </w:tr>
      <w:tr w14:paraId="3024515A">
        <w:tblPrEx>
          <w:tblCellMar>
            <w:top w:w="0" w:type="dxa"/>
            <w:left w:w="0" w:type="dxa"/>
            <w:bottom w:w="0" w:type="dxa"/>
            <w:right w:w="0" w:type="dxa"/>
          </w:tblCellMar>
        </w:tblPrEx>
        <w:tc>
          <w:tcPr>
            <w:tcW w:w="0" w:type="auto"/>
            <w:vAlign w:val="center"/>
          </w:tcPr>
          <w:p w14:paraId="7F2DD5DD"/>
        </w:tc>
        <w:tc>
          <w:tcPr>
            <w:tcW w:w="0" w:type="auto"/>
            <w:vAlign w:val="center"/>
          </w:tcPr>
          <w:p w14:paraId="5FF8C293">
            <w:r>
              <w:t>工作真空度</w:t>
            </w:r>
          </w:p>
        </w:tc>
        <w:tc>
          <w:tcPr>
            <w:tcW w:w="0" w:type="auto"/>
            <w:vAlign w:val="center"/>
          </w:tcPr>
          <w:p w14:paraId="60219314">
            <w:r>
              <w:t>负载状态</w:t>
            </w:r>
          </w:p>
        </w:tc>
        <w:tc>
          <w:tcPr>
            <w:tcW w:w="0" w:type="auto"/>
            <w:vAlign w:val="center"/>
          </w:tcPr>
          <w:p w14:paraId="7F63C557">
            <w:r>
              <w:t>100-300</w:t>
            </w:r>
          </w:p>
        </w:tc>
      </w:tr>
      <w:tr w14:paraId="72085242">
        <w:tc>
          <w:tcPr>
            <w:tcW w:w="0" w:type="auto"/>
            <w:vAlign w:val="center"/>
          </w:tcPr>
          <w:p w14:paraId="7BD556DD"/>
        </w:tc>
        <w:tc>
          <w:tcPr>
            <w:tcW w:w="0" w:type="auto"/>
            <w:vAlign w:val="center"/>
          </w:tcPr>
          <w:p w14:paraId="5FC6D54E">
            <w:r>
              <w:t>抽气速率</w:t>
            </w:r>
          </w:p>
        </w:tc>
        <w:tc>
          <w:tcPr>
            <w:tcW w:w="0" w:type="auto"/>
            <w:vAlign w:val="center"/>
          </w:tcPr>
          <w:p w14:paraId="65462C7D">
            <w:r>
              <w:t>标准工况</w:t>
            </w:r>
          </w:p>
        </w:tc>
        <w:tc>
          <w:tcPr>
            <w:tcW w:w="0" w:type="auto"/>
            <w:vAlign w:val="center"/>
          </w:tcPr>
          <w:p w14:paraId="1E1BE119">
            <w:r>
              <w:t>≥10</w:t>
            </w:r>
          </w:p>
        </w:tc>
      </w:tr>
      <w:tr w14:paraId="3C80A0FB">
        <w:tblPrEx>
          <w:tblCellMar>
            <w:top w:w="0" w:type="dxa"/>
            <w:left w:w="0" w:type="dxa"/>
            <w:bottom w:w="0" w:type="dxa"/>
            <w:right w:w="0" w:type="dxa"/>
          </w:tblCellMar>
        </w:tblPrEx>
        <w:tc>
          <w:tcPr>
            <w:tcW w:w="0" w:type="auto"/>
            <w:vAlign w:val="center"/>
          </w:tcPr>
          <w:p w14:paraId="53413279"/>
        </w:tc>
        <w:tc>
          <w:tcPr>
            <w:tcW w:w="0" w:type="auto"/>
            <w:vAlign w:val="center"/>
          </w:tcPr>
          <w:p w14:paraId="41EEC885">
            <w:r>
              <w:t>空载泄漏率</w:t>
            </w:r>
          </w:p>
        </w:tc>
        <w:tc>
          <w:tcPr>
            <w:tcW w:w="0" w:type="auto"/>
            <w:vAlign w:val="center"/>
          </w:tcPr>
          <w:p w14:paraId="14A76BE8">
            <w:r>
              <w:t>保压30分钟</w:t>
            </w:r>
          </w:p>
        </w:tc>
        <w:tc>
          <w:tcPr>
            <w:tcW w:w="0" w:type="auto"/>
            <w:vAlign w:val="center"/>
          </w:tcPr>
          <w:p w14:paraId="1483755B">
            <w:r>
              <w:t>≤50</w:t>
            </w:r>
          </w:p>
        </w:tc>
      </w:tr>
      <w:tr w14:paraId="495DCB77">
        <w:tblPrEx>
          <w:tblCellMar>
            <w:top w:w="0" w:type="dxa"/>
            <w:left w:w="0" w:type="dxa"/>
            <w:bottom w:w="0" w:type="dxa"/>
            <w:right w:w="0" w:type="dxa"/>
          </w:tblCellMar>
        </w:tblPrEx>
        <w:tc>
          <w:tcPr>
            <w:tcW w:w="0" w:type="auto"/>
            <w:vAlign w:val="center"/>
          </w:tcPr>
          <w:p w14:paraId="6D210603">
            <w:r>
              <w:rPr>
                <w:b/>
              </w:rPr>
              <w:t>加热系统</w:t>
            </w:r>
          </w:p>
        </w:tc>
        <w:tc>
          <w:tcPr>
            <w:tcW w:w="0" w:type="auto"/>
            <w:vAlign w:val="center"/>
          </w:tcPr>
          <w:p w14:paraId="22BBA9E2">
            <w:r>
              <w:t>混料罐温度控制范围</w:t>
            </w:r>
          </w:p>
        </w:tc>
        <w:tc>
          <w:tcPr>
            <w:tcW w:w="0" w:type="auto"/>
            <w:vAlign w:val="center"/>
          </w:tcPr>
          <w:p w14:paraId="2216E47C">
            <w:r>
              <w:t>-</w:t>
            </w:r>
          </w:p>
        </w:tc>
        <w:tc>
          <w:tcPr>
            <w:tcW w:w="0" w:type="auto"/>
            <w:vAlign w:val="center"/>
          </w:tcPr>
          <w:p w14:paraId="0B4D2687">
            <w:r>
              <w:t>40-100</w:t>
            </w:r>
          </w:p>
        </w:tc>
      </w:tr>
      <w:tr w14:paraId="43758336">
        <w:tblPrEx>
          <w:tblCellMar>
            <w:top w:w="0" w:type="dxa"/>
            <w:left w:w="0" w:type="dxa"/>
            <w:bottom w:w="0" w:type="dxa"/>
            <w:right w:w="0" w:type="dxa"/>
          </w:tblCellMar>
        </w:tblPrEx>
        <w:tc>
          <w:tcPr>
            <w:tcW w:w="0" w:type="auto"/>
            <w:vAlign w:val="center"/>
          </w:tcPr>
          <w:p w14:paraId="41111C74"/>
        </w:tc>
        <w:tc>
          <w:tcPr>
            <w:tcW w:w="0" w:type="auto"/>
            <w:vAlign w:val="center"/>
          </w:tcPr>
          <w:p w14:paraId="56810C7D">
            <w:r>
              <w:t>温度控制精度</w:t>
            </w:r>
          </w:p>
        </w:tc>
        <w:tc>
          <w:tcPr>
            <w:tcW w:w="0" w:type="auto"/>
            <w:vAlign w:val="center"/>
          </w:tcPr>
          <w:p w14:paraId="1581129B">
            <w:r>
              <w:t>全量程</w:t>
            </w:r>
          </w:p>
        </w:tc>
        <w:tc>
          <w:tcPr>
            <w:tcW w:w="0" w:type="auto"/>
            <w:vAlign w:val="center"/>
          </w:tcPr>
          <w:p w14:paraId="27E47491">
            <w:r>
              <w:t>±2</w:t>
            </w:r>
          </w:p>
        </w:tc>
      </w:tr>
      <w:tr w14:paraId="494CCB1D">
        <w:tc>
          <w:tcPr>
            <w:tcW w:w="0" w:type="auto"/>
            <w:vAlign w:val="center"/>
          </w:tcPr>
          <w:p w14:paraId="12EDD3FC"/>
        </w:tc>
        <w:tc>
          <w:tcPr>
            <w:tcW w:w="0" w:type="auto"/>
            <w:vAlign w:val="center"/>
          </w:tcPr>
          <w:p w14:paraId="1D2B0BE5">
            <w:r>
              <w:t>浇注罐加热功率</w:t>
            </w:r>
          </w:p>
        </w:tc>
        <w:tc>
          <w:tcPr>
            <w:tcW w:w="0" w:type="auto"/>
            <w:vAlign w:val="center"/>
          </w:tcPr>
          <w:p w14:paraId="5568908C">
            <w:r>
              <w:t>额定工况</w:t>
            </w:r>
          </w:p>
        </w:tc>
        <w:tc>
          <w:tcPr>
            <w:tcW w:w="0" w:type="auto"/>
            <w:vAlign w:val="center"/>
          </w:tcPr>
          <w:p w14:paraId="41337A7D">
            <w:r>
              <w:t>36</w:t>
            </w:r>
          </w:p>
        </w:tc>
      </w:tr>
      <w:tr w14:paraId="7FA89305">
        <w:tblPrEx>
          <w:tblCellMar>
            <w:top w:w="0" w:type="dxa"/>
            <w:left w:w="0" w:type="dxa"/>
            <w:bottom w:w="0" w:type="dxa"/>
            <w:right w:w="0" w:type="dxa"/>
          </w:tblCellMar>
        </w:tblPrEx>
        <w:tc>
          <w:tcPr>
            <w:tcW w:w="0" w:type="auto"/>
            <w:vAlign w:val="center"/>
          </w:tcPr>
          <w:p w14:paraId="55050DC4"/>
        </w:tc>
        <w:tc>
          <w:tcPr>
            <w:tcW w:w="0" w:type="auto"/>
            <w:vAlign w:val="center"/>
          </w:tcPr>
          <w:p w14:paraId="2B0435AD">
            <w:r>
              <w:t>模具预热温度</w:t>
            </w:r>
          </w:p>
        </w:tc>
        <w:tc>
          <w:tcPr>
            <w:tcW w:w="0" w:type="auto"/>
            <w:vAlign w:val="center"/>
          </w:tcPr>
          <w:p w14:paraId="37B7502C">
            <w:r>
              <w:t>-</w:t>
            </w:r>
          </w:p>
        </w:tc>
        <w:tc>
          <w:tcPr>
            <w:tcW w:w="0" w:type="auto"/>
            <w:vAlign w:val="center"/>
          </w:tcPr>
          <w:p w14:paraId="0D426B71">
            <w:r>
              <w:t>60-80</w:t>
            </w:r>
          </w:p>
        </w:tc>
      </w:tr>
      <w:tr w14:paraId="02D10759">
        <w:tblPrEx>
          <w:tblCellMar>
            <w:top w:w="0" w:type="dxa"/>
            <w:left w:w="0" w:type="dxa"/>
            <w:bottom w:w="0" w:type="dxa"/>
            <w:right w:w="0" w:type="dxa"/>
          </w:tblCellMar>
        </w:tblPrEx>
        <w:tc>
          <w:tcPr>
            <w:tcW w:w="0" w:type="auto"/>
            <w:vAlign w:val="center"/>
          </w:tcPr>
          <w:p w14:paraId="393DECD1">
            <w:r>
              <w:rPr>
                <w:b/>
              </w:rPr>
              <w:t>混料系统</w:t>
            </w:r>
          </w:p>
        </w:tc>
        <w:tc>
          <w:tcPr>
            <w:tcW w:w="0" w:type="auto"/>
            <w:vAlign w:val="center"/>
          </w:tcPr>
          <w:p w14:paraId="1CF673C9">
            <w:r>
              <w:t>单批次混料容量</w:t>
            </w:r>
          </w:p>
        </w:tc>
        <w:tc>
          <w:tcPr>
            <w:tcW w:w="0" w:type="auto"/>
            <w:vAlign w:val="center"/>
          </w:tcPr>
          <w:p w14:paraId="532E2327">
            <w:r>
              <w:t>最大工作容积</w:t>
            </w:r>
          </w:p>
        </w:tc>
        <w:tc>
          <w:tcPr>
            <w:tcW w:w="0" w:type="auto"/>
            <w:vAlign w:val="center"/>
          </w:tcPr>
          <w:p w14:paraId="3F76F7A9">
            <w:r>
              <w:t>300</w:t>
            </w:r>
          </w:p>
        </w:tc>
      </w:tr>
      <w:tr w14:paraId="25484172">
        <w:tblPrEx>
          <w:tblCellMar>
            <w:top w:w="0" w:type="dxa"/>
            <w:left w:w="0" w:type="dxa"/>
            <w:bottom w:w="0" w:type="dxa"/>
            <w:right w:w="0" w:type="dxa"/>
          </w:tblCellMar>
        </w:tblPrEx>
        <w:tc>
          <w:tcPr>
            <w:tcW w:w="0" w:type="auto"/>
            <w:vAlign w:val="center"/>
          </w:tcPr>
          <w:p w14:paraId="0310942F"/>
        </w:tc>
        <w:tc>
          <w:tcPr>
            <w:tcW w:w="0" w:type="auto"/>
            <w:vAlign w:val="center"/>
          </w:tcPr>
          <w:p w14:paraId="3329AB22">
            <w:r>
              <w:t>搅拌转速</w:t>
            </w:r>
          </w:p>
        </w:tc>
        <w:tc>
          <w:tcPr>
            <w:tcW w:w="0" w:type="auto"/>
            <w:vAlign w:val="center"/>
          </w:tcPr>
          <w:p w14:paraId="2D4B5A31">
            <w:r>
              <w:t>可调范围</w:t>
            </w:r>
          </w:p>
        </w:tc>
        <w:tc>
          <w:tcPr>
            <w:tcW w:w="0" w:type="auto"/>
            <w:vAlign w:val="center"/>
          </w:tcPr>
          <w:p w14:paraId="22A2523F">
            <w:r>
              <w:t>30-150</w:t>
            </w:r>
          </w:p>
        </w:tc>
      </w:tr>
      <w:tr w14:paraId="09E21BA4">
        <w:tc>
          <w:tcPr>
            <w:tcW w:w="0" w:type="auto"/>
            <w:vAlign w:val="center"/>
          </w:tcPr>
          <w:p w14:paraId="795BAFB6"/>
        </w:tc>
        <w:tc>
          <w:tcPr>
            <w:tcW w:w="0" w:type="auto"/>
            <w:vAlign w:val="center"/>
          </w:tcPr>
          <w:p w14:paraId="4C3DE96A">
            <w:r>
              <w:t>物料配比精度</w:t>
            </w:r>
          </w:p>
        </w:tc>
        <w:tc>
          <w:tcPr>
            <w:tcW w:w="0" w:type="auto"/>
            <w:vAlign w:val="center"/>
          </w:tcPr>
          <w:p w14:paraId="2D43871A">
            <w:r>
              <w:t>A/B料配比</w:t>
            </w:r>
          </w:p>
        </w:tc>
        <w:tc>
          <w:tcPr>
            <w:tcW w:w="0" w:type="auto"/>
            <w:vAlign w:val="center"/>
          </w:tcPr>
          <w:p w14:paraId="0E82C90E">
            <w:r>
              <w:t>±1</w:t>
            </w:r>
          </w:p>
        </w:tc>
      </w:tr>
      <w:tr w14:paraId="74918F29">
        <w:tblPrEx>
          <w:tblCellMar>
            <w:top w:w="0" w:type="dxa"/>
            <w:left w:w="0" w:type="dxa"/>
            <w:bottom w:w="0" w:type="dxa"/>
            <w:right w:w="0" w:type="dxa"/>
          </w:tblCellMar>
        </w:tblPrEx>
        <w:tc>
          <w:tcPr>
            <w:tcW w:w="0" w:type="auto"/>
            <w:vAlign w:val="center"/>
          </w:tcPr>
          <w:p w14:paraId="5D752D47"/>
        </w:tc>
        <w:tc>
          <w:tcPr>
            <w:tcW w:w="0" w:type="auto"/>
            <w:vAlign w:val="center"/>
          </w:tcPr>
          <w:p w14:paraId="412A0660">
            <w:r>
              <w:t>粘度控制偏差</w:t>
            </w:r>
          </w:p>
        </w:tc>
        <w:tc>
          <w:tcPr>
            <w:tcW w:w="0" w:type="auto"/>
            <w:vAlign w:val="center"/>
          </w:tcPr>
          <w:p w14:paraId="79CAF00D">
            <w:r>
              <w:t>25℃条件下</w:t>
            </w:r>
          </w:p>
        </w:tc>
        <w:tc>
          <w:tcPr>
            <w:tcW w:w="0" w:type="auto"/>
            <w:vAlign w:val="center"/>
          </w:tcPr>
          <w:p w14:paraId="72CF661E">
            <w:r>
              <w:t>≤±5</w:t>
            </w:r>
          </w:p>
        </w:tc>
      </w:tr>
      <w:tr w14:paraId="54E92FCD">
        <w:tblPrEx>
          <w:tblCellMar>
            <w:top w:w="0" w:type="dxa"/>
            <w:left w:w="0" w:type="dxa"/>
            <w:bottom w:w="0" w:type="dxa"/>
            <w:right w:w="0" w:type="dxa"/>
          </w:tblCellMar>
        </w:tblPrEx>
        <w:tc>
          <w:tcPr>
            <w:tcW w:w="0" w:type="auto"/>
            <w:vAlign w:val="center"/>
          </w:tcPr>
          <w:p w14:paraId="0953C774">
            <w:r>
              <w:rPr>
                <w:b/>
              </w:rPr>
              <w:t>浇注系统</w:t>
            </w:r>
          </w:p>
        </w:tc>
        <w:tc>
          <w:tcPr>
            <w:tcW w:w="0" w:type="auto"/>
            <w:vAlign w:val="center"/>
          </w:tcPr>
          <w:p w14:paraId="3907727E">
            <w:r>
              <w:t>浇注速度</w:t>
            </w:r>
          </w:p>
        </w:tc>
        <w:tc>
          <w:tcPr>
            <w:tcW w:w="0" w:type="auto"/>
            <w:vAlign w:val="center"/>
          </w:tcPr>
          <w:p w14:paraId="5AADD0BA">
            <w:r>
              <w:t>无级调速</w:t>
            </w:r>
          </w:p>
        </w:tc>
        <w:tc>
          <w:tcPr>
            <w:tcW w:w="0" w:type="auto"/>
            <w:vAlign w:val="center"/>
          </w:tcPr>
          <w:p w14:paraId="4DAA636D">
            <w:r>
              <w:t>0.1-0.5</w:t>
            </w:r>
          </w:p>
        </w:tc>
      </w:tr>
      <w:tr w14:paraId="1115BA92">
        <w:tblPrEx>
          <w:tblCellMar>
            <w:top w:w="0" w:type="dxa"/>
            <w:left w:w="0" w:type="dxa"/>
            <w:bottom w:w="0" w:type="dxa"/>
            <w:right w:w="0" w:type="dxa"/>
          </w:tblCellMar>
        </w:tblPrEx>
        <w:tc>
          <w:tcPr>
            <w:tcW w:w="0" w:type="auto"/>
            <w:vAlign w:val="center"/>
          </w:tcPr>
          <w:p w14:paraId="234845C1"/>
        </w:tc>
        <w:tc>
          <w:tcPr>
            <w:tcW w:w="0" w:type="auto"/>
            <w:vAlign w:val="center"/>
          </w:tcPr>
          <w:p w14:paraId="6901F1E1">
            <w:r>
              <w:t>机械臂定位精度</w:t>
            </w:r>
          </w:p>
        </w:tc>
        <w:tc>
          <w:tcPr>
            <w:tcW w:w="0" w:type="auto"/>
            <w:vAlign w:val="center"/>
          </w:tcPr>
          <w:p w14:paraId="53FC3829">
            <w:r>
              <w:t>-</w:t>
            </w:r>
          </w:p>
        </w:tc>
        <w:tc>
          <w:tcPr>
            <w:tcW w:w="0" w:type="auto"/>
            <w:vAlign w:val="center"/>
          </w:tcPr>
          <w:p w14:paraId="295C3AC6">
            <w:r>
              <w:t>±0.1</w:t>
            </w:r>
          </w:p>
        </w:tc>
      </w:tr>
      <w:tr w14:paraId="344B277A">
        <w:tc>
          <w:tcPr>
            <w:tcW w:w="0" w:type="auto"/>
            <w:vAlign w:val="center"/>
          </w:tcPr>
          <w:p w14:paraId="285AF214"/>
        </w:tc>
        <w:tc>
          <w:tcPr>
            <w:tcW w:w="0" w:type="auto"/>
            <w:vAlign w:val="center"/>
          </w:tcPr>
          <w:p w14:paraId="59B1DF9B">
            <w:r>
              <w:t>模具台车承重</w:t>
            </w:r>
          </w:p>
        </w:tc>
        <w:tc>
          <w:tcPr>
            <w:tcW w:w="0" w:type="auto"/>
            <w:vAlign w:val="center"/>
          </w:tcPr>
          <w:p w14:paraId="7C8D8C3B">
            <w:r>
              <w:t>满载状态</w:t>
            </w:r>
          </w:p>
        </w:tc>
        <w:tc>
          <w:tcPr>
            <w:tcW w:w="0" w:type="auto"/>
            <w:vAlign w:val="center"/>
          </w:tcPr>
          <w:p w14:paraId="194D82A7">
            <w:r>
              <w:t>5000</w:t>
            </w:r>
          </w:p>
        </w:tc>
      </w:tr>
      <w:tr w14:paraId="7E953EF6">
        <w:tblPrEx>
          <w:tblCellMar>
            <w:top w:w="0" w:type="dxa"/>
            <w:left w:w="0" w:type="dxa"/>
            <w:bottom w:w="0" w:type="dxa"/>
            <w:right w:w="0" w:type="dxa"/>
          </w:tblCellMar>
        </w:tblPrEx>
        <w:tc>
          <w:tcPr>
            <w:tcW w:w="0" w:type="auto"/>
            <w:vAlign w:val="center"/>
          </w:tcPr>
          <w:p w14:paraId="54D13B89">
            <w:r>
              <w:rPr>
                <w:b/>
              </w:rPr>
              <w:t>控制系统</w:t>
            </w:r>
          </w:p>
        </w:tc>
        <w:tc>
          <w:tcPr>
            <w:tcW w:w="0" w:type="auto"/>
            <w:vAlign w:val="center"/>
          </w:tcPr>
          <w:p w14:paraId="4603A050">
            <w:r>
              <w:t>PLC处理速度</w:t>
            </w:r>
          </w:p>
        </w:tc>
        <w:tc>
          <w:tcPr>
            <w:tcW w:w="0" w:type="auto"/>
            <w:vAlign w:val="center"/>
          </w:tcPr>
          <w:p w14:paraId="5ECB35A3">
            <w:r>
              <w:t>-</w:t>
            </w:r>
          </w:p>
        </w:tc>
        <w:tc>
          <w:tcPr>
            <w:tcW w:w="0" w:type="auto"/>
            <w:vAlign w:val="center"/>
          </w:tcPr>
          <w:p w14:paraId="079B0253">
            <w:r>
              <w:t>0.1</w:t>
            </w:r>
          </w:p>
        </w:tc>
      </w:tr>
      <w:tr w14:paraId="3BA33BF9">
        <w:tblPrEx>
          <w:tblCellMar>
            <w:top w:w="0" w:type="dxa"/>
            <w:left w:w="0" w:type="dxa"/>
            <w:bottom w:w="0" w:type="dxa"/>
            <w:right w:w="0" w:type="dxa"/>
          </w:tblCellMar>
        </w:tblPrEx>
        <w:tc>
          <w:tcPr>
            <w:tcW w:w="0" w:type="auto"/>
            <w:vAlign w:val="center"/>
          </w:tcPr>
          <w:p w14:paraId="4A9D897A"/>
        </w:tc>
        <w:tc>
          <w:tcPr>
            <w:tcW w:w="0" w:type="auto"/>
            <w:vAlign w:val="center"/>
          </w:tcPr>
          <w:p w14:paraId="015E48FE">
            <w:r>
              <w:t>工艺参数存储量</w:t>
            </w:r>
          </w:p>
        </w:tc>
        <w:tc>
          <w:tcPr>
            <w:tcW w:w="0" w:type="auto"/>
            <w:vAlign w:val="center"/>
          </w:tcPr>
          <w:p w14:paraId="3DADD2FE">
            <w:r>
              <w:t>配方组数</w:t>
            </w:r>
          </w:p>
        </w:tc>
        <w:tc>
          <w:tcPr>
            <w:tcW w:w="0" w:type="auto"/>
            <w:vAlign w:val="center"/>
          </w:tcPr>
          <w:p w14:paraId="436A9EAB">
            <w:r>
              <w:t>≥100</w:t>
            </w:r>
          </w:p>
        </w:tc>
      </w:tr>
      <w:tr w14:paraId="3FFF52EA">
        <w:tblPrEx>
          <w:tblCellMar>
            <w:top w:w="0" w:type="dxa"/>
            <w:left w:w="0" w:type="dxa"/>
            <w:bottom w:w="0" w:type="dxa"/>
            <w:right w:w="0" w:type="dxa"/>
          </w:tblCellMar>
        </w:tblPrEx>
        <w:tc>
          <w:tcPr>
            <w:tcW w:w="0" w:type="auto"/>
            <w:vAlign w:val="center"/>
          </w:tcPr>
          <w:p w14:paraId="1D189D0D"/>
        </w:tc>
        <w:tc>
          <w:tcPr>
            <w:tcW w:w="0" w:type="auto"/>
            <w:vAlign w:val="center"/>
          </w:tcPr>
          <w:p w14:paraId="6A0E6E7C">
            <w:r>
              <w:t>故障报警响应时间</w:t>
            </w:r>
          </w:p>
        </w:tc>
        <w:tc>
          <w:tcPr>
            <w:tcW w:w="0" w:type="auto"/>
            <w:vAlign w:val="center"/>
          </w:tcPr>
          <w:p w14:paraId="3A4CCFD6">
            <w:r>
              <w:t>-</w:t>
            </w:r>
          </w:p>
        </w:tc>
        <w:tc>
          <w:tcPr>
            <w:tcW w:w="0" w:type="auto"/>
            <w:vAlign w:val="center"/>
          </w:tcPr>
          <w:p w14:paraId="6AE23AA4">
            <w:r>
              <w:t>&lt;1</w:t>
            </w:r>
          </w:p>
        </w:tc>
      </w:tr>
    </w:tbl>
    <w:p w14:paraId="268E8891">
      <w:pPr>
        <w:pStyle w:val="4"/>
      </w:pPr>
      <w:r>
        <w:t>1.3 设备整体布局与工作流程</w:t>
      </w:r>
    </w:p>
    <w:p w14:paraId="272C5F6D">
      <w:r>
        <w:t>设备采用模块化布局设计，各功能单元按工艺流程线性排布，主要包括预处理单元（位于车间原料区）、混料系统（紧邻预处理单元）、真空浇注单元（车间核心区域）及控制系统（独立控制柜，靠近操作区）。预处理单元与混料系统通过不锈钢管路连接，混料系统通过带伴热功能的输料管路与真空浇注单元对接，控制系统通过电缆桥架实现与各执行单元的信号交互，整体布局满足“原料→处理→混合→浇注→固化”的短路径流转需求，减少物料输送损耗。</w:t>
      </w:r>
    </w:p>
    <w:p w14:paraId="6717BD45">
      <w:r>
        <w:t>设备工作流程遵循“预处理-混料-脱气-浇注-固化”的工艺逻辑，具体步骤如下：首先，环氧树脂与固化剂分别进入预处理单元，通过薄膜脱气装置在真空度≤50Pa条件下脱除气体，同时过滤杂质；随后，预处理后的物料按设定配比进入预混罐，经锚式搅拌初步混合并加热至45±1℃；接着，物料转入终混罐，通过动态混合器高速搅拌（转速1500-2000rpm）实现均质化，并维持真空脱气30分钟以上；完成脱气后，模具台车将预热后的模具送入真空浇注罐，关闭罐门并启动真空系统，待罐内真空度达到≤50Pa后，通过浇注机械臂将物料按阶梯速度注入模具型腔；浇注完成后，真空浇注罐切换至固化模式，按梯度升温工艺（如60℃/2h→80℃/3h→120℃/4h）进行恒温固化，固化完成后解除真空，模具台车移出罐外冷却脱模，最终形成绝缘浇注体。</w:t>
      </w:r>
    </w:p>
    <w:p w14:paraId="69AE9F32">
      <w:pPr>
        <w:pStyle w:val="3"/>
      </w:pPr>
      <w:r>
        <w:t>二、设备结构组成</w:t>
      </w:r>
    </w:p>
    <w:p w14:paraId="5585208C">
      <w:pPr>
        <w:pStyle w:val="4"/>
      </w:pPr>
      <w:r>
        <w:t>2.1 预处理单元结构</w:t>
      </w:r>
    </w:p>
    <w:p w14:paraId="45C9E620">
      <w:r>
        <w:t>预处理单元是保障浇注材料纯净度的关键模块，主要由树脂进料系统、薄膜脱气装置及过滤组件构成。树脂进料系统采用不锈钢离心泵（型号IH50-32-160）输送物料，入口端配备Y型过滤器（过滤精度80目），防止机械杂质进入后续系统。薄膜脱气装置为单元核心，由螺旋提料器、脱气伞及真空脱气罐组成：螺旋提料器（直径150mm，螺距80mm）通过伺服电机驱动（功率1.5kW，调速范围10-50r/min），将树脂提升至脱气伞顶部；脱气伞采用316L不锈钢材质，伞面角度设计为60°，物料沿伞面呈薄膜状向下流动（膜厚0.5-1mm），增大与真空环境的接触面积；脱气罐为立式结构（直径800mm，高度2200mm），罐壁设置双层夹套（通导热油控温40-60℃），顶部安装真空接口（DN100法兰）与真空泵组连接，底部设锥形出料口（配气动放料阀）。过滤组件位于脱气罐下游，采用两级过滤设计：一级为篮式过滤器（过滤精度10μm），二级为折叠滤芯过滤器（精度1μm），确保物料中粒径＞1μm的杂质去除率≥99.5%。</w:t>
      </w:r>
    </w:p>
    <w:p w14:paraId="73B5EE8F">
      <w:pPr>
        <w:pStyle w:val="4"/>
      </w:pPr>
      <w:r>
        <w:t>2.2 混料系统结构</w:t>
      </w:r>
    </w:p>
    <w:p w14:paraId="225566CA">
      <w:r>
        <w:t>混料系统采用“预混-终混”两级处理架构，确保非填料树脂体系的均匀性。预混料罐为卧式结构（容积500L，直径1200mm，长度1500mm），罐内安装锚式搅拌装置（桨叶直径900mm，宽度150mm），搅拌轴由减速电机驱动（功率2.2kW，转速50-80r/min），桨叶与罐壁间隙控制在20-30mm，避免物料残留。罐体外层设加热油套（导热油型号L-TSA320），配备12kW电加热管（分3组控制）及PT100铂电阻传感器，实现40-80℃范围内的温度调节，控温精度±1℃。终混罐为立式双层罐体（内层304不锈钢，外层Q235B碳钢，容积300L），顶部集成动态混合器（型号SX-300，材质316L），混合器内部设12组交错排列的螺旋叶片（叶片角度45°，节距100mm），通过高速旋转（1500-2000rpm）产生剪切力，使物料粘度均匀性波动≤±5%。罐内底部安装涡轮式搅拌桨（直径500mm，转速100-150r/min），配合动态混合器形成“强制循环+剪切混合”的协同机制。物料输送管路采用DN80不锈钢管（壁厚3mm），外层包裹伴热带（功率20W/m）及保温层（厚度50mm），管路系统集成气动阀门组（型号AVENTICS 581系列），实现物料流向的自动切换，阀门响应时间＜0.5s。</w:t>
      </w:r>
    </w:p>
    <w:p w14:paraId="45E25DA4">
      <w:pPr>
        <w:pStyle w:val="4"/>
      </w:pPr>
      <w:r>
        <w:t>2.3 真空浇注单元结构</w:t>
      </w:r>
    </w:p>
    <w:p w14:paraId="479523A8">
      <w:r>
        <w:t>真空浇注单元是设备的核心执行模块，由真空浇注罐、真空泵组、模具台车及浇注机械臂组成。真空浇注罐为卧式圆柱形结构（内径2400mm，长度3000mm），罐壁采用304不锈钢（厚度12mm），内壁抛光处理（Ra≤1.6μm），外部布置电加热板（功率36kW，分6区控制，单块加热板功率500W，尺寸600×400mm），加热板与罐壁通过导热硅脂贴合，热传递效率≥90%。罐门为手动旋转侧开式结构（开启角度120°），密封采用双道氟橡胶密封圈（截面尺寸15×10mm，硬度70 Shore A），通过罐门锁紧机构（12组径向均布的手动螺杆）实现密封压缩量控制（推荐压缩量3-5mm），确保罐门关闭后的密封性能。真空泵组采用“滑阀泵+罗茨泵”串联配置：前置泵为2H-70型滑阀真空泵（抽速70L/S，极限真空度≤0.06Pa），主泵为ZJ-300型罗茨真空泵（抽速300L/S，极限真空度≤0.005Pa），两者通过DN150真空管路连接，管路上设置气动真空阀（型号GDC-J100）及真空过滤器（过滤精度0.1μm）。模具台车采用型钢焊接框架结构（承重5000kg），底部安装8组聚氨酯导向轮（直径150mm），沿轨道（轨距1200mm）移动，台车与罐体内轨道对接偏差≤±2mm。浇注机械臂为直角坐标式结构（X轴行程3000mm，Y轴1500mm，Z轴1000mm），由伺服电机驱动（X/Y轴功率1.5kW，Z轴1.0kW），定位精度±0.1mm，末端安装浇注头（出口直径可换，范围10-50mm），支持点浇、线浇两种模式，浇注头配备压力传感器（量程0-1MPa，精度±0.5%FS）实时监测出口压力。</w:t>
      </w:r>
    </w:p>
    <w:p w14:paraId="4E313877">
      <w:pPr>
        <w:pStyle w:val="4"/>
      </w:pPr>
      <w:r>
        <w:t>2.4 控制系统结构</w:t>
      </w:r>
    </w:p>
    <w:p w14:paraId="35ECBB7D">
      <w:r>
        <w:t>控制系统采用“PLC+分布式IO+人机界面”的架构，实现全流程自动化控制。核心控制器选用西门子S7-1214C DC/DC/DC型PLC（CPU 1214C，集成14DI/10DO，支持扩展模块），扩展2个SM 1231模拟量输入模块（8通道/模块，16位精度）和1个SM 1232模拟量输出模块（4通道，16位精度），用于采集温度、压力、真空度等模拟量信号及控制伺服阀、调节阀等执行元件。人机交互界面采用昆仑通态TPC1561Hi触摸屏（15英寸，分辨率1024×768），实时显示设备运行状态、工艺参数曲线及报警信息，支持工艺配方的存储与调用（≥100组）。传感器组件包括：真空度测量采用德国莱宝Pirani真空计（型号PTR90，测量范围10⁻³-10³Pa，精度±5%读数）；温度测量采用PT100铂电阻（A级精度，-50-200℃范围内误差≤±0.15℃）；压力测量采用扩散硅压力变送器（型号罗斯蒙特3051，量程0-1MPa，精度±0.075%FS）；液位测量采用电容式液位计（测量范围0-3000mm，精度±1mm）。执行元件主要包括：气动阀门采用二位五通电磁阀（型号SMC SY5000系列，电压DC24V）；伺服电机选用松下A6系列（功率1.5kW，编码器23位）；加热控制采用固态继电器（型号欧姆龙G3NA系列，容量50A）。控制系统电源采用隔离变压器（容量5kVA，输入380V，输出220V/24V）及UPS不间断电源（容量3kVA，后备时间≥30min），确保断电时数据不丢失。</w:t>
      </w:r>
    </w:p>
    <w:p w14:paraId="1A9C7CEC">
      <w:pPr>
        <w:pStyle w:val="4"/>
      </w:pPr>
      <w:r>
        <w:t>2.5 辅助系统结构</w:t>
      </w:r>
    </w:p>
    <w:p w14:paraId="2AFC28BC">
      <w:r>
        <w:t>辅助系统为设备稳定运行提供保障，主要包括冷却循环系统、模具预热装置、安全联锁机构及清洁系统。冷却循环系统采用风冷式冷水机（型号LSQ-5，制冷量5kW），配备不锈钢水箱（容积300L）、循环水泵（流量15m³/h，扬程20m）及板式换热器（换热面积5m²），为真空泵、模具冷却及液压系统提供30±2℃的冷却水，进水压力控制在0.3-0.5MPa。模具预热装置采用电加热板（功率15kW，分6区独立控制），加热板表面敷设耐高温硅胶垫（厚度5mm），与模具接触传热，预热温度60-80℃可调，升温速率5℃/min，温度均匀性±3℃。安全联锁机构包含多重保护：罐门安全联锁采用压力传感器（检测罐内压力≤101kPa）与机械锁结合，开门时自动切断加热系统电源；急停保护在操作区、控制柜及浇注罐周边设置6个急停按钮（常闭触点，串联接入安全继电器），按下时切断所有动力电源；超压保护在真空管路及浇注罐上安装压力开关（真空侧设定值-0.1MPa，正压侧0.6MPa），超限时触发声光报警并停机。清洁系统包括溶剂清洗与压缩空气吹扫：溶剂清洗通过专用清洗泵（型号隔膜泵，流量50L/min）输送丙酮或二甲苯，对混料罐、管路及浇注头进行循环清洗；压缩空气吹扫采用0.6MPa干燥压缩空气（露点≤-40℃），在清洗后吹干残留溶剂，避免物料污染。</w:t>
      </w:r>
    </w:p>
    <w:p w14:paraId="6F7AAE11">
      <w:pPr>
        <w:pStyle w:val="3"/>
      </w:pPr>
      <w:r>
        <w:t>三、设备功能特性</w:t>
      </w:r>
    </w:p>
    <w:p w14:paraId="21361637">
      <w:pPr>
        <w:pStyle w:val="4"/>
      </w:pPr>
      <w:r>
        <w:t>3.1 预处理单元功能</w:t>
      </w:r>
    </w:p>
    <w:p w14:paraId="28B242CC">
      <w:r>
        <w:t>预处理单元的核心功能是实现树脂的高效脱气与杂质过滤，为后续混料及浇注提供纯净物料。薄膜脱气功能基于“薄膜扩展-真空脱除”原理，通过螺旋提料器将树脂均匀分布于脱气伞表面，形成0.5-1mm厚的薄膜，在真空度≤50Pa、温度60-80℃的条件下，使物料中的溶解气体（主要为空气、水分）快速逸出，脱气效率可达99.9%（残留气体含量≤0.01%），较传统搅拌脱气方式脱气时间缩短30%。杂质过滤功能通过两级高精度过滤实现，一级过滤去除大颗粒机械杂质（10-1μm），二级过滤拦截胶体类微小杂质（＜1μm），确保物料清洁度达到ISO 16232-10标准8级要求，有效降低浇注后绝缘件的局部放电量（≤5pC）。物料输送功能采用恒压输送模式，通过变频调速控制进料泵转速（10-50Hz），维持管路压力0.2-0.3MPa，流量波动≤±5%，避免因压力突变导致的脱气效果波动。此外，单元具备自动排渣功能，过滤器压差达到0.1MPa时自动切换至备用过滤支路，同时对堵塞滤芯进行反吹清洗（压缩空气压力0.5MPa，时间30s），清洗后压差恢复至＜0.03MPa可继续使用，提高滤芯使用寿命30%以上。</w:t>
      </w:r>
    </w:p>
    <w:p w14:paraId="0A9DB686">
      <w:pPr>
        <w:pStyle w:val="4"/>
      </w:pPr>
      <w:r>
        <w:t>3.2 混料系统功能</w:t>
      </w:r>
    </w:p>
    <w:p w14:paraId="1EADD7C6">
      <w:r>
        <w:t>混料系统实现环氧树脂与固化剂的精确配比、恒温控制及均质混合，满足非填料体系的工艺要求。物料配比功能通过电子秤计量与伺服推送协同实现：预混罐底部安装3支称重传感器（量程500kg，精度±0.1%FS），实时监测物料重量，PLC根据设定配比（如树脂:固化剂=100:30）控制进料阀门开度，配比精度达到±1%，确保固化反应充分且收缩率稳定（收缩率偏差≤±0.5%）。恒温搅拌功能通过加热油套与锚式搅拌协同作用，在45±1℃的温度下对物料进行低速搅拌（50-80r/min），使树脂粘度控制在500-800mPa·s（25℃），粘度波动≤±5%，为后续脱气和浇注提供适宜的流变性。终混阶段的动态混合功能通过高速剪切（1500-2000rpm）实现分子级分散，混合器出口物料经在线粘度计（型号Brookfield DV2T）检测，粘度均匀性达到95%以上，确保浇注体性能一致性（介损偏差≤±0.2%）。系统具备配比异常报警功能，当实际配比偏离设定值±2%时，立即停止进料并发出声光报警，同时自动排空不合格物料，防止影响后续工艺。</w:t>
      </w:r>
    </w:p>
    <w:p w14:paraId="2F2C913F">
      <w:pPr>
        <w:pStyle w:val="4"/>
      </w:pPr>
      <w:r>
        <w:t>3.3 真空浇注单元功能</w:t>
      </w:r>
    </w:p>
    <w:p w14:paraId="4BBF2221">
      <w:r>
        <w:t>真空浇注单元实现“真空脱气-负压浇注-恒温固化”一体化工艺，是保障绝缘件质量的核心。真空环境构建功能通过真空泵组阶梯抽气实现：初始阶段（0-5min）启动滑阀泵，将罐内压力降至1330Pa；随后（5-15min）启动罗茨泵，继续抽至≤50Pa并维持30min以上，确保模具型腔及物料中的气体充分排出，使浇注体气泡率≤0.1%（气泡直径＞0.2mm的气泡数量＜1个/dm³）。负压浇注功能通过真空度与浇注速度协同控制实现：当罐内真空度稳定在50Pa后，启动浇注机械臂，按“低速-高速-低速”阶梯式速度曲线（0.2m/s→0.4m/s→0.15m/s）将物料注入模具，避免湍流导致的气泡卷入；浇注过程中通过压力传感器实时监测模具型腔压力，当达到-0.08MPa时自动停止浇注，防止过注或欠注。恒温固化功能通过罐内加热板与热风循环协同实现：加热板分6区独立控温，配合顶部热风循环风机（风量2000m³/h，风速1.2m/s），使罐内温度均匀性达到±2℃；固化过程执行预设的梯度升温曲线（如60℃/2h→80℃/3h→120℃/4h），PLC根据温度传感器反馈动态调节加热功率，确保固化度≥95%（差示扫描量热法DSC测试）。此外，单元具备模具快速更换功能，通过台车轨道与定位销（定位精度±0.1mm）实现模具快速对接，换模时间≤30min，提高设备利用率。</w:t>
      </w:r>
    </w:p>
    <w:p w14:paraId="2FC97584">
      <w:pPr>
        <w:pStyle w:val="4"/>
      </w:pPr>
      <w:r>
        <w:t>3.4 控制系统功能</w:t>
      </w:r>
    </w:p>
    <w:p w14:paraId="36A8A2E7">
      <w:r>
        <w:t>控制系统实现设备全流程的自动化控制与智能化管理，具备参数闭环控制、工艺管理及故障诊断功能。参数闭环控制功能覆盖真空度、温度、压力等关键工艺参数：真空度控制采用PID调节算法，设定值与实际值偏差超过±10Pa时，PLC通过调节真空阀门开度（0-100%）改变抽气速率，使真空度稳定在设定值±5Pa范围内；温度控制采用串级PID调节，主环控制罐内温度，副环控制加热功率，当温度偏差＞2℃时，自动切换至限幅控制，避免超调；压力控制通过比例阀实现0-0.6MPa范围内的无级调节，控制精度±0.02MPa。工艺管理功能支持配方存储与调用（≥100组），可记录每条工艺曲线（真空度-时间、温度-时间）及关键参数（如脱气时间、浇注速度），数据存储时间≥1年，支持U盘导出或以太网上传至MES系统。故障诊断功能通过实时监测128个设备状态点（如电机电流、阀门位置、传感器信号），实现故障的早期预警与精确定位：当检测到异常（如真空度下降速率＞50Pa/min）时，系统自动分析可能原因（密封圈泄漏、真空泵故障等）并在人机界面显示，同时提供故障处理指导步骤，平均故障诊断时间≤5min。此外，控制系统具备远程监控功能，通过以太网模块（支持Modbus TCP/IP协议）与车间监控系统通信，可远程查看设备运行状态、修改工艺参数（需权限认证）及接收报警信息，实现无人值守生产。</w:t>
      </w:r>
    </w:p>
    <w:p w14:paraId="7C4DAF23">
      <w:pPr>
        <w:pStyle w:val="4"/>
      </w:pPr>
      <w:r>
        <w:t>3.5 安全防护功能</w:t>
      </w:r>
    </w:p>
    <w:p w14:paraId="14986E4E">
      <w:r>
        <w:t>安全防护功能采用“主动预防-被动防护-应急处置”三级防护体系，确保设备操作与维护安全。主动预防措施包括：设备启动前自动进行安全检查（检测项包括罐门关闭、急停状态、水压/气压正常等），检查通过后方可启动；运行中实时监测关键参数（如加热温度、真空度、电机电流），超限时立即触发保护（如切断加热电源、停止真空泵）。被动防护措施包括：机械防护采用安全围栏（高度1.2m）隔离危险区域，围栏门配备安全联锁开关（常闭触点），开门时设备停止运行；电气防护采用双重绝缘设计，动力回路与控制回路隔离，接地电阻≤4Ω，漏电保护动作电流≤30mA，动作时间≤0.1s；热防护在加热区域设置耐高温隔热层（表面温度≤50℃），并张贴高温警示标识。应急处置功能包括：紧急停机系统在设备任何位置按下急停按钮，均可切断所有动力电源，制动器抱闸；火灾防护配备感温探测器（动作温度70℃）及二氧化碳灭火器（容量5kg），火情发生时自动切断气源并启动报警；有毒气体防护在溶剂清洗区设置可燃气体探测器（检测范围0-100%LEL），浓度超标时启动排风装置（风量5000m³/h）并报警。此外，系统具备故障自恢复功能，瞬时停电后重新上电时，自动恢复至停电前状态（需确认安全条件），避免工艺中断导致物料报废。</w:t>
      </w:r>
    </w:p>
    <w:p w14:paraId="037492F2">
      <w:pPr>
        <w:pStyle w:val="3"/>
      </w:pPr>
      <w:r>
        <w:t>四、机械工作原理</w:t>
      </w:r>
    </w:p>
    <w:p w14:paraId="187C0782">
      <w:pPr>
        <w:pStyle w:val="4"/>
      </w:pPr>
      <w:r>
        <w:t>4.1 预处理单元机械原理</w:t>
      </w:r>
    </w:p>
    <w:p w14:paraId="13ADE91A">
      <w:r>
        <w:t>预处理单元基于“薄膜脱气”机械原理实现树脂体系的高效脱气，其核心是通过物料形态的改变强化传质过程。螺旋提料器由伺服电机驱动，通过螺旋叶片的旋转将树脂从底部提升至脱气伞顶部，提料量与电机转速呈线性关系（转速10r/min时提料量50L/h，50r/min时250L/h），确保物料连续稳定供给。脱气伞采用锥形结构设计，伞面角度60°，物料从伞顶滴落至伞面后，在重力作用下沿伞面呈薄膜状向下流动，薄膜厚度通过提料速度与伞面坡度协同控制：当提料速度增加时，薄膜厚度增大（最大1mm），但流速加快导致停留时间缩短；反之，提料速度降低时薄膜变薄（最小0.5mm），停留时间延长。通过调节转速（10-50r/min），可使物料在脱气伞表面的停留时间控制在10-30s，满足不同粘度树脂的脱气需求。在真空环境（≤50Pa）下，薄膜状物料中的气体分子扩散路径缩短，逸出阻力减小，脱气效率较传统搅拌脱气提高3倍以上。脱气后的物料经锥形罐底汇集，通过气动放料阀进入过滤系统，阀门开启度（0-100%）由PLC根据下游混料罐液位自动调节，维持脱气罐内料位稳定在1/2-2/3高度，避免液位波动影响脱气效果。</w:t>
      </w:r>
    </w:p>
    <w:p w14:paraId="67751C6B">
      <w:pPr>
        <w:pStyle w:val="4"/>
      </w:pPr>
      <w:r>
        <w:t>4.2 混料系统机械原理</w:t>
      </w:r>
    </w:p>
    <w:p w14:paraId="6CBC8205">
      <w:r>
        <w:t>混料系统通过“锚式搅拌预混-动态剪切终混”的复合机械作用，实现非填料树脂体系的均匀混合。预混阶段，锚式搅拌桨在减速电机驱动下旋转（50-80r/min），桨叶推动物料沿罐壁做圆周运动，同时产生轴向翻动，形成“整体循环+局部搅拌”的流场：靠近桨叶区域物料受强剪切力作用，远离桨叶区域则以对流混合为主，两者协同使树脂与固化剂初步混合，混合均匀度达到85%以上。搅拌桨叶采用后弯式设计，可降低功率消耗（比平直桨叶节能20%），同时减少物料飞溅。加热油套通过导热油的强制循环（泵流量8m³/h）将热量传递给罐内物料，油套内壁设导流板（间距200mm），引导导热油形成湍流，提高传热系数至800W/(m²·K)以上，确保罐内温度均匀性±1℃。终混阶段，动态混合器通过高速旋转（1500-2000rpm）的螺旋叶片对物料施加剪切力与离心力：叶片与定子之间的间隙（0.5-1mm）形成强烈剪切区，将物料中的团聚体破碎；同时，螺旋结构推动物料轴向运动，实现“剪切-分流-汇合”的多次循环，混合均匀度提升至95%以上。混合器出口压力通过背压阀调节（0.3-0.5MPa），确保物料充分充满叶片间隙，避免“短路”流动。整个混料过程中，扭矩传感器实时监测搅拌轴负载（测量范围0-500N·m，精度±0.5%FS），当扭矩异常升高（如物料粘度突变）时，自动降低搅拌转速并报警，防止设备过载。</w:t>
      </w:r>
    </w:p>
    <w:p w14:paraId="17CED8B2">
      <w:pPr>
        <w:pStyle w:val="4"/>
      </w:pPr>
      <w:r>
        <w:t>4.3 真空浇注单元机械原理</w:t>
      </w:r>
    </w:p>
    <w:p w14:paraId="020A5CC7">
      <w:r>
        <w:t>真空浇注单元通过“三级压力控制+温度场协同”的机械原理，实现绝缘件的无气泡成型。真空抽气阶段采用“滑阀泵粗抽-罗茨泵精抽”的组合方式：初始阶段（罐内压力101kPa至1330Pa），仅启动滑阀泵（抽速70L/S），利用其大气量特性快速降低压力；当压力降至1330Pa时，PLC发出联锁信号启动罗茨泵（抽速300L/S），利用其高真空特性继续抽气至≤50Pa。罗茨泵与滑阀泵之间设置旁通阀，防止罗茨泵过载：当入口压力＞1330Pa时，旁通阀打开，部分气体直接由滑阀泵排出，保护罗茨泵转子不被压缩气体过热损坏。浇注阶段采用“负压填充-正压补缩”的复合工艺：首先在罐内维持50Pa真空度，通过浇注机械臂将物料注入模具型腔，利用模具型腔与混料罐之间的压力差（0.2-0.3MPa）推动物料流动；当模具型腔充满后（通过液位传感器检测），关闭真空阀并通入压缩空气，使罐内压力升至0.2-0.4MPa，利用压力差促进树脂渗透至线圈缝隙，同时补偿固化收缩。固化阶段通过热风循环与电加热板协同加热：加热板产生的热量通过辐射传递给模具，热风循环风机（风速1.2m/s）使罐内空气形成对流，消除温度梯度，温度场均匀性±2℃。风机叶片采用前倾式设计，可提高气流组织效率，使热量交换速率提升15%。模具台车通过伺服电机驱动（功率1.5kW，减速比1:100），沿轨道移动（速度0.5m/s），定位精度通过编码器（分辨率1000线）与定位销（锥度1:50）双重保证，重复定位误差≤±0.1mm。</w:t>
      </w:r>
    </w:p>
    <w:p w14:paraId="7F1C02AF">
      <w:pPr>
        <w:pStyle w:val="4"/>
      </w:pPr>
      <w:r>
        <w:t>4.4 物料输送机械原理</w:t>
      </w:r>
    </w:p>
    <w:p w14:paraId="22BBB8C4">
      <w:r>
        <w:t>物料输送系统基于“气动阀门组切换+伴热保温”的机械原理实现物料的精准配送。管路切换通过气动阀门组的逻辑动作完成，阀门组由进料阀、出料阀、清洗阀及放空阀组成，各阀门的开闭状态根据工艺流程预设：混料阶段，进料阀开启、出料阀关闭，物料进入混料罐；浇注阶段，进料阀关闭、出料阀开启，物料输送至浇注头；清洗阶段，清洗阀开启、其他阀门关闭，溶剂进入管路。阀门采用双作用气缸驱动，活塞直径50mm，工作压力0.5-0.7MPa，开关时间0.5-1s，阀门口径与管路匹配（DN80），流阻系数≤0.5。伴热保温通过双层夹套与电伴热带协同实现：双层夹套外层为保温层（材质岩棉，厚度50mm，导热系数≤0.04W/(m·K)），内层为加热层，通导热油（温度45±1℃）维持物料温度；电伴热带（功率20W/m）缠绕于夹套外层，作为辅助加热，当环境温度低于10℃时自动启动，补偿热量损失。物料输送动力来源于混料罐与浇注头之间的压力差：混料罐顶部通入0.3-0.5MPa压缩空气，将物料压入管路，流量通过出口调节阀控制（开度0-100%），实现0.1-0.5m/s的无级调速。为防止物料残留，管路设计为倾斜布置（坡度3°），并在最低处设置排污阀，每次浇注完成后，先通入压缩空气吹扫（0.6MPa，时间30s），再用溶剂清洗（循环10min），确保管路残留量＜0.5%。</w:t>
      </w:r>
    </w:p>
    <w:p w14:paraId="6AE8B1F9">
      <w:pPr>
        <w:pStyle w:val="3"/>
      </w:pPr>
      <w:r>
        <w:t>五、控制系统原理</w:t>
      </w:r>
    </w:p>
    <w:p w14:paraId="5460EC53">
      <w:pPr>
        <w:pStyle w:val="4"/>
      </w:pPr>
      <w:r>
        <w:t>5.1 控制架构组成</w:t>
      </w:r>
    </w:p>
    <w:p w14:paraId="3B9D2956">
      <w:r>
        <w:t>控制系统采用“分层分布式”架构，分为现场设备层、控制层、监控层及信息层，实现数据采集、逻辑控制与信息交互的有机结合。现场设备层由传感器与执行器组成，负责工艺参数检测与物理量调节：传感器包括真空计、温度传感器、压力变送器、液位计等，将物理量转换为标准电信号（4-20mA或0-10V）；执行器包括电磁阀、伺服电机、固态继电器等，接收控制层指令并执行动作。控制层以PLC为核心（西门子S7-1214C），集成数字量输入/输出模块（DI 32点/DO 24点）、模拟量输入/输出模块（AI 16点/AO 8点）及高速计数模块（4通道，100kHz），完成逻辑控制、PID调节及数据处理功能。PLC通过PROFINET总线（传输速率100Mbps）与分布式IO模块（西门子ET200SP）通信，实现远程I/O控制，减少电缆敷设。监控层采用触摸屏（昆仑通态TPC1561Hi）作为人机交互界面，支持工艺参数设置、实时数据显示、报警信息查询及历史曲线查看，界面采用模块化设计，包含主控界面、参数设置界面、报警界面及趋势图界面。信息层通过以太网模块（西门子CP1243-1）接入车间局域网，支持与MES系统数据交互，上传生产数据（如批次号、工艺参数、合格率）并接收生产计划，实现智能制造集成。系统供电采用分级配置：控制回路24VDC（开关电源，容量10A），动力回路380VAC（断路器保护），模拟量回路采用隔离器（精度0.1%），防止电磁干扰。</w:t>
      </w:r>
    </w:p>
    <w:p w14:paraId="01B86B0D">
      <w:pPr>
        <w:pStyle w:val="4"/>
      </w:pPr>
      <w:r>
        <w:t>5.2 真空度控制原理</w:t>
      </w:r>
    </w:p>
    <w:p w14:paraId="0646F249">
      <w:r>
        <w:t>真空度控制采用“前馈-反馈”复合控制策略，通过PLC的PID算法实现高精度调节。系统设定目标真空度曲线（如5min内从大气压降至50Pa），前馈控制根据曲线斜率计算理论抽气速率，提前调节真空阀门开度；反馈控制则根据实际真空度与设定值的偏差进行动态修正。真空度检测采用皮拉尼真空计（测量范围10⁻³-10³Pa），其原理是利用气体热传导与压力的关系：当气体压力降低时，热传导减弱，真空计灯丝温度升高，通过测量灯丝电阻变化（采用惠斯通电桥）得到压力值，测量信号经A/D转换后送入PLC。控制执行机构为气动真空阀（口径DN100），阀门开度通过定位器（输入4-20mA，对应0-100%开度）调节，定位器内置PID算法，可快速响应控制信号（响应时间＜0.5s）。为防止真空度超调，系统设置分段控制参数：粗抽阶段（压力＞1330Pa），PID比例带设为50%，积分时间10s，确保快速降压；精抽阶段（压力≤1330Pa），比例带设为80%，积分时间30s，提高稳定性。当真空度达到设定值后，系统进入保压模式，通过微调阀门开度维持压力波动≤±5Pa。此外，系统具备真空度联锁保护：当罗茨泵入口压力＞1330Pa时，自动关闭罗茨泵并打开旁通阀，防止过载；当真空度下降速率＞50Pa/min时，触发泄漏报警并提示检查密封件。</w:t>
      </w:r>
    </w:p>
    <w:p w14:paraId="54062C29">
      <w:pPr>
        <w:pStyle w:val="4"/>
      </w:pPr>
      <w:r>
        <w:t>5.3 温度控制原理</w:t>
      </w:r>
    </w:p>
    <w:p w14:paraId="4B723517">
      <w:r>
        <w:t>温度控制采用“多区域协同+梯度升温”的控制策略，通过智能温控仪表与PLC的协同工作实现精确调节。系统将温度控制区域分为混料罐、浇注罐、模具及管路伴热，每个区域独立控制但相互关联。温度检测采用PT100铂电阻（A级精度），其原理是利用铂电阻的阻值随温度变化的特性（0℃时阻值100Ω，温度系数0.00385Ω/℃），通过三线制接法消除导线电阻影响，测量信号经温度变送器转换为4-20mA标准信号。控制执行采用固态继电器（SSR）调节加热功率，SSR通过PLC输出的脉冲信号（占空比0-100%）控制导通时间，实现功率连续调节。混料罐温度控制采用串级PID调节：主控制器设定目标温度（45℃），副控制器根据主控制器输出调节加热功率，同时引入搅拌转速前馈信号（转速升高时增加加热功率），提高动态响应速度。浇注罐温度控制采用分区协同策略：罐体内壁布置6组加热板，每组加热板对应1个温度传感器，PLC根据各区域温度偏差调节对应加热板功率，当区域温差＞3℃时，启动热风循环风机促进热交换，使温度均匀性达到±2℃。梯度升温工艺通过PLC的定时器与温度设定值的函数关系实现：例如固化阶段设定温度T(t)=60+5t（t为时间，单位h），PLC按时间间隔（1min）更新目标温度，温控仪表跟踪调节，升温速率控制在2-5℃/h，避免热应力导致的开裂。系统具备超温保护功能：当实测温度超过设定值+10℃时，PLC立即切断加热电源并报警，同时启动冷却风机，防止物料过热变质。</w:t>
      </w:r>
    </w:p>
    <w:p w14:paraId="1DB4F719">
      <w:pPr>
        <w:pStyle w:val="4"/>
      </w:pPr>
      <w:r>
        <w:t>5.4 自动化工艺流程控制</w:t>
      </w:r>
    </w:p>
    <w:p w14:paraId="0960524E">
      <w:r>
        <w:t>自动化工艺流程控制通过PLC的顺序控制与联锁逻辑实现，将整个生产过程划分为准备、脱气、浇注、固化及冷却五个阶段，各阶段的启动条件与完成判据如下。准备阶段：操作人员选择工艺配方后，系统自动检查前提条件（模具到位、罐门关闭、物料充足等），条件满足时进入下一步；同时，模具预热至设定温度（60-80℃），混料罐加热至45℃。脱气阶段：预处理单元启动，树脂经薄膜脱气后进入混料罐，按配比加入固化剂，启动搅拌（转速60r/min）并抽真空（真空度≤50Pa），脱气时间达到设定值（30-60min）后，进入浇注准备。浇注阶段：模具台车进入真空浇注罐，关闭罐门并抽真空至≤50Pa；启动浇注机械臂，按预设路径（通过示教编程设定）将物料注入模具，实时监测模具型腔压力，达到设定值（-0.08MPa）时停止浇注，保压5min。固化阶段：浇注完成后，系统按梯度升温曲线加热（如60℃/2h→80℃/3h→120℃/4h），各温度段通过温度传感器反馈闭环控制，固化时间达到设定值后进入冷却阶段。冷却阶段：停止加热，开启冷却风机，使罐内温度以≤10℃/h的速率降至60℃以下，然后解除真空，模具台车移出。整个流程中，PLC通过内部标志位（M区）实现阶段转换，每个阶段设置“启动”、“运行”、“完成”及“故障”状态位，状态转换需满足安全联锁条件（如罐门未关闭时禁止抽真空）。系统具备手动/自动切换功能，手动模式下可单独操作各设备（如点动搅拌电机、开关阀门），用于调试与维护。</w:t>
      </w:r>
    </w:p>
    <w:p w14:paraId="6B198783">
      <w:pPr>
        <w:pStyle w:val="4"/>
      </w:pPr>
      <w:r>
        <w:t>5.5 安全联锁控制原理</w:t>
      </w:r>
    </w:p>
    <w:p w14:paraId="554D1D14">
      <w:r>
        <w:t>安全联锁控制采用“硬线联锁+软件联锁”双重保护机制，确保设备与人员安全。硬线联锁通过安全继电器（西门子3TK2828）实现，将急停按钮、安全门开关、压力开关等关键安全信号串联接入安全继电器的输入回路，安全继电器输出控制动力电源接触器，当任何一个安全信号断开时，安全继电器立即切断动力电源，响应时间≤10ms。软件联锁通过PLC的逻辑程序实现，主要包括：罐门联锁，罐门未关闭时，禁止启动真空泵和加热系统；真空联锁，真空度未达到设定值时，禁止开始浇注；温度联锁，加热温度未达到设定值时，禁止搅拌；压力联锁，管路压力超过0.6MPa时，停止进料泵。联锁信号的优先级按安全等级划分：急停信号优先级最高，其次是压力超压、温度超温，最低是工艺参数偏差报警。系统具备故障诊断与显示功能：安全继电器内置诊断模块，可通过LED指示灯显示故障类型（如急停触发、安全门打开）；PLC将联锁故障信息实时上传至人机界面，显示故障代码、描述及处理建议，帮助操作人员快速排查。为防止误操作，系统设置操作权限管理：分为操作员、技术员、管理员三级权限，操作员仅可启动/停止流程，技术员可修改工艺参数，管理员可进行系统配置，权限通过密码验证实现。</w:t>
      </w:r>
    </w:p>
    <w:p w14:paraId="50A50417">
      <w:pPr>
        <w:pStyle w:val="3"/>
      </w:pPr>
      <w:r>
        <w:t>六、常见故障及处理对策</w:t>
      </w:r>
    </w:p>
    <w:p w14:paraId="1FA59A78">
      <w:pPr>
        <w:pStyle w:val="4"/>
      </w:pPr>
      <w:r>
        <w:t>6.1 真空系统常见故障</w:t>
      </w:r>
    </w:p>
    <w:p w14:paraId="4A6160FA">
      <w:r>
        <w:t>真空系统故障主要表现为真空度不达标、真空泵异常及真空泄漏，具体故障类型、成因与处理对策如下。真空度无法达到设定值（如要求≤50Pa，实际只能达到200Pa），常见成因包括：①密封圈老化，罐门或管路密封圈因长期高温（80-120℃）导致弹性下降，压缩量不足，密封面出现缝隙；②真空泵油污染，树脂蒸汽进入泵体与真空泵油混合，导致油粘度升高，抽气效率下降；③管道堵塞，真空过滤器滤芯被树脂粉末堵塞，通流面积减小。处理步骤：首先用氦质谱检漏仪检测泄漏点，重点检查罐门密封圈（压缩量应保持3-5mm），老化时更换氟橡胶密封圈（硬度70 Shore A）；其次检查真空泵油颜色，若呈褐色或浑浊，立即更换专用真空泵油（型号N68），并清洗泵体内部；最后拆卸过滤器，用丙酮清洗滤芯，堵塞严重时更换滤芯（建议每3个月更换一次）。预防措施：每批次生产后清洁密封面，涂抹真空硅脂；真空泵每运行500小时更换一次油；定期（每月）检查过滤器压差，超过0.1MPa时更换。</w:t>
      </w:r>
    </w:p>
    <w:p w14:paraId="78DEB09B">
      <w:r>
        <w:t>真空泵运行中出现异响或过热（泵体温度＞80℃），成因主要有：①轴承磨损，长期运行导致轴承间隙增大（超过0.15mm），转子与端盖摩擦；②进气过滤器堵塞，树脂颗粒进入泵腔，磨损转子表面；③电机过载，电源电压波动或三相不平衡（偏差＞5%）。处理对策：拆解真空泵，测量轴承间隙，超限时更换轴承（型号6308）；清理进气过滤器，用压缩空气反吹滤芯（0.6MPa，时间30s）；用万用表检测电源电压，不平衡时调节三相负载。若异响由转子不平衡引起，需对转子进行动平衡校正（平衡精度G2.5级）。日常维护应注意：真空泵启动前检查油位（油窗1/2-2/3处）；运行中监听声音，正常应为均匀的“嗡嗡”声，无尖锐杂音；每运行100小时清洁散热风扇滤网。</w:t>
      </w:r>
    </w:p>
    <w:p w14:paraId="7FC22098">
      <w:r>
        <w:t>真空泄漏是隐性故障，表现为真空度保压能力下降（30分钟压降＞50Pa），成因包括：①法兰连接螺栓松动，长期振动导致螺栓预紧力下降，密封垫压缩量不足；②真空阀门内漏，阀门阀芯与阀座密封面磨损（如气动真空阀关闭不严）；③传感器接口漏气，真空计安装螺纹未密封（未缠绕生料带）。处理方法：采用“分段保压法”排查泄漏段，关闭各段阀门，分别检测真空度；对法兰螺栓进行扭矩复紧（按对角顺序，扭矩值35N·m）；拆解阀门研磨密封面，严重磨损时更换阀芯；传感器接口缠绕聚四氟乙烯生料带（缠绕方向与螺纹旋向一致），并涂抹真空密封胶（型号Dow Corning 734）。建议每季度进行一次全面泄漏检测，确保系统空载泄漏率≤50Pa·L/S。</w:t>
      </w:r>
    </w:p>
    <w:p w14:paraId="34811158">
      <w:pPr>
        <w:pStyle w:val="4"/>
      </w:pPr>
      <w:r>
        <w:t>6.2 温控系统常见故障</w:t>
      </w:r>
    </w:p>
    <w:p w14:paraId="0352851C">
      <w:r>
        <w:t>温控系统故障主要包括温度失控、温度偏差大及传感器故障，具体分析如下。温度失控表现为实际温度持续升高超过设定值（如设定80℃，实际升至110℃），成因包括：①固态继电器（SSR）击穿短路，控制信号断开后仍导通，加热管持续工作；②温控仪表参数错误，PID积分时间过短或微分时间过长，导致超调；③铂电阻（PT100）断线，温度信号丢失，仪表误认为温度过低，持续加热。处理步骤：首先用万用表检测SSR输出端，若断电状态下仍导通，更换同规格SSR（型号G3NA-440B，50A）；其次重新整定PID参数，比例带设为50-80%，积分时间10-30s，微分时间5-10s；最后检查PT100接线，三线制接法确保导线颜色对应（红-正极，蓝-负极，黄-补偿），断线时焊接或更换传感器。预防措施：每月用标准温度计校准温控仪表，偏差超过±3℃时重新标定；SSR安装散热片，环境温度控制在＜40℃。</w:t>
      </w:r>
    </w:p>
    <w:p w14:paraId="3607A492">
      <w:r>
        <w:t>温度偏差大（区域温差＞5℃）常见于浇注罐加热系统，成因有：①加热板局部损坏，某组加热管烧断（如36kW加热板中有1组6kW损坏），导致局部温度偏低；②气流循环不良，热风循环风机转速下降（低于1.2m/s），热交换不充分；③温度传感器位置偏差，传感器靠近加热板，测量值高于实际温度。处理对策：用红外测温仪检测加热板表面温度，损坏区域更换加热管（500W/220V）；检查风机皮带张紧度，松弛时调整皮带轮间距，或更换电机轴承（噪音异常时）；重新布置温度传感器，远离加热板≥200mm，插入深度≥100mm。日常巡检应记录各区域温度曲线，发现偏差趋势及时调整。</w:t>
      </w:r>
    </w:p>
    <w:p w14:paraId="72A11817">
      <w:r>
        <w:t>传感器故障表现为温度显示跳变或无显示，成因包括：①接线端子松动，振动导致传感器导线与端子接触不良；②传感器老化，PT100电阻丝氧化，阻值漂移（0℃时阻值偏离100Ω±0.1Ω）；③干扰信号，传感器线缆与动力电缆并行敷设，引入电磁干扰。处理方法：紧固端子排螺丝（扭矩0.5N·m），采用冷压端子连接；用万用表测量传感器阻值，超差时更换（推荐A级精度PT100）；将传感器线缆穿金属管并单端接地，与动力电缆间距≥300mm。建议每半年对传感器进行校准，使用标准恒温槽（精度±0.1℃），偏差超过±0.5℃时报废。</w:t>
      </w:r>
    </w:p>
    <w:p w14:paraId="7BFBEAC7">
      <w:pPr>
        <w:pStyle w:val="3"/>
      </w:pPr>
      <w:r>
        <w:t>七、维护保养规范</w:t>
      </w:r>
    </w:p>
    <w:p w14:paraId="5B5EF003">
      <w:pPr>
        <w:pStyle w:val="4"/>
      </w:pPr>
      <w:r>
        <w:t>7.1 日常点检项目与标准</w:t>
      </w:r>
    </w:p>
    <w:p w14:paraId="72350B1D">
      <w:r>
        <w:t>日常点检每日进行2次（班前、班后），主要检查设备关键部位的状态与参数，确保符合运行要求。真空系统点检：检查真空泵油位（油窗1/2-2/3处），油色透明无杂质；真空表指示正常（停机时为大气压，运行时达到设定值）；真空泵运行声音均匀，无异常杂音（声压级≤75dB）；真空阀门开关灵活，无卡滞。标准：油位低于1/2时添加同型号真空泵油；真空度偏差超过±10Pa时进行校准；泵体温度≤70℃，轴承温度≤65℃。加热系统点检：混料罐、浇注罐温度显示正常（与设定值偏差±2℃）；加热指示灯按温控逻辑亮灭；加热区表面无过热（≤50℃）。标准：温度超差时检查加热管与传感器；发现加热指示灯常亮或不亮，排查固态继电器。机械系统点检：搅拌电机运行平稳，振动≤4.5mm/s；搅拌轴密封无泄漏（无树脂渗出）；气动阀门动作灵活，无漏气声。标准：电机轴承温升≤40K；密封渗漏时紧固压盖或更换机械密封。电气系统点检：控制柜指示灯正常（电源灯亮、故障灯灭）；触摸屏显示清晰，无报警信息；电缆接头无过热（温升≤40K）。标准：发现指示灯异常检查对应回路；触摸屏无响应时重启或检查通讯线。安全系统点检：急停按钮按下后设备立即停机，复位后正常启动；罐门安全联锁有效（开门时加热停止）；消防器材在位且压力正常。标准：急停按钮复位后功能正常；联锁失效时禁止开机。</w:t>
      </w:r>
    </w:p>
    <w:p w14:paraId="7D5659CB">
      <w:pPr>
        <w:pStyle w:val="4"/>
      </w:pPr>
      <w:r>
        <w:t>7.2 定期维护保养</w:t>
      </w:r>
    </w:p>
    <w:p w14:paraId="364E33A4">
      <w:r>
        <w:t>定期维护保养按周期分为月度、季度与年度维护，具体内容如下。月度维护：①真空系统：清洗真空过滤器（用丙酮冲洗滤芯），检查密封圈压缩量（补充硅脂）；②加热系统：校准温度传感器（用标准温度计比对），紧固加热管接线端子；③机械系统：润滑搅拌轴轴承（加注锂基润滑脂，型号ZL-3，用量10ml），检查搅拌桨与罐壁间隙（20-30mm）；④电气系统：清洁控制柜灰尘（用压缩空气，压力0.3MPa），检查PLC电池电压（≥3V）。季度维护：①真空系统：更换真空泵油（型号N68，用量按油窗刻度），清洗泵体滤网；检查罗茨泵齿轮箱油位，不足时添加N320齿轮油；②混料系统：拆卸清洗静态混合器（用二甲苯浸泡30min），检查叶片磨损（厚度减少≤0.5mm）；③浇注系统：检查机械臂导轨润滑（加注导轨油，型号ISO VG32），校准定位精度（±0.1mm）；④控制系统：备份PLC程序（存入U盘），测试安全联锁功能（急停、超温保护等）。年度维护：①真空浇注罐：进行水压试验（0.6MPa保压30min，无泄漏），罐内壁喷砂除锈后涂刷环氧树脂（干膜厚度80μm）；②加热系统：更换全部加热管（使用寿命8000小时），测试绝缘电阻（≥100MΩ）；③电气系统：更换老化电缆（温升＞40K的电缆），升级PLC固件至最新版本；④性能验证：进行空载热循环试验（常温→85℃→常温，3次循环），测试温度均匀性±2℃；浇注标准试块，检测介损≤0.5%、抗弯强度≥80MPa。</w:t>
      </w:r>
    </w:p>
    <w:p w14:paraId="04A5544E">
      <w:pPr>
        <w:pStyle w:val="4"/>
      </w:pPr>
      <w:r>
        <w:t>7.3 关键部件更换周期与方法</w:t>
      </w:r>
    </w:p>
    <w:p w14:paraId="617B66AB">
      <w:r>
        <w:t>关键部件更换周期根据使用寿命与磨损情况确定，确保设备性能稳定。易损件更换：①密封圈：罐门密封圈每6个月更换（氟橡胶材质），真空阀门密封圈每3个月更换（丁腈橡胶）；更换方法：清洁密封槽，涂抹真空硅脂，均匀压缩至规定尺寸（压缩量3-5mm）。②过滤器滤芯：预处理单元1μm滤芯每1个月更换，真空过滤器滤芯每3个月更换；更换时注意方向（滤芯上标注“进”“出”），紧固法兰时对角均匀用力。③加热管：混料罐加热管每2年更换（12kW/220V），浇注罐加热板每3年更换（500W/块）；更换前断电验电，接线时区分相线与零线，绝缘电阻测试≥50MΩ。④传感器：PT100温度传感器每2年校准，超差时更换；真空计每1年校准，偏差＞5%时更换。⑤润滑部件：搅拌轴轴承每3年更换（型号6312），减速机齿轮油每1年更换（N320极压齿轮油，用量按油标）；更换轴承时加热内圈（温度80℃），避免硬敲。更换后验证：部件更换完成后，进行单机试运行（如真空泵空载运行30min，检查真空度），系统联调（全流程模拟运行），确保参数达标（如真空度≤50Pa，温度±2℃）。</w:t>
      </w:r>
    </w:p>
    <w:p w14:paraId="7030BD2A">
      <w:pPr>
        <w:pStyle w:val="4"/>
      </w:pPr>
      <w:r>
        <w:t>7.4 设备性能验证与校准</w:t>
      </w:r>
    </w:p>
    <w:p w14:paraId="277A3BEC">
      <w:r>
        <w:t>设备性能验证每年进行一次，确保满足工艺要求，主要项目与方法如下。真空度验证：采用标准真空计（精度±1%）比对法，在空载状态下从大气压抽至≤50Pa，记录设备真空计与标准真空计读数，偏差应≤±5Pa；保压测试：抽至50Pa后关闭真空泵，30min内压降≤50Pa·L/S。温度均匀性验证：在浇注罐内放置9个温度传感器（上中下三层，每层3点），升温至85℃保温2h，各点温度偏差应≤±2℃；控温精度验证：设定45℃、80℃、120℃三个点，实测值与设定值偏差≤±2℃。计量精度验证：电子秤校准用10kg、50kg标准砝码，误差应≤±0.1%FS；配比精度验证：按100:30比例混合A/B料，实际配比偏差≤±1%。机械性能验证：机械臂定位精度用激光干涉仪测试，X/Y/Z轴偏差≤±0.1mm；搅拌转速用转速计测量，设定值与实际值偏差≤±2r/min。验证不合格项处理：真空度偏差超限时清洗真空泵或更换密封圈；温度均匀性差时调整加热板功率分布或更换风机；计量精度超差时重新标定传感器。验证结果应形成报告，存入设备档案，作为维护依据。</w:t>
      </w:r>
    </w:p>
    <w:p w14:paraId="52D429DE">
      <w:pPr>
        <w:pStyle w:val="3"/>
      </w:pPr>
      <w:r>
        <w:t>八、安全操作与注意事项</w:t>
      </w:r>
    </w:p>
    <w:p w14:paraId="74718E75">
      <w:pPr>
        <w:pStyle w:val="4"/>
      </w:pPr>
      <w:r>
        <w:t>8.1 操作前安全检查</w:t>
      </w:r>
    </w:p>
    <w:p w14:paraId="18764065">
      <w:r>
        <w:t>操作前安全检查是确保生产安全的第一道防线，必须逐项确认以下内容。人员资质检查：操作人员需经过培训并考核合格，熟悉设备操作规程；特种作业人员（如电工）需持有效证件上岗。设备状态检查：①机械部分：模具安装牢固（螺栓扭矩50N·m），台车轨道无障碍物，机械臂在原点位置；②电气部分：控制柜电源指示灯亮，急停按钮复位，电缆无破损；③工艺系统：物料充足（树脂≥500L，固化剂≥150L），溶剂（丙酮）存量≥50L，消防器材（灭火器、消防栓）完好。安全条件检查：①环境：车间通风良好（换气次数≥10次/h），可燃气体浓度＜LEL的25%（探测器显示）；②联锁：罐门安全联锁有效（开门时加热断电），急停按钮功能正常（按下后全机断电）；③防护：安全围栏完好，警示标识清晰（高温、高压、真空危险）。检查确认：逐项填写《操作前安全检查表》，由班组长签字确认，发现问题必须整改合格后方可开机，严禁带病运行。</w:t>
      </w:r>
    </w:p>
    <w:p w14:paraId="788CE4CD">
      <w:pPr>
        <w:pStyle w:val="4"/>
      </w:pPr>
      <w:r>
        <w:t>8.2 安全操作规程</w:t>
      </w:r>
    </w:p>
    <w:p w14:paraId="777AD3F9">
      <w:r>
        <w:t>安全操作规程规范操作行为，防止误操作导致事故，主要步骤如下。开机操作：①接通总电源，开启控制柜UPS，待PLC启动完成（约30s）；②在触摸屏选择工艺配方，检查参数设置（真空度、温度、时间等）；③启动辅助系统（冷却循环、压缩空气），确认压力0.5-0.7MPa，流量正常；④启动预处理单元，树脂脱气后进入混料罐；⑤按配比加入固化剂，启动搅拌（转速60r/min），抽真空脱气；⑥模具预热至设定温度，台车送入浇注罐，关闭罐门；⑦启动浇注程序，自动完成抽真空、浇注、固化流程。运行中监控：①实时观察触摸屏参数（真空度、温度、压力），偏差超限时及时调整；②监听设备运行声音，发现异响立即停机检查；③定时巡检关键部位（真空泵温度、加热区表面温度），记录《运行记录表》。关机操作：①固化完成后，关闭加热系统，启动冷却风机；②罐内温度降至60℃以下，解除真空，打开罐门；③移出模具，清理浇注头及管路（压缩空气吹扫+溶剂清洗）；④依次关闭搅拌、真空泵、辅助系统，最后切断总电源。禁止事项：严禁未关罐门启动真空；严禁超温（＞设定值+10℃）运行；严禁在罐内有人时启动任何动作；严禁用溶剂清洗带电部件；严禁随意修改安全联锁参数。</w:t>
      </w:r>
    </w:p>
    <w:p w14:paraId="367678DB">
      <w:pPr>
        <w:pStyle w:val="4"/>
      </w:pPr>
      <w:r>
        <w:t>8.3 危险区域与防护措施</w:t>
      </w:r>
    </w:p>
    <w:p w14:paraId="4D180974">
      <w:r>
        <w:t>危险区域包括高温区、高压区、真空区及机械运动区，需采取针对性防护措施。高温区（加热系统、固化罐）：表面温度可达120℃，设置耐高温隔热层（表面温度≤50℃），周边划定1m警戒区，张贴“高温危险，请勿触摸”标识；操作人员接触时佩戴耐高温手套（耐温≥200℃）。高压区（压缩空气管路、液压系统）：工作压力0.3-0.7MPa，管路定期进行耐压试验（1.5倍工作压力，保压30min）；阀门、接头处安装防护罩，防止意外破裂伤人；检修时必须先泄压（压力降至0MPa）并挂牌警示。真空区（浇注罐、脱气罐）：罐内可形成≤50Pa负压，罐门必须设置联锁装置，开门前确认罐内压力≤101kPa；严禁在真空状态下打开人孔或法兰；进入罐内检修时，必须办理《受限空间作业许可证》，通风置换合格并有人监护。机械运动区（搅拌轴、机械臂、台车）：运动部件设置安全围栏（高度1.2m），围栏门与设备联锁；搅拌轴旋转部位安装防护罩（网孔≤10mm）；机械臂工作半径内严禁站人，设置激光扫描仪（检测到人员自动停机）。化学品安全（树脂、固化剂、溶剂）：储存于专用库房（通风、防火、防爆），远离火源；操作人员佩戴防毒口罩（P100级别）、护目镜及耐酸碱手套；皮肤接触时立即用肥皂水清洗，误入眼睛时用清水冲洗15min并就医。</w:t>
      </w:r>
    </w:p>
    <w:p w14:paraId="031B250A">
      <w:pPr>
        <w:pStyle w:val="4"/>
      </w:pPr>
      <w:r>
        <w:t>8.4 应急处理预案</w:t>
      </w:r>
    </w:p>
    <w:p w14:paraId="32FE35A2">
      <w:r>
        <w:t>应急处理预案针对火灾、触电、机械伤害及化学品泄漏等突发事件，明确处理步骤与责任分工。火灾应急：①立即按下最近的急停按钮，切断总电源；②若为电气火灾，使用二氧化碳灭火器（喷射距离1-2m），严禁用水；若为溶剂火灾，使用干粉灭火器或消防沙；③火势失控时，拨打119报警，组织人员疏散至上风向安全区域；④火灾扑灭后，保护现场，调查原因。触电应急：①立即拉闸或用干燥木棒使伤者脱离电源，严禁徒手接触；②检查伤者意识与呼吸，无呼吸时立即进行心肺复苏；③拨打120急救，同时向车间主管报告；④查明触电原因，修复漏电部位后方可恢复供电。机械伤害应急：①停止相关设备运行，切断电源；②若为肢体卷入，切勿强行拉出，立即拆卸设备；③对伤口进行初步处理（止血、包扎），骨折时固定伤肢；④送医院救治，报告安全管理部门。化学品泄漏应急：①树脂/固化剂泄漏：撒上吸附剂（硅藻土），用工具收集至专用容器，用肥皂水清洗地面；②溶剂泄漏：打开通风，严禁使用明火，用防爆工具清理，废溶剂交专业单位处理；③泄漏导致人员中毒：立即将伤者转移至通风处，呼吸困难时给予氧气，送医院救治。应急组织：成立应急小组，组长为车间主任，成员包括安全员、设备员及各班组长；每月进行一次应急演练，每年修订一次预案。</w:t>
      </w:r>
    </w:p>
    <w:p w14:paraId="5ACFB9E2">
      <w:pPr>
        <w:pStyle w:val="3"/>
      </w:pPr>
      <w:r>
        <w:t>九、附录</w:t>
      </w:r>
    </w:p>
    <w:p w14:paraId="166249CF">
      <w:pPr>
        <w:pStyle w:val="4"/>
      </w:pPr>
      <w:r>
        <w:t>9.1 设备主要部件明细与技术参数表</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3768BC03">
        <w:tblPrEx>
          <w:tblCellMar>
            <w:top w:w="0" w:type="dxa"/>
            <w:left w:w="0" w:type="dxa"/>
            <w:bottom w:w="0" w:type="dxa"/>
            <w:right w:w="0" w:type="dxa"/>
          </w:tblCellMar>
        </w:tblPrEx>
        <w:tc>
          <w:tcPr>
            <w:tcW w:w="0" w:type="auto"/>
            <w:vAlign w:val="center"/>
          </w:tcPr>
          <w:p w14:paraId="4E1D141A">
            <w:pPr>
              <w:jc w:val="center"/>
              <w:rPr>
                <w:b/>
              </w:rPr>
            </w:pPr>
            <w:r>
              <w:rPr>
                <w:b/>
              </w:rPr>
              <w:t>序号</w:t>
            </w:r>
          </w:p>
        </w:tc>
        <w:tc>
          <w:tcPr>
            <w:tcW w:w="0" w:type="auto"/>
            <w:vAlign w:val="center"/>
          </w:tcPr>
          <w:p w14:paraId="66F1DAEB">
            <w:pPr>
              <w:jc w:val="center"/>
              <w:rPr>
                <w:b/>
              </w:rPr>
            </w:pPr>
            <w:r>
              <w:rPr>
                <w:b/>
              </w:rPr>
              <w:t>部件名称</w:t>
            </w:r>
          </w:p>
        </w:tc>
        <w:tc>
          <w:tcPr>
            <w:tcW w:w="0" w:type="auto"/>
            <w:vAlign w:val="center"/>
          </w:tcPr>
          <w:p w14:paraId="2C2265A4">
            <w:pPr>
              <w:jc w:val="center"/>
              <w:rPr>
                <w:b/>
              </w:rPr>
            </w:pPr>
            <w:r>
              <w:rPr>
                <w:b/>
              </w:rPr>
              <w:t>型号规格</w:t>
            </w:r>
          </w:p>
        </w:tc>
        <w:tc>
          <w:tcPr>
            <w:tcW w:w="0" w:type="auto"/>
            <w:vAlign w:val="center"/>
          </w:tcPr>
          <w:p w14:paraId="7D956C00">
            <w:pPr>
              <w:jc w:val="center"/>
              <w:rPr>
                <w:b/>
              </w:rPr>
            </w:pPr>
            <w:r>
              <w:rPr>
                <w:b/>
              </w:rPr>
              <w:t>主要参数</w:t>
            </w:r>
          </w:p>
        </w:tc>
        <w:tc>
          <w:tcPr>
            <w:tcW w:w="0" w:type="auto"/>
            <w:vAlign w:val="center"/>
          </w:tcPr>
          <w:p w14:paraId="3B5A531A">
            <w:pPr>
              <w:jc w:val="center"/>
              <w:rPr>
                <w:b/>
              </w:rPr>
            </w:pPr>
            <w:r>
              <w:rPr>
                <w:b/>
              </w:rPr>
              <w:t>数量</w:t>
            </w:r>
          </w:p>
        </w:tc>
        <w:tc>
          <w:tcPr>
            <w:tcW w:w="0" w:type="auto"/>
            <w:vAlign w:val="center"/>
          </w:tcPr>
          <w:p w14:paraId="7700E78B">
            <w:pPr>
              <w:jc w:val="center"/>
              <w:rPr>
                <w:b/>
              </w:rPr>
            </w:pPr>
            <w:r>
              <w:rPr>
                <w:b/>
              </w:rPr>
              <w:t>制造商</w:t>
            </w:r>
          </w:p>
        </w:tc>
      </w:tr>
      <w:tr w14:paraId="673FC24A">
        <w:tblPrEx>
          <w:tblCellMar>
            <w:top w:w="0" w:type="dxa"/>
            <w:left w:w="0" w:type="dxa"/>
            <w:bottom w:w="0" w:type="dxa"/>
            <w:right w:w="0" w:type="dxa"/>
          </w:tblCellMar>
        </w:tblPrEx>
        <w:tc>
          <w:tcPr>
            <w:tcW w:w="0" w:type="auto"/>
            <w:vAlign w:val="center"/>
          </w:tcPr>
          <w:p w14:paraId="6E6DA945">
            <w:r>
              <w:t>1</w:t>
            </w:r>
          </w:p>
        </w:tc>
        <w:tc>
          <w:tcPr>
            <w:tcW w:w="0" w:type="auto"/>
            <w:vAlign w:val="center"/>
          </w:tcPr>
          <w:p w14:paraId="0E5E7479">
            <w:r>
              <w:t>真空泵组</w:t>
            </w:r>
          </w:p>
        </w:tc>
        <w:tc>
          <w:tcPr>
            <w:tcW w:w="0" w:type="auto"/>
            <w:vAlign w:val="center"/>
          </w:tcPr>
          <w:p w14:paraId="751A044B">
            <w:r>
              <w:t>ZJY300/2X-70</w:t>
            </w:r>
          </w:p>
        </w:tc>
        <w:tc>
          <w:tcPr>
            <w:tcW w:w="0" w:type="auto"/>
            <w:vAlign w:val="center"/>
          </w:tcPr>
          <w:p w14:paraId="02DAF184">
            <w:r>
              <w:t>极限真空度≤5Pa，抽速300L/S</w:t>
            </w:r>
          </w:p>
        </w:tc>
        <w:tc>
          <w:tcPr>
            <w:tcW w:w="0" w:type="auto"/>
            <w:vAlign w:val="center"/>
          </w:tcPr>
          <w:p w14:paraId="41E3FF84">
            <w:r>
              <w:t>1套</w:t>
            </w:r>
          </w:p>
        </w:tc>
        <w:tc>
          <w:tcPr>
            <w:tcW w:w="0" w:type="auto"/>
            <w:vAlign w:val="center"/>
          </w:tcPr>
          <w:p w14:paraId="3011FB8A">
            <w:r>
              <w:t>沈阳真空泵厂</w:t>
            </w:r>
          </w:p>
        </w:tc>
      </w:tr>
      <w:tr w14:paraId="4F7F0286">
        <w:tblPrEx>
          <w:tblCellMar>
            <w:top w:w="0" w:type="dxa"/>
            <w:left w:w="0" w:type="dxa"/>
            <w:bottom w:w="0" w:type="dxa"/>
            <w:right w:w="0" w:type="dxa"/>
          </w:tblCellMar>
        </w:tblPrEx>
        <w:tc>
          <w:tcPr>
            <w:tcW w:w="0" w:type="auto"/>
            <w:vAlign w:val="center"/>
          </w:tcPr>
          <w:p w14:paraId="7EE51AA5">
            <w:r>
              <w:t>2</w:t>
            </w:r>
          </w:p>
        </w:tc>
        <w:tc>
          <w:tcPr>
            <w:tcW w:w="0" w:type="auto"/>
            <w:vAlign w:val="center"/>
          </w:tcPr>
          <w:p w14:paraId="692007C7">
            <w:r>
              <w:t>真空浇注罐</w:t>
            </w:r>
          </w:p>
        </w:tc>
        <w:tc>
          <w:tcPr>
            <w:tcW w:w="0" w:type="auto"/>
            <w:vAlign w:val="center"/>
          </w:tcPr>
          <w:p w14:paraId="002C52F1">
            <w:r>
              <w:t>Φ2400×3000mm</w:t>
            </w:r>
          </w:p>
        </w:tc>
        <w:tc>
          <w:tcPr>
            <w:tcW w:w="0" w:type="auto"/>
            <w:vAlign w:val="center"/>
          </w:tcPr>
          <w:p w14:paraId="4DF0E426">
            <w:r>
              <w:t>容积14m³，加热功率36kW</w:t>
            </w:r>
          </w:p>
        </w:tc>
        <w:tc>
          <w:tcPr>
            <w:tcW w:w="0" w:type="auto"/>
            <w:vAlign w:val="center"/>
          </w:tcPr>
          <w:p w14:paraId="5C5D1989">
            <w:r>
              <w:t>1台</w:t>
            </w:r>
          </w:p>
        </w:tc>
        <w:tc>
          <w:tcPr>
            <w:tcW w:w="0" w:type="auto"/>
            <w:vAlign w:val="center"/>
          </w:tcPr>
          <w:p w14:paraId="68AAF728">
            <w:r>
              <w:t>无锡恒信达</w:t>
            </w:r>
          </w:p>
        </w:tc>
      </w:tr>
      <w:tr w14:paraId="6BEC57E9">
        <w:tc>
          <w:tcPr>
            <w:tcW w:w="0" w:type="auto"/>
            <w:vAlign w:val="center"/>
          </w:tcPr>
          <w:p w14:paraId="34626CDE">
            <w:r>
              <w:t>3</w:t>
            </w:r>
          </w:p>
        </w:tc>
        <w:tc>
          <w:tcPr>
            <w:tcW w:w="0" w:type="auto"/>
            <w:vAlign w:val="center"/>
          </w:tcPr>
          <w:p w14:paraId="32762F79">
            <w:r>
              <w:t>混料罐</w:t>
            </w:r>
          </w:p>
        </w:tc>
        <w:tc>
          <w:tcPr>
            <w:tcW w:w="0" w:type="auto"/>
            <w:vAlign w:val="center"/>
          </w:tcPr>
          <w:p w14:paraId="62DC736E">
            <w:r>
              <w:t>500L卧式</w:t>
            </w:r>
          </w:p>
        </w:tc>
        <w:tc>
          <w:tcPr>
            <w:tcW w:w="0" w:type="auto"/>
            <w:vAlign w:val="center"/>
          </w:tcPr>
          <w:p w14:paraId="5223F58D">
            <w:r>
              <w:t>搅拌转速50-80r/min，加热功率12kW</w:t>
            </w:r>
          </w:p>
        </w:tc>
        <w:tc>
          <w:tcPr>
            <w:tcW w:w="0" w:type="auto"/>
            <w:vAlign w:val="center"/>
          </w:tcPr>
          <w:p w14:paraId="551BABF1">
            <w:r>
              <w:t>1台</w:t>
            </w:r>
          </w:p>
        </w:tc>
        <w:tc>
          <w:tcPr>
            <w:tcW w:w="0" w:type="auto"/>
            <w:vAlign w:val="center"/>
          </w:tcPr>
          <w:p w14:paraId="06E24FFC">
            <w:r>
              <w:t>上海申江</w:t>
            </w:r>
          </w:p>
        </w:tc>
      </w:tr>
      <w:tr w14:paraId="0B47405F">
        <w:tblPrEx>
          <w:tblCellMar>
            <w:top w:w="0" w:type="dxa"/>
            <w:left w:w="0" w:type="dxa"/>
            <w:bottom w:w="0" w:type="dxa"/>
            <w:right w:w="0" w:type="dxa"/>
          </w:tblCellMar>
        </w:tblPrEx>
        <w:tc>
          <w:tcPr>
            <w:tcW w:w="0" w:type="auto"/>
            <w:vAlign w:val="center"/>
          </w:tcPr>
          <w:p w14:paraId="111BD029">
            <w:r>
              <w:t>4</w:t>
            </w:r>
          </w:p>
        </w:tc>
        <w:tc>
          <w:tcPr>
            <w:tcW w:w="0" w:type="auto"/>
            <w:vAlign w:val="center"/>
          </w:tcPr>
          <w:p w14:paraId="6DA2657F">
            <w:r>
              <w:t>PLC控制器</w:t>
            </w:r>
          </w:p>
        </w:tc>
        <w:tc>
          <w:tcPr>
            <w:tcW w:w="0" w:type="auto"/>
            <w:vAlign w:val="center"/>
          </w:tcPr>
          <w:p w14:paraId="16CE54CA">
            <w:r>
              <w:t>西门子S7-1214C</w:t>
            </w:r>
          </w:p>
        </w:tc>
        <w:tc>
          <w:tcPr>
            <w:tcW w:w="0" w:type="auto"/>
            <w:vAlign w:val="center"/>
          </w:tcPr>
          <w:p w14:paraId="42B1630A">
            <w:r>
              <w:t>14DI/10DO，支持PROFINET</w:t>
            </w:r>
          </w:p>
        </w:tc>
        <w:tc>
          <w:tcPr>
            <w:tcW w:w="0" w:type="auto"/>
            <w:vAlign w:val="center"/>
          </w:tcPr>
          <w:p w14:paraId="13468C8C">
            <w:r>
              <w:t>1套</w:t>
            </w:r>
          </w:p>
        </w:tc>
        <w:tc>
          <w:tcPr>
            <w:tcW w:w="0" w:type="auto"/>
            <w:vAlign w:val="center"/>
          </w:tcPr>
          <w:p w14:paraId="3257FA39">
            <w:r>
              <w:t>西门子</w:t>
            </w:r>
          </w:p>
        </w:tc>
      </w:tr>
      <w:tr w14:paraId="5614A207">
        <w:tblPrEx>
          <w:tblCellMar>
            <w:top w:w="0" w:type="dxa"/>
            <w:left w:w="0" w:type="dxa"/>
            <w:bottom w:w="0" w:type="dxa"/>
            <w:right w:w="0" w:type="dxa"/>
          </w:tblCellMar>
        </w:tblPrEx>
        <w:tc>
          <w:tcPr>
            <w:tcW w:w="0" w:type="auto"/>
            <w:vAlign w:val="center"/>
          </w:tcPr>
          <w:p w14:paraId="788B0964">
            <w:r>
              <w:t>5</w:t>
            </w:r>
          </w:p>
        </w:tc>
        <w:tc>
          <w:tcPr>
            <w:tcW w:w="0" w:type="auto"/>
            <w:vAlign w:val="center"/>
          </w:tcPr>
          <w:p w14:paraId="23FA4787">
            <w:r>
              <w:t>触摸屏</w:t>
            </w:r>
          </w:p>
        </w:tc>
        <w:tc>
          <w:tcPr>
            <w:tcW w:w="0" w:type="auto"/>
            <w:vAlign w:val="center"/>
          </w:tcPr>
          <w:p w14:paraId="15C07C16">
            <w:r>
              <w:t>昆仑通态TPC1561Hi</w:t>
            </w:r>
          </w:p>
        </w:tc>
        <w:tc>
          <w:tcPr>
            <w:tcW w:w="0" w:type="auto"/>
            <w:vAlign w:val="center"/>
          </w:tcPr>
          <w:p w14:paraId="66C9255C">
            <w:r>
              <w:t>15英寸，分辨率1024×768</w:t>
            </w:r>
          </w:p>
        </w:tc>
        <w:tc>
          <w:tcPr>
            <w:tcW w:w="0" w:type="auto"/>
            <w:vAlign w:val="center"/>
          </w:tcPr>
          <w:p w14:paraId="175D8473">
            <w:r>
              <w:t>1台</w:t>
            </w:r>
          </w:p>
        </w:tc>
        <w:tc>
          <w:tcPr>
            <w:tcW w:w="0" w:type="auto"/>
            <w:vAlign w:val="center"/>
          </w:tcPr>
          <w:p w14:paraId="52AF4CC3">
            <w:r>
              <w:t>昆仑通态</w:t>
            </w:r>
          </w:p>
        </w:tc>
      </w:tr>
      <w:tr w14:paraId="5B8C4D8F">
        <w:tblPrEx>
          <w:tblCellMar>
            <w:top w:w="0" w:type="dxa"/>
            <w:left w:w="0" w:type="dxa"/>
            <w:bottom w:w="0" w:type="dxa"/>
            <w:right w:w="0" w:type="dxa"/>
          </w:tblCellMar>
        </w:tblPrEx>
        <w:tc>
          <w:tcPr>
            <w:tcW w:w="0" w:type="auto"/>
            <w:vAlign w:val="center"/>
          </w:tcPr>
          <w:p w14:paraId="00532F74">
            <w:r>
              <w:t>6</w:t>
            </w:r>
          </w:p>
        </w:tc>
        <w:tc>
          <w:tcPr>
            <w:tcW w:w="0" w:type="auto"/>
            <w:vAlign w:val="center"/>
          </w:tcPr>
          <w:p w14:paraId="450BAEA7">
            <w:r>
              <w:t>温度传感器</w:t>
            </w:r>
          </w:p>
        </w:tc>
        <w:tc>
          <w:tcPr>
            <w:tcW w:w="0" w:type="auto"/>
            <w:vAlign w:val="center"/>
          </w:tcPr>
          <w:p w14:paraId="197FE1D8">
            <w:r>
              <w:t>PT100 A级</w:t>
            </w:r>
          </w:p>
        </w:tc>
        <w:tc>
          <w:tcPr>
            <w:tcW w:w="0" w:type="auto"/>
            <w:vAlign w:val="center"/>
          </w:tcPr>
          <w:p w14:paraId="23AC2BBE">
            <w:r>
              <w:t>测量范围-50-200℃，精度±0.15℃</w:t>
            </w:r>
          </w:p>
        </w:tc>
        <w:tc>
          <w:tcPr>
            <w:tcW w:w="0" w:type="auto"/>
            <w:vAlign w:val="center"/>
          </w:tcPr>
          <w:p w14:paraId="4F1C14FC">
            <w:r>
              <w:t>12支</w:t>
            </w:r>
          </w:p>
        </w:tc>
        <w:tc>
          <w:tcPr>
            <w:tcW w:w="0" w:type="auto"/>
            <w:vAlign w:val="center"/>
          </w:tcPr>
          <w:p w14:paraId="46AE0A0D">
            <w:r>
              <w:t>德国贺利氏</w:t>
            </w:r>
          </w:p>
        </w:tc>
      </w:tr>
      <w:tr w14:paraId="34B578EF">
        <w:tc>
          <w:tcPr>
            <w:tcW w:w="0" w:type="auto"/>
            <w:vAlign w:val="center"/>
          </w:tcPr>
          <w:p w14:paraId="49539AE8">
            <w:r>
              <w:t>7</w:t>
            </w:r>
          </w:p>
        </w:tc>
        <w:tc>
          <w:tcPr>
            <w:tcW w:w="0" w:type="auto"/>
            <w:vAlign w:val="center"/>
          </w:tcPr>
          <w:p w14:paraId="52C05D5A">
            <w:r>
              <w:t>真空计</w:t>
            </w:r>
          </w:p>
        </w:tc>
        <w:tc>
          <w:tcPr>
            <w:tcW w:w="0" w:type="auto"/>
            <w:vAlign w:val="center"/>
          </w:tcPr>
          <w:p w14:paraId="69CC55CC">
            <w:r>
              <w:t>莱宝PTR90</w:t>
            </w:r>
          </w:p>
        </w:tc>
        <w:tc>
          <w:tcPr>
            <w:tcW w:w="0" w:type="auto"/>
            <w:vAlign w:val="center"/>
          </w:tcPr>
          <w:p w14:paraId="0E62D539">
            <w:r>
              <w:t>测量范围10⁻³-10³Pa，4-20mA输出</w:t>
            </w:r>
          </w:p>
        </w:tc>
        <w:tc>
          <w:tcPr>
            <w:tcW w:w="0" w:type="auto"/>
            <w:vAlign w:val="center"/>
          </w:tcPr>
          <w:p w14:paraId="1A2DBAD0">
            <w:r>
              <w:t>2台</w:t>
            </w:r>
          </w:p>
        </w:tc>
        <w:tc>
          <w:tcPr>
            <w:tcW w:w="0" w:type="auto"/>
            <w:vAlign w:val="center"/>
          </w:tcPr>
          <w:p w14:paraId="01444A8B">
            <w:r>
              <w:t>德国莱宝</w:t>
            </w:r>
          </w:p>
        </w:tc>
      </w:tr>
      <w:tr w14:paraId="2B093773">
        <w:tblPrEx>
          <w:tblCellMar>
            <w:top w:w="0" w:type="dxa"/>
            <w:left w:w="0" w:type="dxa"/>
            <w:bottom w:w="0" w:type="dxa"/>
            <w:right w:w="0" w:type="dxa"/>
          </w:tblCellMar>
        </w:tblPrEx>
        <w:tc>
          <w:tcPr>
            <w:tcW w:w="0" w:type="auto"/>
            <w:vAlign w:val="center"/>
          </w:tcPr>
          <w:p w14:paraId="39480FC9">
            <w:r>
              <w:t>8</w:t>
            </w:r>
          </w:p>
        </w:tc>
        <w:tc>
          <w:tcPr>
            <w:tcW w:w="0" w:type="auto"/>
            <w:vAlign w:val="center"/>
          </w:tcPr>
          <w:p w14:paraId="29A2F84C">
            <w:r>
              <w:t>动态混合器</w:t>
            </w:r>
          </w:p>
        </w:tc>
        <w:tc>
          <w:tcPr>
            <w:tcW w:w="0" w:type="auto"/>
            <w:vAlign w:val="center"/>
          </w:tcPr>
          <w:p w14:paraId="2B52A610">
            <w:r>
              <w:t>SX-300</w:t>
            </w:r>
          </w:p>
        </w:tc>
        <w:tc>
          <w:tcPr>
            <w:tcW w:w="0" w:type="auto"/>
            <w:vAlign w:val="center"/>
          </w:tcPr>
          <w:p w14:paraId="2BA90AFF">
            <w:r>
              <w:t>转速1500-2000rpm，材质316L</w:t>
            </w:r>
          </w:p>
        </w:tc>
        <w:tc>
          <w:tcPr>
            <w:tcW w:w="0" w:type="auto"/>
            <w:vAlign w:val="center"/>
          </w:tcPr>
          <w:p w14:paraId="6551521A">
            <w:r>
              <w:t>1台</w:t>
            </w:r>
          </w:p>
        </w:tc>
        <w:tc>
          <w:tcPr>
            <w:tcW w:w="0" w:type="auto"/>
            <w:vAlign w:val="center"/>
          </w:tcPr>
          <w:p w14:paraId="63C5EC68">
            <w:r>
              <w:t>江苏诚德</w:t>
            </w:r>
          </w:p>
        </w:tc>
      </w:tr>
      <w:tr w14:paraId="0A1434BE">
        <w:tblPrEx>
          <w:tblCellMar>
            <w:top w:w="0" w:type="dxa"/>
            <w:left w:w="0" w:type="dxa"/>
            <w:bottom w:w="0" w:type="dxa"/>
            <w:right w:w="0" w:type="dxa"/>
          </w:tblCellMar>
        </w:tblPrEx>
        <w:tc>
          <w:tcPr>
            <w:tcW w:w="0" w:type="auto"/>
            <w:vAlign w:val="center"/>
          </w:tcPr>
          <w:p w14:paraId="465AC4AB">
            <w:r>
              <w:t>9</w:t>
            </w:r>
          </w:p>
        </w:tc>
        <w:tc>
          <w:tcPr>
            <w:tcW w:w="0" w:type="auto"/>
            <w:vAlign w:val="center"/>
          </w:tcPr>
          <w:p w14:paraId="4282690E">
            <w:r>
              <w:t>机械臂</w:t>
            </w:r>
          </w:p>
        </w:tc>
        <w:tc>
          <w:tcPr>
            <w:tcW w:w="0" w:type="auto"/>
            <w:vAlign w:val="center"/>
          </w:tcPr>
          <w:p w14:paraId="634AB848">
            <w:r>
              <w:t>直角坐标式</w:t>
            </w:r>
          </w:p>
        </w:tc>
        <w:tc>
          <w:tcPr>
            <w:tcW w:w="0" w:type="auto"/>
            <w:vAlign w:val="center"/>
          </w:tcPr>
          <w:p w14:paraId="284A5E34">
            <w:r>
              <w:t>X/Y/Z行程3000/1500/1000mm</w:t>
            </w:r>
          </w:p>
        </w:tc>
        <w:tc>
          <w:tcPr>
            <w:tcW w:w="0" w:type="auto"/>
            <w:vAlign w:val="center"/>
          </w:tcPr>
          <w:p w14:paraId="0B3165F0">
            <w:r>
              <w:t>1套</w:t>
            </w:r>
          </w:p>
        </w:tc>
        <w:tc>
          <w:tcPr>
            <w:tcW w:w="0" w:type="auto"/>
            <w:vAlign w:val="center"/>
          </w:tcPr>
          <w:p w14:paraId="25AE591F">
            <w:r>
              <w:t>广州数控</w:t>
            </w:r>
          </w:p>
        </w:tc>
      </w:tr>
      <w:tr w14:paraId="037B13EB">
        <w:tblPrEx>
          <w:tblCellMar>
            <w:top w:w="0" w:type="dxa"/>
            <w:left w:w="0" w:type="dxa"/>
            <w:bottom w:w="0" w:type="dxa"/>
            <w:right w:w="0" w:type="dxa"/>
          </w:tblCellMar>
        </w:tblPrEx>
        <w:tc>
          <w:tcPr>
            <w:tcW w:w="0" w:type="auto"/>
            <w:vAlign w:val="center"/>
          </w:tcPr>
          <w:p w14:paraId="038769F0">
            <w:r>
              <w:t>10</w:t>
            </w:r>
          </w:p>
        </w:tc>
        <w:tc>
          <w:tcPr>
            <w:tcW w:w="0" w:type="auto"/>
            <w:vAlign w:val="center"/>
          </w:tcPr>
          <w:p w14:paraId="72DFC796">
            <w:r>
              <w:t>加热板</w:t>
            </w:r>
          </w:p>
        </w:tc>
        <w:tc>
          <w:tcPr>
            <w:tcW w:w="0" w:type="auto"/>
            <w:vAlign w:val="center"/>
          </w:tcPr>
          <w:p w14:paraId="68E36CE5">
            <w:r>
              <w:t>500W/220V</w:t>
            </w:r>
          </w:p>
        </w:tc>
        <w:tc>
          <w:tcPr>
            <w:tcW w:w="0" w:type="auto"/>
            <w:vAlign w:val="center"/>
          </w:tcPr>
          <w:p w14:paraId="55B7F8CE">
            <w:r>
              <w:t>表面温度均匀性±2℃</w:t>
            </w:r>
          </w:p>
        </w:tc>
        <w:tc>
          <w:tcPr>
            <w:tcW w:w="0" w:type="auto"/>
            <w:vAlign w:val="center"/>
          </w:tcPr>
          <w:p w14:paraId="2959FF94">
            <w:r>
              <w:t>72块</w:t>
            </w:r>
          </w:p>
        </w:tc>
        <w:tc>
          <w:tcPr>
            <w:tcW w:w="0" w:type="auto"/>
            <w:vAlign w:val="center"/>
          </w:tcPr>
          <w:p w14:paraId="274CEBB9">
            <w:r>
              <w:t>无锡华能</w:t>
            </w:r>
          </w:p>
        </w:tc>
      </w:tr>
    </w:tbl>
    <w:p w14:paraId="64087C0D">
      <w:pPr>
        <w:pStyle w:val="4"/>
      </w:pPr>
      <w:r>
        <w:t>9.2 常用备件清单与采购指南</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1D8FCF22">
        <w:tblPrEx>
          <w:tblCellMar>
            <w:top w:w="0" w:type="dxa"/>
            <w:left w:w="0" w:type="dxa"/>
            <w:bottom w:w="0" w:type="dxa"/>
            <w:right w:w="0" w:type="dxa"/>
          </w:tblCellMar>
        </w:tblPrEx>
        <w:tc>
          <w:tcPr>
            <w:tcW w:w="0" w:type="auto"/>
            <w:vAlign w:val="center"/>
          </w:tcPr>
          <w:p w14:paraId="13F37538">
            <w:pPr>
              <w:jc w:val="center"/>
              <w:rPr>
                <w:b/>
              </w:rPr>
            </w:pPr>
            <w:r>
              <w:rPr>
                <w:b/>
              </w:rPr>
              <w:t>备件名称</w:t>
            </w:r>
          </w:p>
        </w:tc>
        <w:tc>
          <w:tcPr>
            <w:tcW w:w="0" w:type="auto"/>
            <w:vAlign w:val="center"/>
          </w:tcPr>
          <w:p w14:paraId="602F4DB4">
            <w:pPr>
              <w:jc w:val="center"/>
              <w:rPr>
                <w:b/>
              </w:rPr>
            </w:pPr>
            <w:r>
              <w:rPr>
                <w:b/>
              </w:rPr>
              <w:t>型号规格</w:t>
            </w:r>
          </w:p>
        </w:tc>
        <w:tc>
          <w:tcPr>
            <w:tcW w:w="0" w:type="auto"/>
            <w:vAlign w:val="center"/>
          </w:tcPr>
          <w:p w14:paraId="7748C9FB">
            <w:pPr>
              <w:jc w:val="center"/>
              <w:rPr>
                <w:b/>
              </w:rPr>
            </w:pPr>
            <w:r>
              <w:rPr>
                <w:b/>
              </w:rPr>
              <w:t>更换周期</w:t>
            </w:r>
          </w:p>
        </w:tc>
        <w:tc>
          <w:tcPr>
            <w:tcW w:w="0" w:type="auto"/>
            <w:vAlign w:val="center"/>
          </w:tcPr>
          <w:p w14:paraId="106E6E31">
            <w:pPr>
              <w:jc w:val="center"/>
              <w:rPr>
                <w:b/>
              </w:rPr>
            </w:pPr>
            <w:r>
              <w:rPr>
                <w:b/>
              </w:rPr>
              <w:t>推荐品牌</w:t>
            </w:r>
          </w:p>
        </w:tc>
        <w:tc>
          <w:tcPr>
            <w:tcW w:w="0" w:type="auto"/>
            <w:vAlign w:val="center"/>
          </w:tcPr>
          <w:p w14:paraId="34CC9881">
            <w:pPr>
              <w:jc w:val="center"/>
              <w:rPr>
                <w:b/>
              </w:rPr>
            </w:pPr>
            <w:r>
              <w:rPr>
                <w:b/>
              </w:rPr>
              <w:t>采购备注</w:t>
            </w:r>
          </w:p>
        </w:tc>
      </w:tr>
      <w:tr w14:paraId="6C34B75B">
        <w:tblPrEx>
          <w:tblCellMar>
            <w:top w:w="0" w:type="dxa"/>
            <w:left w:w="0" w:type="dxa"/>
            <w:bottom w:w="0" w:type="dxa"/>
            <w:right w:w="0" w:type="dxa"/>
          </w:tblCellMar>
        </w:tblPrEx>
        <w:tc>
          <w:tcPr>
            <w:tcW w:w="0" w:type="auto"/>
            <w:vAlign w:val="center"/>
          </w:tcPr>
          <w:p w14:paraId="0D6FDF9E">
            <w:r>
              <w:t>氟橡胶密封圈</w:t>
            </w:r>
          </w:p>
        </w:tc>
        <w:tc>
          <w:tcPr>
            <w:tcW w:w="0" w:type="auto"/>
            <w:vAlign w:val="center"/>
          </w:tcPr>
          <w:p w14:paraId="729FF725">
            <w:r>
              <w:t>Φ2400×15mm（截面）</w:t>
            </w:r>
          </w:p>
        </w:tc>
        <w:tc>
          <w:tcPr>
            <w:tcW w:w="0" w:type="auto"/>
            <w:vAlign w:val="center"/>
          </w:tcPr>
          <w:p w14:paraId="0BD40E59">
            <w:r>
              <w:t>6个月</w:t>
            </w:r>
          </w:p>
        </w:tc>
        <w:tc>
          <w:tcPr>
            <w:tcW w:w="0" w:type="auto"/>
            <w:vAlign w:val="center"/>
          </w:tcPr>
          <w:p w14:paraId="5C1F9594">
            <w:r>
              <w:t>浙江国泰</w:t>
            </w:r>
          </w:p>
        </w:tc>
        <w:tc>
          <w:tcPr>
            <w:tcW w:w="0" w:type="auto"/>
            <w:vAlign w:val="center"/>
          </w:tcPr>
          <w:p w14:paraId="00343755">
            <w:r>
              <w:t>硬度70 Shore A，耐温-20-200℃</w:t>
            </w:r>
          </w:p>
        </w:tc>
      </w:tr>
      <w:tr w14:paraId="0776C4A6">
        <w:tblPrEx>
          <w:tblCellMar>
            <w:top w:w="0" w:type="dxa"/>
            <w:left w:w="0" w:type="dxa"/>
            <w:bottom w:w="0" w:type="dxa"/>
            <w:right w:w="0" w:type="dxa"/>
          </w:tblCellMar>
        </w:tblPrEx>
        <w:tc>
          <w:tcPr>
            <w:tcW w:w="0" w:type="auto"/>
            <w:vAlign w:val="center"/>
          </w:tcPr>
          <w:p w14:paraId="0B867315">
            <w:r>
              <w:t>真空泵油</w:t>
            </w:r>
          </w:p>
        </w:tc>
        <w:tc>
          <w:tcPr>
            <w:tcW w:w="0" w:type="auto"/>
            <w:vAlign w:val="center"/>
          </w:tcPr>
          <w:p w14:paraId="126DA6CE">
            <w:r>
              <w:t>N68</w:t>
            </w:r>
          </w:p>
        </w:tc>
        <w:tc>
          <w:tcPr>
            <w:tcW w:w="0" w:type="auto"/>
            <w:vAlign w:val="center"/>
          </w:tcPr>
          <w:p w14:paraId="25771D4A">
            <w:r>
              <w:t>500小时</w:t>
            </w:r>
          </w:p>
        </w:tc>
        <w:tc>
          <w:tcPr>
            <w:tcW w:w="0" w:type="auto"/>
            <w:vAlign w:val="center"/>
          </w:tcPr>
          <w:p w14:paraId="658148A2">
            <w:r>
              <w:t>长城润滑油</w:t>
            </w:r>
          </w:p>
        </w:tc>
        <w:tc>
          <w:tcPr>
            <w:tcW w:w="0" w:type="auto"/>
            <w:vAlign w:val="center"/>
          </w:tcPr>
          <w:p w14:paraId="45840C6F">
            <w:r>
              <w:t>专用真空润滑油，闪点≥200℃</w:t>
            </w:r>
          </w:p>
        </w:tc>
      </w:tr>
      <w:tr w14:paraId="68F3D471">
        <w:tc>
          <w:tcPr>
            <w:tcW w:w="0" w:type="auto"/>
            <w:vAlign w:val="center"/>
          </w:tcPr>
          <w:p w14:paraId="11DD62C8">
            <w:r>
              <w:t>加热管</w:t>
            </w:r>
          </w:p>
        </w:tc>
        <w:tc>
          <w:tcPr>
            <w:tcW w:w="0" w:type="auto"/>
            <w:vAlign w:val="center"/>
          </w:tcPr>
          <w:p w14:paraId="649B2FC4">
            <w:r>
              <w:t>500W/220V，L=600mm</w:t>
            </w:r>
          </w:p>
        </w:tc>
        <w:tc>
          <w:tcPr>
            <w:tcW w:w="0" w:type="auto"/>
            <w:vAlign w:val="center"/>
          </w:tcPr>
          <w:p w14:paraId="377D2786">
            <w:r>
              <w:t>2年</w:t>
            </w:r>
          </w:p>
        </w:tc>
        <w:tc>
          <w:tcPr>
            <w:tcW w:w="0" w:type="auto"/>
            <w:vAlign w:val="center"/>
          </w:tcPr>
          <w:p w14:paraId="5387AE3E">
            <w:r>
              <w:t>盐城华邦</w:t>
            </w:r>
          </w:p>
        </w:tc>
        <w:tc>
          <w:tcPr>
            <w:tcW w:w="0" w:type="auto"/>
            <w:vAlign w:val="center"/>
          </w:tcPr>
          <w:p w14:paraId="43BEC9E4">
            <w:r>
              <w:t>不锈钢304材质，绝缘电阻≥100MΩ</w:t>
            </w:r>
          </w:p>
        </w:tc>
      </w:tr>
      <w:tr w14:paraId="265FC759">
        <w:tblPrEx>
          <w:tblCellMar>
            <w:top w:w="0" w:type="dxa"/>
            <w:left w:w="0" w:type="dxa"/>
            <w:bottom w:w="0" w:type="dxa"/>
            <w:right w:w="0" w:type="dxa"/>
          </w:tblCellMar>
        </w:tblPrEx>
        <w:tc>
          <w:tcPr>
            <w:tcW w:w="0" w:type="auto"/>
            <w:vAlign w:val="center"/>
          </w:tcPr>
          <w:p w14:paraId="263C5EC9">
            <w:r>
              <w:t>PT100传感器</w:t>
            </w:r>
          </w:p>
        </w:tc>
        <w:tc>
          <w:tcPr>
            <w:tcW w:w="0" w:type="auto"/>
            <w:vAlign w:val="center"/>
          </w:tcPr>
          <w:p w14:paraId="16630628">
            <w:r>
              <w:t>A级，三线制</w:t>
            </w:r>
          </w:p>
        </w:tc>
        <w:tc>
          <w:tcPr>
            <w:tcW w:w="0" w:type="auto"/>
            <w:vAlign w:val="center"/>
          </w:tcPr>
          <w:p w14:paraId="1E6E5249">
            <w:r>
              <w:t>2年</w:t>
            </w:r>
          </w:p>
        </w:tc>
        <w:tc>
          <w:tcPr>
            <w:tcW w:w="0" w:type="auto"/>
            <w:vAlign w:val="center"/>
          </w:tcPr>
          <w:p w14:paraId="2FA68A9A">
            <w:r>
              <w:t>天康仪表</w:t>
            </w:r>
          </w:p>
        </w:tc>
        <w:tc>
          <w:tcPr>
            <w:tcW w:w="0" w:type="auto"/>
            <w:vAlign w:val="center"/>
          </w:tcPr>
          <w:p w14:paraId="775C2FB3">
            <w:r>
              <w:t>带不锈钢保护管，长度500mm</w:t>
            </w:r>
          </w:p>
        </w:tc>
      </w:tr>
      <w:tr w14:paraId="76FECB11">
        <w:tblPrEx>
          <w:tblCellMar>
            <w:top w:w="0" w:type="dxa"/>
            <w:left w:w="0" w:type="dxa"/>
            <w:bottom w:w="0" w:type="dxa"/>
            <w:right w:w="0" w:type="dxa"/>
          </w:tblCellMar>
        </w:tblPrEx>
        <w:tc>
          <w:tcPr>
            <w:tcW w:w="0" w:type="auto"/>
            <w:vAlign w:val="center"/>
          </w:tcPr>
          <w:p w14:paraId="045628AC">
            <w:r>
              <w:t>搅拌轴机械密封</w:t>
            </w:r>
          </w:p>
        </w:tc>
        <w:tc>
          <w:tcPr>
            <w:tcW w:w="0" w:type="auto"/>
            <w:vAlign w:val="center"/>
          </w:tcPr>
          <w:p w14:paraId="10F79F11">
            <w:r>
              <w:t>204型，轴径50mm</w:t>
            </w:r>
          </w:p>
        </w:tc>
        <w:tc>
          <w:tcPr>
            <w:tcW w:w="0" w:type="auto"/>
            <w:vAlign w:val="center"/>
          </w:tcPr>
          <w:p w14:paraId="6E5F2490">
            <w:r>
              <w:t>1年</w:t>
            </w:r>
          </w:p>
        </w:tc>
        <w:tc>
          <w:tcPr>
            <w:tcW w:w="0" w:type="auto"/>
            <w:vAlign w:val="center"/>
          </w:tcPr>
          <w:p w14:paraId="1C3E7E6B">
            <w:r>
              <w:t>约翰克兰</w:t>
            </w:r>
          </w:p>
        </w:tc>
        <w:tc>
          <w:tcPr>
            <w:tcW w:w="0" w:type="auto"/>
            <w:vAlign w:val="center"/>
          </w:tcPr>
          <w:p w14:paraId="5C370F47">
            <w:r>
              <w:t>耐温150℃，耐压0.6MPa</w:t>
            </w:r>
          </w:p>
        </w:tc>
      </w:tr>
      <w:tr w14:paraId="198EB7AA">
        <w:tblPrEx>
          <w:tblCellMar>
            <w:top w:w="0" w:type="dxa"/>
            <w:left w:w="0" w:type="dxa"/>
            <w:bottom w:w="0" w:type="dxa"/>
            <w:right w:w="0" w:type="dxa"/>
          </w:tblCellMar>
        </w:tblPrEx>
        <w:tc>
          <w:tcPr>
            <w:tcW w:w="0" w:type="auto"/>
            <w:vAlign w:val="center"/>
          </w:tcPr>
          <w:p w14:paraId="76C1BE41">
            <w:r>
              <w:t>真空过滤器滤芯</w:t>
            </w:r>
          </w:p>
        </w:tc>
        <w:tc>
          <w:tcPr>
            <w:tcW w:w="0" w:type="auto"/>
            <w:vAlign w:val="center"/>
          </w:tcPr>
          <w:p w14:paraId="61C1E4BD">
            <w:r>
              <w:t>0.1μm，DN100</w:t>
            </w:r>
          </w:p>
        </w:tc>
        <w:tc>
          <w:tcPr>
            <w:tcW w:w="0" w:type="auto"/>
            <w:vAlign w:val="center"/>
          </w:tcPr>
          <w:p w14:paraId="50555A8F">
            <w:r>
              <w:t>3个月</w:t>
            </w:r>
          </w:p>
        </w:tc>
        <w:tc>
          <w:tcPr>
            <w:tcW w:w="0" w:type="auto"/>
            <w:vAlign w:val="center"/>
          </w:tcPr>
          <w:p w14:paraId="7B6536FB">
            <w:r>
              <w:t>颇尔</w:t>
            </w:r>
          </w:p>
        </w:tc>
        <w:tc>
          <w:tcPr>
            <w:tcW w:w="0" w:type="auto"/>
            <w:vAlign w:val="center"/>
          </w:tcPr>
          <w:p w14:paraId="0C7A79CD">
            <w:r>
              <w:t>折叠式，聚四氟乙烯材质</w:t>
            </w:r>
          </w:p>
        </w:tc>
      </w:tr>
      <w:tr w14:paraId="55E9C9CA">
        <w:tc>
          <w:tcPr>
            <w:tcW w:w="0" w:type="auto"/>
            <w:vAlign w:val="center"/>
          </w:tcPr>
          <w:p w14:paraId="7260DA36">
            <w:r>
              <w:t>固态继电器</w:t>
            </w:r>
          </w:p>
        </w:tc>
        <w:tc>
          <w:tcPr>
            <w:tcW w:w="0" w:type="auto"/>
            <w:vAlign w:val="center"/>
          </w:tcPr>
          <w:p w14:paraId="37FF8146">
            <w:r>
              <w:t>G3NA-440B，50A</w:t>
            </w:r>
          </w:p>
        </w:tc>
        <w:tc>
          <w:tcPr>
            <w:tcW w:w="0" w:type="auto"/>
            <w:vAlign w:val="center"/>
          </w:tcPr>
          <w:p w14:paraId="0A47F408">
            <w:r>
              <w:t>1.5年</w:t>
            </w:r>
          </w:p>
        </w:tc>
        <w:tc>
          <w:tcPr>
            <w:tcW w:w="0" w:type="auto"/>
            <w:vAlign w:val="center"/>
          </w:tcPr>
          <w:p w14:paraId="1BEF7792">
            <w:r>
              <w:t>欧姆龙</w:t>
            </w:r>
          </w:p>
        </w:tc>
        <w:tc>
          <w:tcPr>
            <w:tcW w:w="0" w:type="auto"/>
            <w:vAlign w:val="center"/>
          </w:tcPr>
          <w:p w14:paraId="7769DFC3">
            <w:r>
              <w:t>输入DC24V，输出AC220V</w:t>
            </w:r>
          </w:p>
        </w:tc>
      </w:tr>
      <w:tr w14:paraId="146C8848">
        <w:tblPrEx>
          <w:tblCellMar>
            <w:top w:w="0" w:type="dxa"/>
            <w:left w:w="0" w:type="dxa"/>
            <w:bottom w:w="0" w:type="dxa"/>
            <w:right w:w="0" w:type="dxa"/>
          </w:tblCellMar>
        </w:tblPrEx>
        <w:tc>
          <w:tcPr>
            <w:tcW w:w="0" w:type="auto"/>
            <w:vAlign w:val="center"/>
          </w:tcPr>
          <w:p w14:paraId="0568EA2D">
            <w:r>
              <w:t>伺服电机</w:t>
            </w:r>
          </w:p>
        </w:tc>
        <w:tc>
          <w:tcPr>
            <w:tcW w:w="0" w:type="auto"/>
            <w:vAlign w:val="center"/>
          </w:tcPr>
          <w:p w14:paraId="46EE4829">
            <w:r>
              <w:t>1.5kW，23位编码器</w:t>
            </w:r>
          </w:p>
        </w:tc>
        <w:tc>
          <w:tcPr>
            <w:tcW w:w="0" w:type="auto"/>
            <w:vAlign w:val="center"/>
          </w:tcPr>
          <w:p w14:paraId="64B6AEF5">
            <w:r>
              <w:t>3年</w:t>
            </w:r>
          </w:p>
        </w:tc>
        <w:tc>
          <w:tcPr>
            <w:tcW w:w="0" w:type="auto"/>
            <w:vAlign w:val="center"/>
          </w:tcPr>
          <w:p w14:paraId="1E87C344">
            <w:r>
              <w:t>松下</w:t>
            </w:r>
          </w:p>
        </w:tc>
        <w:tc>
          <w:tcPr>
            <w:tcW w:w="0" w:type="auto"/>
            <w:vAlign w:val="center"/>
          </w:tcPr>
          <w:p w14:paraId="3D67E0F6">
            <w:r>
              <w:t>A6系列，带刹车</w:t>
            </w:r>
          </w:p>
        </w:tc>
      </w:tr>
    </w:tbl>
    <w:p w14:paraId="35AD1E16">
      <w:pPr>
        <w:pStyle w:val="4"/>
      </w:pPr>
      <w:r>
        <w:t>9.3 相关技术标准与参考文献</w:t>
      </w:r>
    </w:p>
    <w:p w14:paraId="3AA862FD">
      <w:pPr>
        <w:numPr>
          <w:ilvl w:val="0"/>
          <w:numId w:val="13"/>
        </w:numPr>
        <w:spacing w:before="0" w:beforeAutospacing="1" w:after="0" w:afterAutospacing="1"/>
        <w:ind w:left="720" w:hanging="360"/>
      </w:pPr>
      <w:r>
        <w:t>GB 6450-2015《干式电力变压器》</w:t>
      </w:r>
    </w:p>
    <w:p w14:paraId="72DD3FCE">
      <w:pPr>
        <w:numPr>
          <w:ilvl w:val="0"/>
          <w:numId w:val="13"/>
        </w:numPr>
        <w:spacing w:before="0" w:beforeAutospacing="1" w:after="0" w:afterAutospacing="1"/>
        <w:ind w:left="720" w:hanging="360"/>
      </w:pPr>
      <w:r>
        <w:t>JB/T 11055-2010《环氧树脂浇注设备》</w:t>
      </w:r>
    </w:p>
    <w:p w14:paraId="336262DA">
      <w:pPr>
        <w:numPr>
          <w:ilvl w:val="0"/>
          <w:numId w:val="13"/>
        </w:numPr>
        <w:spacing w:before="0" w:beforeAutospacing="1" w:after="0" w:afterAutospacing="1"/>
        <w:ind w:left="720" w:hanging="360"/>
      </w:pPr>
      <w:r>
        <w:t>GB/T 3766-2001《液压系统通用技术条件》</w:t>
      </w:r>
    </w:p>
    <w:p w14:paraId="518E4C21">
      <w:pPr>
        <w:numPr>
          <w:ilvl w:val="0"/>
          <w:numId w:val="13"/>
        </w:numPr>
        <w:spacing w:before="0" w:beforeAutospacing="1" w:after="0" w:afterAutospacing="1"/>
        <w:ind w:left="720" w:hanging="360"/>
      </w:pPr>
      <w:r>
        <w:t>GB 50493-2019《石油化工可燃气体和有毒气体检测报警设计标准》</w:t>
      </w:r>
    </w:p>
    <w:p w14:paraId="5768F069">
      <w:pPr>
        <w:numPr>
          <w:ilvl w:val="0"/>
          <w:numId w:val="13"/>
        </w:numPr>
        <w:spacing w:before="0" w:beforeAutospacing="1" w:after="0" w:afterAutospacing="1"/>
        <w:ind w:left="720" w:hanging="360"/>
      </w:pPr>
      <w:r>
        <w:t>《环氧树脂真空浇注工艺技术规程》（百度文库，2020）</w:t>
      </w:r>
    </w:p>
    <w:p w14:paraId="5CD7383F">
      <w:pPr>
        <w:numPr>
          <w:ilvl w:val="0"/>
          <w:numId w:val="13"/>
        </w:numPr>
        <w:spacing w:before="0" w:beforeAutospacing="1" w:after="0" w:afterAutospacing="1"/>
        <w:ind w:left="720" w:hanging="360"/>
      </w:pPr>
      <w:r>
        <w:t>《真空浇注设备操作维护手册》（沈阳汇思，2021）</w:t>
      </w:r>
    </w:p>
    <w:p w14:paraId="693C316A">
      <w:pPr>
        <w:numPr>
          <w:ilvl w:val="0"/>
          <w:numId w:val="14"/>
        </w:numPr>
        <w:spacing w:before="0" w:beforeAutospacing="1" w:after="0" w:afterAutospacing="1"/>
        <w:ind w:left="720" w:hanging="360"/>
      </w:pPr>
      <w:r>
        <w:t>《干式变压器绝缘浇注常见问题及解决措施》（知乎，2022）</w:t>
      </w:r>
    </w:p>
    <w:p w14:paraId="568984C4">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EE1AB"/>
    <w:multiLevelType w:val="singleLevel"/>
    <w:tmpl w:val="9BFEE1AB"/>
    <w:lvl w:ilvl="0" w:tentative="0">
      <w:start w:val="7"/>
      <w:numFmt w:val="decimal"/>
      <w:lvlText w:val="%1."/>
      <w:lvlJc w:val="left"/>
      <w:pPr>
        <w:ind w:left="720" w:hanging="360"/>
      </w:pPr>
      <w:rPr>
        <w:sz w:val="24"/>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F2DFA045"/>
    <w:multiLevelType w:val="singleLevel"/>
    <w:tmpl w:val="F2DFA045"/>
    <w:lvl w:ilvl="0" w:tentative="0">
      <w:start w:val="1"/>
      <w:numFmt w:val="decimal"/>
      <w:lvlText w:val="%1."/>
      <w:lvlJc w:val="left"/>
      <w:pPr>
        <w:ind w:left="720" w:hanging="360"/>
      </w:pPr>
      <w:rPr>
        <w:sz w:val="24"/>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3">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1"/>
  </w:num>
  <w:num w:numId="2">
    <w:abstractNumId w:val="13"/>
  </w:num>
  <w:num w:numId="3">
    <w:abstractNumId w:val="2"/>
  </w:num>
  <w:num w:numId="4">
    <w:abstractNumId w:val="9"/>
  </w:num>
  <w:num w:numId="5">
    <w:abstractNumId w:val="6"/>
  </w:num>
  <w:num w:numId="6">
    <w:abstractNumId w:val="12"/>
  </w:num>
  <w:num w:numId="7">
    <w:abstractNumId w:val="5"/>
  </w:num>
  <w:num w:numId="8">
    <w:abstractNumId w:val="10"/>
  </w:num>
  <w:num w:numId="9">
    <w:abstractNumId w:val="7"/>
  </w:num>
  <w:num w:numId="10">
    <w:abstractNumId w:val="8"/>
  </w:num>
  <w:num w:numId="11">
    <w:abstractNumId w:val="3"/>
  </w:num>
  <w:num w:numId="12">
    <w:abstractNumId w:val="1"/>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BFE4B91"/>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7F6C0E1"/>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2025-10-06T20:19:06Z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A6D7184F12308432BAB3E3689CB17DDF_43</vt:lpwstr>
  </property>
  <property fmtid="{D5CDD505-2E9C-101B-9397-08002B2CF9AE}" pid="4" name="KSOTemplateDocerSaveRecord">
    <vt:lpwstr>eyJoZGlkIjoiNzI4YmNmYThhZjA0NTVhODllNDhjMGZiNmFkMDJjN2YiLCJ1c2VySWQiOiIxNjA5OTI0MDI0In0=</vt:lpwstr>
  </property>
</Properties>
</file>