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E7E275">
      <w:pPr>
        <w:pStyle w:val="2"/>
      </w:pPr>
    </w:p>
    <w:p w14:paraId="3197CC6C">
      <w:pPr>
        <w:pStyle w:val="2"/>
      </w:pPr>
      <w:r>
        <w:t>干变浇注车间真空浇注设备备料罐技术手册</w:t>
      </w:r>
    </w:p>
    <w:p w14:paraId="143AA220">
      <w:pPr>
        <w:pStyle w:val="3"/>
      </w:pPr>
      <w:r>
        <w:t>一、备料罐结构组成与设计特点</w:t>
      </w:r>
    </w:p>
    <w:p w14:paraId="307D7CF5">
      <w:pPr>
        <w:pStyle w:val="4"/>
      </w:pPr>
      <w:r>
        <w:t>1. 罐体主体结构与材料选型</w:t>
      </w:r>
    </w:p>
    <w:p w14:paraId="10B7CD4F">
      <w:r>
        <w:t>备料罐作为真空浇注设备的核心预处理单元，其主体结构设计需满足环氧树脂体系的高精度温控、真空脱气及防沉淀需求。根据行业标准JB/T11055-2010规范，罐体采用双层夹套结构，内层为接触物料的核心区域，外层为保温与支撑结构，中间层通入导热油实现温度调控。内层材质选用316L不锈钢，该材料含16-18%铬、10-14%镍及2-3%钼，具备优异的耐化学腐蚀性，可抵御环氧树脂及胺类固化剂的长期侵蚀，同时避免晶间腐蚀风险；内层罐体经镜面抛光处理，表面粗糙度Ra≤0.8μm，显著降低物料残留，便于清洁。外层采用Q235B碳钢，成本较低且机械强度高，表面喷涂高温防锈漆（耐温≥200℃），夹套中间填充50mm厚硅酸铝棉保温层，使环境温度25℃时罐体外表面温度≤40℃，减少热量损失。</w:t>
      </w:r>
    </w:p>
    <w:p w14:paraId="5C66D61E">
      <w:r>
        <w:t>罐体设计需同时满足承压与轻量化要求，主体壁厚根据容积差异在8-12mm范围内取值（500L罐体常用10mm），封头采用标准椭圆形结构（曲率半径与直径比1:2），耐压等级≥0.6MPa，可承受真空度≤0.1mbar的极端工况。底部采用45°倾斜设计，配合罐底中央出料口，确保脱气后物料无死角排出，残留量≤0.5L（针对500L罐体）。</w:t>
      </w:r>
    </w:p>
    <w:p w14:paraId="1A18F5E2">
      <w:pPr>
        <w:pStyle w:val="4"/>
      </w:pPr>
      <w:r>
        <w:t>2. 搅拌系统结构设计</w:t>
      </w:r>
    </w:p>
    <w:p w14:paraId="068EEFB5">
      <w:r>
        <w:t>搅拌系统是实现物料均匀混合与防沉淀的关键，采用气动搅拌装置，由驱动电机、减速机构及组合式桨叶构成。驱动电机选用三相异步电机（功率0.75-2.2kW，视罐体容积而定），通过行星齿轮减速机（传动效率&gt;95%）驱动搅拌轴，转速可在5-30rpm范围内无极调节。桨叶采用锚式与螺旋式组合设计：锚式桨叶贴近罐壁（间隙≤5mm），有效清除附着物料并强化传热；螺旋式桨叶沿轴分布，产生轴向流动，促进罐内物料整体循环。</w:t>
      </w:r>
    </w:p>
    <w:p w14:paraId="041C45C7">
      <w:r>
        <w:t>桨叶材质与罐体一致为316L不锈钢，经动平衡测试（残余不平衡量≤0.5g·cm），避免高速旋转时产生振动。搅拌轴采用空心轴结构（直径50-80mm），较实心轴减重30%，同时提升抗弯刚度，轴长根据罐体高度定制，确保桨叶底端距罐底150-200mm，形成最佳搅拌流场。对于非填料型浇注料，搅拌系统重点控制剪切力，避免引入气泡，通过“低速搅拌+间断提速”模式（如5rpm持续搅拌，每10分钟30rpm高速分散30秒），既防止沉淀，又控制气泡生成量≤0.3%。</w:t>
      </w:r>
    </w:p>
    <w:p w14:paraId="4E6C40FF">
      <w:pPr>
        <w:pStyle w:val="4"/>
      </w:pPr>
      <w:r>
        <w:t>3. 真空系统与密封装置</w:t>
      </w:r>
    </w:p>
    <w:p w14:paraId="5366646D">
      <w:r>
        <w:t>真空系统用于实现物料脱气，由真空发生装置、管路及密封组件构成。罐体顶部设置DN100法兰接口，通过波纹管连接双级旋片真空泵（极限真空度0.1mbar，抽速150-300m³/h），管路采用304不锈钢材质（直径50-80mm），壁厚≥3mm，法兰连接处采用金属缠绕垫片（耐高温200℃）。真空路径设置多级保护：前置过滤器（5μm精度）拦截物料蒸汽，冷阱（温度≤-40℃）凝结可凝性气体，防止污染真空泵油；真空计（精度±1%FS）实时监测罐内真空度，与PLC联动控制真空泵启停。</w:t>
      </w:r>
    </w:p>
    <w:p w14:paraId="54B23C65">
      <w:r>
        <w:t>密封组件是维持高真空的核心，罐口采用氟橡胶O型圈（截面直径10-15mm），邵氏硬度70±5，具备-20℃~200℃温度耐受性及优异的耐油性，压缩量控制在25-30%以确保密封效果。搅拌轴密封采用双端面机械密封（型号212型），动环材质碳化硅，静环材质石墨，弹簧补偿轴向磨损，密封腔通入0.1-0.2MPa氮气作为隔离气，防止物料泄漏及外界空气渗入，在真空度≤5Pa工况下无可见泄漏。</w:t>
      </w:r>
    </w:p>
    <w:p w14:paraId="12479296">
      <w:pPr>
        <w:pStyle w:val="4"/>
      </w:pPr>
      <w:r>
        <w:t>4. 夹套加热系统设计</w:t>
      </w:r>
    </w:p>
    <w:p w14:paraId="4CA943B0">
      <w:r>
        <w:t>夹套加热系统用于物料温度控制，采用导热油间接加热方式，夹套容积为罐体容积的15-20%，分为上、中、下三个独立加热区，各区配置电加热管（单根功率2-3kW）及温度传感器，实现分区控温。导热油（型号L-QB300，40℃粘度28-32cSt）通过齿轮泵（流量10-20m³/h）强制循环，经电加热管升温后进入夹套，与罐内物料进行热交换，控温精度达45±1℃。</w:t>
      </w:r>
    </w:p>
    <w:p w14:paraId="176AD858">
      <w:r>
        <w:t>保温层采用50mm厚硅酸铝棉（导热系数≤0.03W/m·K），外包0.5mm厚不锈钢板，减少热损失。为确保温度均匀性，夹套内设置导流板（间距300-500mm），引导导热油沿罐壁螺旋流动，使罐内物料温度梯度≤1℃/m。加热系统配备超温保护（上限55℃）及低液位报警（导热油液位低于1/3时触发），防止干烧损坏设备。</w:t>
      </w:r>
    </w:p>
    <w:p w14:paraId="3321B63E">
      <w:pPr>
        <w:pStyle w:val="4"/>
      </w:pPr>
      <w:r>
        <w:t>5. 辅助结构设计规范</w:t>
      </w:r>
    </w:p>
    <w:p w14:paraId="179D71E2">
      <w:r>
        <w:t>观察窗设计：罐体侧面开设2-3个观察窗（直径150-200mm），采用高强度石英玻璃（厚度15-20mm），可承受0.6MPa压力及-20℃~200℃温度变化，玻璃内侧覆防雾涂层，外侧配备LED照明装置（功率10-15W，色温6000K），便于观察物料状态。</w:t>
      </w:r>
    </w:p>
    <w:p w14:paraId="031C14B4">
      <w:r>
        <w:t>投料口设计：顶部设置DN200投料口，配备密封解袋箱与螺旋输送器组合结构，非填料型物料通过快速启闭盖（带氟橡胶密封圈）添加，添加过程中真空度维持≥300Pa。投料口盖采用气动快开结构，开启时间&lt;5秒，关闭后密封性能与罐体一致。</w:t>
      </w:r>
    </w:p>
    <w:p w14:paraId="0EDCCB60">
      <w:r>
        <w:t>真空口设计：罐顶设置2个真空口（DN50-DN80），分别连接主真空系统与备用真空系统，口部安装真空蝶阀（气动驱动，开关时间&lt;2秒）及压力传感器（量程0-1000mbar，精度±0.5%FS），真空管路设置冷凝过滤器（滤芯精度1μm），防止物料蒸汽污染真空泵。</w:t>
      </w:r>
    </w:p>
    <w:p w14:paraId="1FEB8E1B">
      <w:r>
        <w:t>出料口设计：罐底中央设置DN100-DN150出料口，倾斜45°，配置气动放料阀（阀体316L不锈钢，阀芯PTFE材质），阀门开启度可调节（0-100%），实现物料定量输送，配合罐底称重模块（精度±0.1%），控制出料量误差≤±0.5%。</w:t>
      </w:r>
    </w:p>
    <w:p w14:paraId="083D1057">
      <w:pPr>
        <w:pStyle w:val="3"/>
      </w:pPr>
      <w:r>
        <w:t>二、备料罐功能作用与工作原理</w:t>
      </w:r>
    </w:p>
    <w:p w14:paraId="1242C561">
      <w:pPr>
        <w:pStyle w:val="4"/>
      </w:pPr>
      <w:r>
        <w:t>1. 原材料预处理功能</w:t>
      </w:r>
    </w:p>
    <w:p w14:paraId="2F4CDEDC">
      <w:r>
        <w:t>备料罐首要功能是原材料预处理，为后续混合与浇注提供合格物料。预处理对象包括环氧树脂、固化剂等基础组分，核心工艺为预热、预脱气及防沉淀搅拌。</w:t>
      </w:r>
    </w:p>
    <w:p w14:paraId="0188BFB9">
      <w:r>
        <w:t>预热环节：树脂与固化剂需分别在80℃烘箱中预热1.5-2小时，使物料热透且粘度降至工艺要求范围（环氧树脂300-500mPa·s，固化剂600-900mPa·s），预热温度以“能热透且不引发提前反应”为标准，通常控制在树脂软化点以上20-30℃。预热后的物料通过真空输送进入备料罐，避免高温下接触空气引入气泡。</w:t>
      </w:r>
    </w:p>
    <w:p w14:paraId="42947BE7">
      <w:r>
        <w:t>预脱气环节：物料进入备料罐后，首先进行初步真空脱气，真空度控制在1-5mbar，持续15-20分钟，去除原材料储存与输送过程中溶解的空气及挥发性成分（如水分、低分子有机物）。脱气过程中启动搅拌（转速5-10rpm），使物料表面更新，加速气泡逸出，预脱气可使物料初始气泡率从1.2%降至0.5%以下。</w:t>
      </w:r>
    </w:p>
    <w:p w14:paraId="1D6841A3">
      <w:r>
        <w:t>防沉淀搅拌：对于含微量助剂的非填料体系，需通过持续搅拌防止助剂沉淀，搅拌速率以维持物料均匀流动为宜（雷诺数1000-2000），避免高速搅拌产生漩涡卷入空气。预处理阶段物料停留时间根据批次大小调整，通常为0.5-1小时，确保物料温度、粘度及气泡率均达到工艺要求后，方可进入混合阶段。</w:t>
      </w:r>
    </w:p>
    <w:p w14:paraId="6E6FF68D">
      <w:pPr>
        <w:pStyle w:val="4"/>
      </w:pPr>
      <w:r>
        <w:t>2. 混合与脱气工作原理</w:t>
      </w:r>
    </w:p>
    <w:p w14:paraId="303CE93F">
      <w:r>
        <w:t>混合与脱气是备料罐的核心功能，通过“二次混料+薄膜脱气”技术实现物料均质化与低气泡率控制，确保浇注体气泡率≤0.3%。</w:t>
      </w:r>
    </w:p>
    <w:p w14:paraId="25CBD8EB">
      <w:r>
        <w:t>一次混合：按工艺配比（如树脂:固化剂=10:1）将预处理后的物料导入备料罐，启动搅拌系统（转速15-20rpm），通过锚式桨叶与螺旋式桨叶的协同作用，使物料在30-40分钟内初步混合均匀，混合均匀度通过取样检测（如固化剂浓度偏差≤±0.5%）验证。</w:t>
      </w:r>
    </w:p>
    <w:p w14:paraId="6980CB35">
      <w:r>
        <w:t>薄膜脱气：一次混合后，启动真空系统将罐内真空度降至1-5mbar，同时通过外循环薄膜脱气装置强化脱气效果。物料经螺旋提料器升至脱气伞顶部，沿伞面形成0.5-1mm厚薄膜，表面积较静态时增大10-15倍，在高真空环境下，物料中的气泡迅速膨胀逸出。脱气过程中持续搅拌（转速5-10rpm），防止物料局部过热，脱气时间30-50分钟，终点判断以观察窗观察物料表面无连续气泡升起为准。</w:t>
      </w:r>
    </w:p>
    <w:p w14:paraId="22E0563A">
      <w:r>
        <w:t>二次混合：部分工艺设置二次混合环节，对薄膜脱气后的物料进行高频剪切（转速1500rpm，持续5-10分钟），通过静态混合器（螺旋切割元件）与动态混合器（齿式分散盘）串联使用，消除微米级团聚颗粒（粒径≤5μm），提升物料均匀性，确保后续浇注过程中模具填充流畅。</w:t>
      </w:r>
    </w:p>
    <w:p w14:paraId="7F4FE7B7">
      <w:pPr>
        <w:pStyle w:val="4"/>
      </w:pPr>
      <w:r>
        <w:t>3. 计量与输送功能</w:t>
      </w:r>
    </w:p>
    <w:p w14:paraId="56843B02">
      <w:r>
        <w:t>备料罐需实现物料的精准计量与稳定输送，为浇注工序提供定量、定比例的混合料。</w:t>
      </w:r>
    </w:p>
    <w:p w14:paraId="1E9B922A">
      <w:r>
        <w:t>计量控制：采用“电子秤+计量泵”双重计量方式。罐底安装高精度称重模块（量程0-1000kg，精度±0.1%），实时监测罐内物料重量，配合PLC控制系统实现进料自动计量，当达到预设重量时，进料阀门自动关闭，计量误差≤±0.5%。对于多组分物料，各组分分别计量后按顺序加入，确保配比精度。</w:t>
      </w:r>
    </w:p>
    <w:p w14:paraId="56D5D014">
      <w:r>
        <w:t>输送机制：脱气完成后，物料通过罐底出料口输送至浇注罐，输送动力来自备料罐与浇注罐的压力差。备料罐维持真空度100-200Pa，浇注罐真空度300-500Pa，利用0.2-0.3mbar的压差实现物料平稳流动。输送管路采用不锈钢材质（内壁Ra≤0.8μm），直径与出料口匹配，管长尽可能缩短（≤5m），减少物料滞留。输送过程中通过调节气动放料阀开度（0-100%）控制流量（5-50L/min），配合浇注罐液位信号，实现“按需输送”，避免物料积压。</w:t>
      </w:r>
    </w:p>
    <w:p w14:paraId="452947D2">
      <w:pPr>
        <w:pStyle w:val="4"/>
      </w:pPr>
      <w:r>
        <w:t>4. 与预混罐、终混罐的协同工作机制</w:t>
      </w:r>
    </w:p>
    <w:p w14:paraId="60ACA671">
      <w:r>
        <w:t>备料罐在真空浇注工艺流程中处于承上启下位置，需与预混罐、终混罐紧密协同，形成连续化生产链条。</w:t>
      </w:r>
    </w:p>
    <w:p w14:paraId="60EAF8E5">
      <w:r>
        <w:t>协同流程：原材料首先在预混罐进行初步混合与预脱气（真空度10-20mbar，时间20-30分钟），去除大尺寸气泡（直径&gt;100μm）；预混后的物料通过真空输送进入备料罐，进行深度脱气（真空度1-5mbar）与精准计量；备料罐按工艺要求将物料输送至终混罐，终混罐在更高真空度（≤50Pa）下进行最终脱气，并添加促进剂等微量组分，确保混合料气泡率≤0.1%后进入浇注工序。</w:t>
      </w:r>
    </w:p>
    <w:p w14:paraId="2B2F313B">
      <w:r>
        <w:t>参数协同：三罐系统共享真空机组与温控模块，通过PLC程序联动调节。温度协同方面，预混罐温度65-70℃，备料罐45±1℃，终混罐70-80℃，形成梯度控制，避免高温导致固化剂提前反应；真空度协同方面，预混罐→备料罐→终混罐逐步提高真空度，确保脱气效率层层递进；时间协同方面，各罐处理时间根据物料特性匹配，如预混30分钟、备料脱气50分钟、终混40分钟，通过PLC定时器实现无缝衔接，提升生产效率。</w:t>
      </w:r>
    </w:p>
    <w:p w14:paraId="314A7CAF">
      <w:pPr>
        <w:pStyle w:val="3"/>
      </w:pPr>
      <w:r>
        <w:t>三、备料罐机械原理与传动系统</w:t>
      </w:r>
    </w:p>
    <w:p w14:paraId="1A26AC58">
      <w:pPr>
        <w:pStyle w:val="4"/>
      </w:pPr>
      <w:r>
        <w:t>1. 搅拌传动系统机械原理</w:t>
      </w:r>
    </w:p>
    <w:p w14:paraId="53BB0AC7">
      <w:r>
        <w:t>搅拌传动系统是实现物料混合的动力核心，由驱动单元、减速机构、搅拌轴及支撑组件构成，动力传递路径为：电机输出扭矩→减速机减速增扭→联轴器→搅拌轴→搅拌桨叶。</w:t>
      </w:r>
    </w:p>
    <w:p w14:paraId="2AC58251">
      <w:r>
        <w:t>驱动单元：采用三相异步电机（型号Y系列，功率0.75-2.2kW，转速1450rpm），电源380V/50Hz，配置过载保护（电流≥1.2倍额定值时停机）及变频调速功能，通过变频器（型号西门子MM440）实现转速0-1450rpm无级调节，为减速机提供可变输入转速。</w:t>
      </w:r>
    </w:p>
    <w:p w14:paraId="125948D7">
      <w:r>
        <w:t>减速机构：选用行星齿轮减速机（型号NGW-L，传动比10-50），一级太阳轮与电机输出轴连接，带动3-4个行星齿轮绕内齿圈旋转，行星架作为输出端与搅拌轴连接。行星齿轮传动具有结构紧凑（体积较定轴齿轮减速机小40%）、承载能力高（额定扭矩200-1000N·m）的优点，通过鼓形齿联轴器吸收安装误差（允许角向偏差≤1°，轴向偏差≤2mm），确保传动平稳。</w:t>
      </w:r>
    </w:p>
    <w:p w14:paraId="6D84D1D2">
      <w:r>
        <w:t>搅拌轴：采用空心阶梯轴结构（材质316L不锈钢，直径50-80mm，长度1.5-3m），轴上端通过胀套联轴器与减速机输出轴连接，下端安装搅拌桨叶，轴中部设置滑动轴承（材质SiC，润滑方式脂润滑）作为中间支撑，降低轴端挠度（最大挠度≤0.5mm/m）。轴体内开设中心孔，用于安装温度传感器，实时监测轴温，防止过热损坏。</w:t>
      </w:r>
    </w:p>
    <w:p w14:paraId="2023D757">
      <w:r>
        <w:t>支撑组件：减速机与罐体之间通过机架连接，机架采用Q235B碳钢焊接结构，经时效处理消除内应力，底部安装减震垫（橡胶材质，硬度60 Shore A），减少振动传递。</w:t>
      </w:r>
    </w:p>
    <w:p w14:paraId="0A092D32">
      <w:pPr>
        <w:pStyle w:val="4"/>
      </w:pPr>
      <w:r>
        <w:t>2. 薄膜脱气装置螺旋提料器工作原理</w:t>
      </w:r>
    </w:p>
    <w:p w14:paraId="742056C7">
      <w:r>
        <w:t>螺旋提料器是薄膜脱气装置的核心部件，用于将物料提升并形成薄膜，增大比表面积以加速脱气，其工作原理基于螺旋输送与重力流膜结合。</w:t>
      </w:r>
    </w:p>
    <w:p w14:paraId="02EB537E">
      <w:r>
        <w:t>结构组成：螺旋提料器由驱动电机（功率0.55-1.1kW，转速960rpm）、减速机（传动比20-30）、螺旋轴（直径80-120mm，螺距100-150mm）及脱气伞（直径300-500mm，锥角60°）构成，螺旋轴与脱气伞同轴安装，位于备料罐内部一侧。</w:t>
      </w:r>
    </w:p>
    <w:p w14:paraId="31A4C8E8">
      <w:r>
        <w:t>工作过程：脱气时，罐内物料液位维持在螺旋提料器入口以上，电机驱动螺旋轴旋转，通过螺旋叶片将物料从罐底提升至脱气伞顶部（提升高度1.5-2m），物料在重力作用下沿脱气伞锥面流动，形成0.5-1mm厚的连续薄膜。薄膜在下落过程中与高真空环境（50-200Pa）充分接触，其中的气泡在压差作用下迅速膨胀、破裂并逸出，脱气后的物料落回罐底，完成一次循环。</w:t>
      </w:r>
    </w:p>
    <w:p w14:paraId="06C119B3">
      <w:r>
        <w:t>关键参数：螺旋提料器转速20-30rpm，物料提升量50-100L/h，脱气伞表面经镜面抛光（Ra≤0.8μm），减少物料残留，确保薄膜均匀分布，脱气效率较静态脱气提升30-50%。</w:t>
      </w:r>
    </w:p>
    <w:p w14:paraId="738D3E0B">
      <w:pPr>
        <w:pStyle w:val="4"/>
      </w:pPr>
      <w:r>
        <w:t>3. 下料管路阀门传动原理</w:t>
      </w:r>
    </w:p>
    <w:p w14:paraId="38645113">
      <w:r>
        <w:t>下料管路阀门用于控制物料输送的通断与流量，主要包括气动放料阀与电动调节阀，其传动原理基于流体控制与机械传动结合。</w:t>
      </w:r>
    </w:p>
    <w:p w14:paraId="114A2E77">
      <w:r>
        <w:t>气动放料阀传动：采用单作用气动执行器（型号GT系列，缸径80-125mm，行程50-100mm）驱动，执行器通入0.4-0.6MPa压缩空气时，活塞克服弹簧力向上移动，通过阀杆带动阀芯（楔形结构，材质PTFE）上升，阀门开启，物料在重力与真空差作用下通过阀体；切断气源时，弹簧复位推动活塞下移，阀芯与阀座（硬质合金，硬度HRC60-65）贴合，实现密封关闭，阀门关闭时间&lt;1秒，密封等级达ANSI Class VI。</w:t>
      </w:r>
    </w:p>
    <w:p w14:paraId="11425FA8">
      <w:r>
        <w:t>电动调节阀传动：采用电动执行机构（型号381L，输出扭矩50-200N·m）与调节阀（套筒式，CV值10-50）组合，执行机构接收4-20mA电流信号，通过电机（功率25-50W）驱动齿轮箱（减速比100-300），将旋转运动转化为阀杆直线位移（行程20-50mm），调节阀芯与阀座之间的流通面积，实现流量连续控制（调节精度±1%FS）。阀门配备限位开关（机械限位+电子限位）与手轮操作机构，故障时可手动调节。</w:t>
      </w:r>
    </w:p>
    <w:p w14:paraId="655834F0">
      <w:pPr>
        <w:pStyle w:val="4"/>
      </w:pPr>
      <w:r>
        <w:t>4. 加热系统热传导原理</w:t>
      </w:r>
    </w:p>
    <w:p w14:paraId="0C577A4E">
      <w:r>
        <w:t>加热系统通过导热油循环实现物料温度控制，热传导过程遵循傅里叶定律，热量传递路径为：电加热管→导热油→夹套内壁→罐内物料。</w:t>
      </w:r>
    </w:p>
    <w:p w14:paraId="452A6CBD">
      <w:r>
        <w:t>电加热环节：夹套各加热区配置U型电加热管（材质Incoloy 800，功率密度2-3W/cm²），加热管直接浸入导热油，通电后产生焦耳热（Q=I²Rt），使导热油温度升高，升温速率5-10℃/min，最高工作温度150℃。</w:t>
      </w:r>
    </w:p>
    <w:p w14:paraId="5E51151F">
      <w:r>
        <w:t>导热油循环：齿轮泵（型号2CY，流量10-20m³/h，扬程15-20m）驱动导热油在封闭管路内循环，油流速度1-2m/s，通过夹套导流板引导，沿罐壁螺旋流动，与罐内物料进行强制对流传热（传热系数500-800W/m²·K）。</w:t>
      </w:r>
    </w:p>
    <w:p w14:paraId="7B3E2643">
      <w:r>
        <w:t>热量交换：夹套内壁（材质316L不锈钢，厚度8-10mm）将热量传递给罐内物料，物料在搅拌作用下形成强制对流，使整体温度均匀升高，热交换效率取决于导热油温度与物料温差（通常控制10-20℃）及搅拌速率（转速越高，传热系数越大）。</w:t>
      </w:r>
    </w:p>
    <w:p w14:paraId="304D7BC4">
      <w:r>
        <w:t>温度控制：采用PID控制算法，温度传感器（PT100，精度±0.5℃）实时采集物料温度，反馈至PLC，与设定值比较后调节电加热管功率，使物料温度稳定在45±1℃，温度波动≤±0.5℃/h。</w:t>
      </w:r>
    </w:p>
    <w:p w14:paraId="4DB55812">
      <w:pPr>
        <w:pStyle w:val="3"/>
      </w:pPr>
      <w:r>
        <w:t>四、备料罐控制原理与自动化系统</w:t>
      </w:r>
    </w:p>
    <w:p w14:paraId="02EC2CD1">
      <w:pPr>
        <w:pStyle w:val="4"/>
      </w:pPr>
      <w:r>
        <w:t>1. PLC控制系统组成架构</w:t>
      </w:r>
    </w:p>
    <w:p w14:paraId="563B17DE">
      <w:r>
        <w:t>备料罐控制系统以PLC为核心，采用“集中控制+分布式I/O”架构，实现设备运行参数监测、逻辑控制及安全联锁。</w:t>
      </w:r>
    </w:p>
    <w:p w14:paraId="720A4C53">
      <w:r>
        <w:t>硬件组成：</w:t>
      </w:r>
    </w:p>
    <w:p w14:paraId="0AA8EC32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CPU模块</w:t>
      </w:r>
      <w:r>
        <w:t>：选用西门子S7-1200系列PLC（型号1214C DC/DC/DC，处理速度0.1μs/指令），配备14点数字量输入、10点数字量输出及4点模拟量输入/输出，支持最多扩展8个信号模块，满足复杂控制需求。</w:t>
      </w:r>
    </w:p>
    <w:p w14:paraId="030DA2E8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电源模块</w:t>
      </w:r>
      <w:r>
        <w:t>：24V DC开关电源（容量10A），为PLC、传感器及执行机构供电，具备过压、过流保护功能。</w:t>
      </w:r>
    </w:p>
    <w:p w14:paraId="06163BB3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I/O模块</w:t>
      </w:r>
      <w:r>
        <w:t>：数字量输入模块（型号SM 1221，16点，24V DC）接入限位开关、按钮等信号；数字量输出模块（型号SM 1222，16点，继电器输出）控制电磁阀、电机接触器；模拟量输入模块（型号SM 1231，4点，16位分辨率）采集温度、真空度、压力等模拟信号；模拟量输出模块（型号SM 1232，2点，16位分辨率）输出4-20mA信号控制调节阀、变频器。</w:t>
      </w:r>
    </w:p>
    <w:p w14:paraId="338C2001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通信模块</w:t>
      </w:r>
      <w:r>
        <w:t>：配备PROFINET通信模块（型号SM 1243-1），实现与触摸屏、上位机及其他设备的以太网通信（传输速率100Mbps），支持MODBUS TCP/IP协议。</w:t>
      </w:r>
    </w:p>
    <w:p w14:paraId="21A1C1D7">
      <w:r>
        <w:t>软件架构：</w:t>
      </w:r>
    </w:p>
    <w:p w14:paraId="312D3B78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主程序</w:t>
      </w:r>
      <w:r>
        <w:t>：负责系统初始化、模式选择及主流程控制，循环扫描周期100ms。</w:t>
      </w:r>
    </w:p>
    <w:p w14:paraId="5DBFB52C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子程序</w:t>
      </w:r>
      <w:r>
        <w:t>：包括真空控制、温度控制、搅拌控制、计量控制等功能块，模块化设计便于维护与扩展。</w:t>
      </w:r>
    </w:p>
    <w:p w14:paraId="49C870C7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中断程序</w:t>
      </w:r>
      <w:r>
        <w:t>：处理急停、故障报警等紧急事件，响应时间&lt;10ms。</w:t>
      </w:r>
    </w:p>
    <w:p w14:paraId="1A6B2326">
      <w:pPr>
        <w:pStyle w:val="4"/>
      </w:pPr>
      <w:r>
        <w:t>2. 传感器与检测原理</w:t>
      </w:r>
    </w:p>
    <w:p w14:paraId="2D7CA144">
      <w:r>
        <w:t>备料罐配置多种传感器实现关键参数实时监测，为控制提供反馈信号，主要包括温度、真空度、压力及液位传感器。</w:t>
      </w:r>
    </w:p>
    <w:p w14:paraId="501B2E4C">
      <w:r>
        <w:t>温度传感器：采用PT100热电阻（型号WZP-230，分度号PT100，测量范围-50-200℃），安装于罐内物料中及夹套导热油内，其工作原理基于金属电阻随温度变化的特性（0℃时电阻100Ω，温度每变化1℃，电阻变化0.385Ω）。传感器通过三线制接法接入PLC模拟量输入模块，经A/D转换后得到温度值，测量精度±0.5℃，分辨率0.1℃。</w:t>
      </w:r>
    </w:p>
    <w:p w14:paraId="34FAC7D8">
      <w:r>
        <w:t>真空度传感器：选用德国莱宝真空变送器（型号Pirani 1000，测量范围10⁻³-1000mbar），基于热传导原理，通过测量加热丝（铂电阻）因气体热传导引起的温度变化计算真空度，输出4-20mA标准信号（对应0-1000mbar），测量精度±1%FS，响应时间&lt;1秒，安装于罐顶真空口，实时监测罐内真空状态。</w:t>
      </w:r>
    </w:p>
    <w:p w14:paraId="6DF813CF">
      <w:r>
        <w:t>压力传感器：用于检测管路压力（型号SICK PBT-RB025SG1SS，量程0-1MPa），采用 piezoresistive 原理，硅膜片在压力作用下产生应变，导致电阻变化，通过惠斯通电桥转换为电信号，输出4-20mA，精度±0.25%FS，过载能力2倍量程，用于监测导热油循环压力及物料输送压力。</w:t>
      </w:r>
    </w:p>
    <w:p w14:paraId="3A52E0BF">
      <w:r>
        <w:t>液位传感器：采用电容式液位计（型号E+H FMI51，测量范围0-3m），探头插入罐内，通过检测物料与空气介电常数差异实现液位测量，输出4-20mA信号，精度±0.2%FS，分辨率1mm，用于控制物料进料量及防止溢出。</w:t>
      </w:r>
    </w:p>
    <w:p w14:paraId="7288CFC0">
      <w:pPr>
        <w:pStyle w:val="4"/>
      </w:pPr>
      <w:r>
        <w:t>3. 自动化功能实现</w:t>
      </w:r>
    </w:p>
    <w:p w14:paraId="55AA278E">
      <w:r>
        <w:t>备料罐自动化功能涵盖自动计量、定时控制、安全联锁及远程监控，通过PLC程序与传感器协同实现。</w:t>
      </w:r>
    </w:p>
    <w:p w14:paraId="497D9FB0">
      <w:r>
        <w:t>自动计量功能：基于称重模块与PLC逻辑控制，流程为：</w:t>
      </w:r>
    </w:p>
    <w:p w14:paraId="19514593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操作员在HMI设定A、B组分重量；</w:t>
      </w:r>
    </w:p>
    <w:p w14:paraId="5422C46C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PLC控制进料阀门开启，物料进入备料罐；</w:t>
      </w:r>
    </w:p>
    <w:p w14:paraId="05A449EE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称重模块实时反馈重量信号，当达到设定值90%时，阀门开度减小（慢进）；</w:t>
      </w:r>
    </w:p>
    <w:p w14:paraId="12B9AA8A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达到设定值时，阀门关闭，完成计量，计量过程自动去皮，误差≤±0.5%。</w:t>
      </w:r>
    </w:p>
    <w:p w14:paraId="3181304E">
      <w:r>
        <w:t>定时控制功能：PLC内置定时器（精度±0.1s），按工艺要求执行各阶段时间控制，如：</w:t>
      </w:r>
    </w:p>
    <w:p w14:paraId="691A6213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预热时间：1.5-2小时，到达后自动启动搅拌；</w:t>
      </w:r>
    </w:p>
    <w:p w14:paraId="40FFEF22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脱气时间：30-50分钟，到达后提示脱气完成；</w:t>
      </w:r>
    </w:p>
    <w:p w14:paraId="6508C086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搅拌时间：连续搅拌，根据工艺阶段自动切换转速（如预混阶段15rpm，脱气阶段5rpm）。</w:t>
      </w:r>
    </w:p>
    <w:p w14:paraId="66E4F1FB">
      <w:r>
        <w:t>安全联锁功能：通过硬件与软件双重联锁确保设备安全运行，主要联锁关系包括：</w:t>
      </w:r>
    </w:p>
    <w:p w14:paraId="63DCEBEF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t>罐门未关紧→真空系统禁止启动；</w:t>
      </w:r>
    </w:p>
    <w:p w14:paraId="6E6FCBA2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t>真空度未达标→搅拌电机禁止高速运行；</w:t>
      </w:r>
    </w:p>
    <w:p w14:paraId="20AED7FA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t>温度超上限（&gt;55℃）→电加热管断电；</w:t>
      </w:r>
    </w:p>
    <w:p w14:paraId="25441BF9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t>急停按钮触发→所有电机、阀门断电复位。</w:t>
      </w:r>
    </w:p>
    <w:p w14:paraId="552534B4">
      <w:r>
        <w:t>远程监控功能：通过PROFINET网络将设备运行数据（温度、真空度、重量、阀门状态等）上传至车间MES系统，工程师可在监控室实时查看设备状态，远程修改工艺参数（需权限验证），系统自动记录关键数据（如每次批次的计量值、脱气时间、温度曲线），支持数据查询与报表生成。</w:t>
      </w:r>
    </w:p>
    <w:p w14:paraId="3EE49D9A">
      <w:pPr>
        <w:pStyle w:val="4"/>
      </w:pPr>
      <w:r>
        <w:t>4. 人机界面操作系统设计</w:t>
      </w:r>
    </w:p>
    <w:p w14:paraId="0AD22BC1">
      <w:r>
        <w:t>人机界面（HMI）采用7英寸触摸屏（西门子KP700 Basic，分辨率800×480像素，65536色），基于WinCC Basic软件组态，实现设备操作、参数设置及故障诊断。</w:t>
      </w:r>
    </w:p>
    <w:p w14:paraId="3315B338">
      <w:r>
        <w:t>界面布局：</w:t>
      </w:r>
    </w:p>
    <w:p w14:paraId="564D6D60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主监控页面</w:t>
      </w:r>
      <w:r>
        <w:t>：显示设备整体运行状态，包括罐内温度、真空度、搅拌转速、物料重量等关键参数（以数字、仪表盘或趋势图形式呈现），设备运行流程动画模拟，各阀门、电机状态以不同颜色标识（绿色运行，红色停止，黄色报警）。</w:t>
      </w:r>
    </w:p>
    <w:p w14:paraId="5C5C8796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参数设置页面</w:t>
      </w:r>
      <w:r>
        <w:t>：按工艺阶段分类（预热、脱气、混合、输送），可设置温度目标值、真空度范围、搅拌转速、脱气时间等参数，参数修改需输入密码（操作员级/工程师级权限区分），防止误操作。</w:t>
      </w:r>
    </w:p>
    <w:p w14:paraId="712E64EE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故障报警页面</w:t>
      </w:r>
      <w:r>
        <w:t>：显示当前故障信息（如“E02：真空度不达标”“E10：搅拌电机过载”），包括故障代码、描述、发生时间及处理建议，历史故障记录可查询（保存最近100条）。</w:t>
      </w:r>
    </w:p>
    <w:p w14:paraId="56E95FF9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I/O监控页面</w:t>
      </w:r>
      <w:r>
        <w:t>：显示所有输入/输出信号状态（数字量I/O的通断，模拟量I/O的实时值），便于故障排查时快速判断传感器或执行机构状态。</w:t>
      </w:r>
    </w:p>
    <w:p w14:paraId="1F1C3DA7">
      <w:r>
        <w:t>操作流程：</w:t>
      </w:r>
    </w:p>
    <w:p w14:paraId="4EE8F351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初始化</w:t>
      </w:r>
      <w:r>
        <w:t>：开机后系统自检（传感器、电机、阀门状态），无故障时进入待机状态；</w:t>
      </w:r>
    </w:p>
    <w:p w14:paraId="7F36D4BA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参数设置</w:t>
      </w:r>
      <w:r>
        <w:t>：选择工艺配方（可存储10组）或手动输入参数，确认后启动流程；</w:t>
      </w:r>
    </w:p>
    <w:p w14:paraId="6B3A33DE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运行监控</w:t>
      </w:r>
      <w:r>
        <w:t>：切换至主监控页面，实时观察设备运行状态，必要时通过手动按钮干预（如紧急停止）；</w:t>
      </w:r>
    </w:p>
    <w:p w14:paraId="3287915E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结束处理</w:t>
      </w:r>
      <w:r>
        <w:t>：工艺完成后，系统提示“准备卸料”，确认后自动打开出料阀，卸料完成后清理设备。</w:t>
      </w:r>
    </w:p>
    <w:p w14:paraId="2EC06803">
      <w:r>
        <w:t>权限管理：设置三级权限（操作员、工程师、管理员），操作员可启动/停止设备、监控参数；工程师可修改工艺参数、进行校准；管理员可管理用户权限、备份/恢复程序。</w:t>
      </w:r>
    </w:p>
    <w:p w14:paraId="35D57FB9">
      <w:pPr>
        <w:pStyle w:val="3"/>
      </w:pPr>
      <w:r>
        <w:t>五、常见故障类型与成因分析</w:t>
      </w:r>
    </w:p>
    <w:p w14:paraId="44F50E62">
      <w:pPr>
        <w:pStyle w:val="4"/>
      </w:pPr>
      <w:r>
        <w:t>1. 真空系统故障类型与成因</w:t>
      </w:r>
    </w:p>
    <w:p w14:paraId="0061F091">
      <w:r>
        <w:t>真空系统故障主要表现为真空度不足、真空度波动及抽气缓慢，具体成因如下：</w:t>
      </w:r>
    </w:p>
    <w:p w14:paraId="5167AAC8">
      <w:r>
        <w:rPr>
          <w:b/>
        </w:rPr>
        <w:t>真空度不足</w:t>
      </w:r>
    </w:p>
    <w:p w14:paraId="75D633B2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真空泵性能下降</w:t>
      </w:r>
      <w:r>
        <w:t>：真空泵油乳化（吸入水汽或杂质，油色变白浑浊，饱和蒸汽压升高）、旋片磨损（间隙增大，抽速下降30%以上）或电机转速不足（电源电压低，转速低于额定值90%），导致极限真空度无法达到0.1mbar。</w:t>
      </w:r>
    </w:p>
    <w:p w14:paraId="73431686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管路泄漏</w:t>
      </w:r>
      <w:r>
        <w:t>：真空管路法兰密封垫片老化（氟橡胶O型圈使用超过6个月，出现裂纹或硬度变化）、焊接缺陷（砂眼、未焊透）或阀门内漏（阀芯磨损，密封面不平整），泄漏量&gt;1×10⁻⁶ Pa·m³/s时，真空度显著下降。</w:t>
      </w:r>
    </w:p>
    <w:p w14:paraId="65673FA4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物料放气量大</w:t>
      </w:r>
      <w:r>
        <w:t>：原材料含水率超标（&gt;0.1%）或挥发性成分过多（如环氧树脂中低分子物含量&gt;5%），脱气过程中放气量超过真空泵抽气能力，导致真空度无法维持。</w:t>
      </w:r>
    </w:p>
    <w:p w14:paraId="4DD08BA1">
      <w:r>
        <w:rPr>
          <w:b/>
        </w:rPr>
        <w:t>真空度波动</w:t>
      </w:r>
    </w:p>
    <w:p w14:paraId="612C1B4D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传感器故障</w:t>
      </w:r>
      <w:r>
        <w:t>：真空度传感器接线松动（接触电阻&gt;0.1Ω）、探头污染（物料蒸汽凝结覆盖）或零点漂移（长期使用后校准偏差&gt;2%FS），导致测量值波动，实际真空度稳定。</w:t>
      </w:r>
    </w:p>
    <w:p w14:paraId="717082CD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真空泵间歇工作</w:t>
      </w:r>
      <w:r>
        <w:t>：真空泵过载保护频繁触发（电机电流&gt;1.2倍额定值）、温控开关动作（泵温&gt;80℃）或油路堵塞（过滤器滤芯堵塞，压差&gt;0.1MPa），导致真空泵频繁启停，真空度周期性波动。</w:t>
      </w:r>
    </w:p>
    <w:p w14:paraId="3CC0C0F5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阀门动作异常</w:t>
      </w:r>
      <w:r>
        <w:t>：气动真空阀阀芯卡滞（异物卡住或气缸漏气），开关不到位，导致真空系统通断不稳定，真空度波动幅度&gt;±5mbar。</w:t>
      </w:r>
    </w:p>
    <w:p w14:paraId="74D7D60D">
      <w:r>
        <w:rPr>
          <w:b/>
        </w:rPr>
        <w:t>抽气缓慢</w:t>
      </w:r>
    </w:p>
    <w:p w14:paraId="2F9F3950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rPr>
          <w:b/>
        </w:rPr>
        <w:t>过滤器堵塞</w:t>
      </w:r>
      <w:r>
        <w:t>：真空管路前置过滤器滤芯（精度1μm）被物料蒸汽或粉尘堵塞，过滤面积减少50%以上，导致抽气阻力增大，抽气时间延长（从正常30分钟增至60分钟以上）。</w:t>
      </w:r>
    </w:p>
    <w:p w14:paraId="7B5A2268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rPr>
          <w:b/>
        </w:rPr>
        <w:t>泵组匹配不当</w:t>
      </w:r>
      <w:r>
        <w:t>：罗茨泵未启动（双级真空系统中，低真空时未切换至高真空模式）或旋片泵与罗茨泵抽速不匹配（如旋片泵抽速50m³/h，罗茨泵抽速300m³/h，导致前级泵过载）。</w:t>
      </w:r>
    </w:p>
    <w:p w14:paraId="338128CA">
      <w:pPr>
        <w:pStyle w:val="4"/>
      </w:pPr>
      <w:r>
        <w:t>2. 搅拌系统故障类型与成因</w:t>
      </w:r>
    </w:p>
    <w:p w14:paraId="27957552">
      <w:r>
        <w:t>搅拌系统故障主要包括卡滞、异响及过载，成因涉及机械部件与物料特性：</w:t>
      </w:r>
    </w:p>
    <w:p w14:paraId="17C2CBD7">
      <w:r>
        <w:rPr>
          <w:b/>
        </w:rPr>
        <w:t>卡滞故障</w:t>
      </w:r>
    </w:p>
    <w:p w14:paraId="4EAE6EC0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rPr>
          <w:b/>
        </w:rPr>
        <w:t>轴承磨损</w:t>
      </w:r>
      <w:r>
        <w:t>：搅拌轴滑动轴承（SiC材质）润滑不足（脂润滑周期超过3个月，润滑脂干涸）或异物进入（物料颗粒卡住），导致轴承间隙&lt;0.1mm，轴旋转阻力增大，严重时无法转动。</w:t>
      </w:r>
    </w:p>
    <w:p w14:paraId="3A5E0C16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rPr>
          <w:b/>
        </w:rPr>
        <w:t>物料结块</w:t>
      </w:r>
      <w:r>
        <w:t>：物料预热不足（温度低于60℃，粘度&gt;1000mPa·s）或混合比例失调（树脂与固化剂比例偏差&gt;±2%），导致局部固化结块，结块尺寸&gt;50mm时卡住搅拌桨叶。</w:t>
      </w:r>
    </w:p>
    <w:p w14:paraId="57249782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rPr>
          <w:b/>
        </w:rPr>
        <w:t>轴系弯曲</w:t>
      </w:r>
      <w:r>
        <w:t>：搅拌轴长期过载（扭矩超过额定值1.5倍）或安装时与减速机不同心（同轴度偏差&gt;0.2mm/m），导致轴弯曲变形（挠度&gt;1mm/m），与罐壁摩擦卡滞。</w:t>
      </w:r>
    </w:p>
    <w:p w14:paraId="5383B4BC">
      <w:r>
        <w:rPr>
          <w:b/>
        </w:rPr>
        <w:t>异响故障</w:t>
      </w:r>
    </w:p>
    <w:p w14:paraId="063EF4A9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rPr>
          <w:b/>
        </w:rPr>
        <w:t>轴承异响</w:t>
      </w:r>
      <w:r>
        <w:t>：滚动轴承（如减速机轴承）滚珠或滚道剥落（疲劳寿命到期，通常运行10000小时以上），产生周期性冲击噪声（频率200-500Hz），声压级&gt;85dB(A)。</w:t>
      </w:r>
    </w:p>
    <w:p w14:paraId="7E9131C4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rPr>
          <w:b/>
        </w:rPr>
        <w:t>联轴器异响</w:t>
      </w:r>
      <w:r>
        <w:t>：胀套联轴器松动（螺栓预紧力不足，扭矩传递时打滑）或弹性联轴器弹性体损坏（橡胶老化开裂），导致动力传递不平稳，产生“咯吱”声或撞击声。</w:t>
      </w:r>
    </w:p>
    <w:p w14:paraId="7305FF9C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rPr>
          <w:b/>
        </w:rPr>
        <w:t>桨叶松动</w:t>
      </w:r>
      <w:r>
        <w:t>：搅拌桨叶与轴连接螺栓（M10-M16）松动（振动导致螺纹松动，未使用防松螺母），桨叶在离心力作用下径向摆动，与物料撞击产生“砰砰”声，振幅&gt;0.1mm。</w:t>
      </w:r>
    </w:p>
    <w:p w14:paraId="599C2923">
      <w:r>
        <w:rPr>
          <w:b/>
        </w:rPr>
        <w:t>过载故障</w:t>
      </w:r>
    </w:p>
    <w:p w14:paraId="3489DDD1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rPr>
          <w:b/>
        </w:rPr>
        <w:t>物料粘度异常</w:t>
      </w:r>
      <w:r>
        <w:t>：环氧树脂与固化剂混合后粘度超过工艺上限（&gt;1500mPa·s），搅拌阻力矩增大，电机电流超过额定值（如2.2kW电机电流&gt;5A），触发热继电器保护。</w:t>
      </w:r>
    </w:p>
    <w:p w14:paraId="460231E9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rPr>
          <w:b/>
        </w:rPr>
        <w:t>密封过紧</w:t>
      </w:r>
      <w:r>
        <w:t>：机械密封压缩量过大（超过3mm）或O型圈过盈量超标（直径过盈&gt;0.5mm），导致轴封摩擦力矩增大，占总扭矩的20%以上。</w:t>
      </w:r>
    </w:p>
    <w:p w14:paraId="7FC3F916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rPr>
          <w:b/>
        </w:rPr>
        <w:t>电机故障</w:t>
      </w:r>
      <w:r>
        <w:t>：电机轴承损坏（转动异响，温升&gt;40K）或绕组匝间短路（三相电流不平衡度&gt;5%），导致电机输出扭矩下降，带载能力降低，易发生过载。</w:t>
      </w:r>
    </w:p>
    <w:p w14:paraId="05104D1E">
      <w:pPr>
        <w:pStyle w:val="4"/>
      </w:pPr>
      <w:r>
        <w:t>3. 加热系统故障类型与成因</w:t>
      </w:r>
    </w:p>
    <w:p w14:paraId="5CD27ECE">
      <w:r>
        <w:t>加热系统故障表现为温度失控、加热不均及升温缓慢，主要成因如下：</w:t>
      </w:r>
    </w:p>
    <w:p w14:paraId="6F1E24C1">
      <w:r>
        <w:rPr>
          <w:b/>
        </w:rPr>
        <w:t>温度失控</w:t>
      </w:r>
    </w:p>
    <w:p w14:paraId="7101F95D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加热管短路</w:t>
      </w:r>
      <w:r>
        <w:t>：电加热管绝缘层破损（长期高温导致氧化镁粉老化，绝缘电阻&lt;1MΩ），出现匝间短路或接地短路，导致加热功率骤增，物料温度超过设定值（如从45℃升至60℃以上）。</w:t>
      </w:r>
    </w:p>
    <w:p w14:paraId="483F79F0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温控器失灵</w:t>
      </w:r>
      <w:r>
        <w:t>：PLC温控模块故障（PID参数设置错误，比例带P&lt;50%导致超调量&gt;5℃）或温度传感器信号丢失（断线或接线松动），系统误判温度未达标，持续加热。</w:t>
      </w:r>
    </w:p>
    <w:p w14:paraId="6813BF3E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固态继电器粘连</w:t>
      </w:r>
      <w:r>
        <w:t>：加热管控制固态继电器（SSR）过流损坏（电流超过额定值2倍），触点粘连无法断开，加热管持续工作，导致温度失控。</w:t>
      </w:r>
    </w:p>
    <w:p w14:paraId="71B2DCCB">
      <w:r>
        <w:rPr>
          <w:b/>
        </w:rPr>
        <w:t>加热不均</w:t>
      </w:r>
    </w:p>
    <w:p w14:paraId="6488D914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rPr>
          <w:b/>
        </w:rPr>
        <w:t>夹套结垢</w:t>
      </w:r>
      <w:r>
        <w:t>：导热油长期使用未更换（超过6个月），油中杂质（焦炭、氧化物）沉积在夹套内壁，形成1-2mm厚垢层，热阻增大（导热系数从30W/m·K降至5W/m·K），导致局部温度低。</w:t>
      </w:r>
    </w:p>
    <w:p w14:paraId="36E1A3A7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rPr>
          <w:b/>
        </w:rPr>
        <w:t>导热油循环不畅</w:t>
      </w:r>
      <w:r>
        <w:t>：齿轮泵磨损（齿轮间隙增大，流量下降30%）或管路堵塞（过滤器滤芯堵塞，压差&gt;0.2MPa），导热油流量不足（&lt;5m³/h），夹套各区域流速不均，温差&gt;5℃。</w:t>
      </w:r>
    </w:p>
    <w:p w14:paraId="32F4597C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rPr>
          <w:b/>
        </w:rPr>
        <w:t>加热区功率失衡</w:t>
      </w:r>
      <w:r>
        <w:t>：夹套上、中、下三区加热管功率偏差&gt;10%（如设计功率均为5kW，实际测量分别为5kW、4kW、6kW），导致罐内物料温度上高下低或上低下高，温度梯度&gt;2℃/m。</w:t>
      </w:r>
    </w:p>
    <w:p w14:paraId="2525CCD3">
      <w:r>
        <w:rPr>
          <w:b/>
        </w:rPr>
        <w:t>升温缓慢</w:t>
      </w:r>
    </w:p>
    <w:p w14:paraId="4AC2D18C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rPr>
          <w:b/>
        </w:rPr>
        <w:t>加热功率不足</w:t>
      </w:r>
      <w:r>
        <w:t>：部分加热管损坏（断路或接触不良），总功率下降（如设计总功率15kW，实际仅10kW），升温速率从正常5℃/min降至2℃/min以下。</w:t>
      </w:r>
    </w:p>
    <w:p w14:paraId="649FA24C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rPr>
          <w:b/>
        </w:rPr>
        <w:t>保温层破损</w:t>
      </w:r>
      <w:r>
        <w:t>：硅酸铝棉保温层受潮（吸水率&gt;5%）或局部脱落（不锈钢外保护层破损），热损失增大（散热量&gt;500W/m²），环境温度25℃时，罐体外表面温度&gt;50℃。</w:t>
      </w:r>
    </w:p>
    <w:p w14:paraId="6D3F3952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rPr>
          <w:b/>
        </w:rPr>
        <w:t>物料初始温度低</w:t>
      </w:r>
      <w:r>
        <w:t>：原材料预热不足（温度&lt;60℃）或批次进料量过大（超过罐体额定容积的80%），需吸收更多热量，导致升温时间延长（从正常30分钟增至60分钟）。</w:t>
      </w:r>
    </w:p>
    <w:p w14:paraId="5DC4A49E">
      <w:pPr>
        <w:pStyle w:val="4"/>
      </w:pPr>
      <w:r>
        <w:t>4. 控制系统故障类型与成因</w:t>
      </w:r>
    </w:p>
    <w:p w14:paraId="026E8051">
      <w:r>
        <w:t>控制系统故障涉及传感器、执行机构及PLC程序，具体成因如下：</w:t>
      </w:r>
    </w:p>
    <w:p w14:paraId="52C5B118">
      <w:r>
        <w:rPr>
          <w:b/>
        </w:rPr>
        <w:t>传感器故障</w:t>
      </w:r>
    </w:p>
    <w:p w14:paraId="48E5C609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rPr>
          <w:b/>
        </w:rPr>
        <w:t>信号漂移</w:t>
      </w:r>
      <w:r>
        <w:t>：温度传感器（PT100）接线端子氧化（接触电阻&gt;0.5Ω）或探头老化（长期高温导致电阻特性漂移），测量值与实际值偏差&gt;2℃；真空度传感器零点漂移（未定期校准，偏差&gt;5mbar），影响真空控制精度。</w:t>
      </w:r>
    </w:p>
    <w:p w14:paraId="39C56CCC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rPr>
          <w:b/>
        </w:rPr>
        <w:t>断路/短路</w:t>
      </w:r>
      <w:r>
        <w:t>：传感器信号线断线（机械拉扯或鼠害咬断）或短路（绝缘层破损，线间电阻&lt;100Ω），PLC模拟量输入模块显示溢出（最大值或最小值），无法监测实际参数。</w:t>
      </w:r>
    </w:p>
    <w:p w14:paraId="148D12F8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rPr>
          <w:b/>
        </w:rPr>
        <w:t>响应迟滞</w:t>
      </w:r>
      <w:r>
        <w:t>：温度传感器插入深度不足（未接触物料，仅在气相区）或安装位置不当（靠近加热管，局部温度高），导致测量值滞后实际温度变化&gt;10秒，控制出现超调。</w:t>
      </w:r>
    </w:p>
    <w:p w14:paraId="314488B9">
      <w:r>
        <w:rPr>
          <w:b/>
        </w:rPr>
        <w:t>执行机构失效</w:t>
      </w:r>
    </w:p>
    <w:p w14:paraId="14510144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rPr>
          <w:b/>
        </w:rPr>
        <w:t>阀门卡滞</w:t>
      </w:r>
      <w:r>
        <w:t>：气动阀门气缸漏气（密封圈磨损，漏气量&gt;50L/min）或阀芯结垢（物料残留固化，卡涩），阀门无法全开或全关，动作时间超过正常2倍（如正常5秒，卡滞后10秒以上）。</w:t>
      </w:r>
    </w:p>
    <w:p w14:paraId="6DFF4FB9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rPr>
          <w:b/>
        </w:rPr>
        <w:t>电机损坏</w:t>
      </w:r>
      <w:r>
        <w:t>：搅拌电机或泵电机轴承磨损（游隙&gt;0.1mm）、绕组烧毁（过载或缺相运行），电机无法启动或运行异响、振动大，电流超过额定值。</w:t>
      </w:r>
    </w:p>
    <w:p w14:paraId="0E2EE7D5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rPr>
          <w:b/>
        </w:rPr>
        <w:t>计量泵故障</w:t>
      </w:r>
      <w:r>
        <w:t>：齿轮计量泵齿轮磨损（间隙增大，流量精度下降&gt;5%）或单向阀堵塞（物料颗粒卡住），导致物料输送量不足或脉动，配比误差&gt;±1%。</w:t>
      </w:r>
    </w:p>
    <w:p w14:paraId="46D06A8E">
      <w:r>
        <w:rPr>
          <w:b/>
        </w:rPr>
        <w:t>程序异常</w:t>
      </w:r>
    </w:p>
    <w:p w14:paraId="525E756C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rPr>
          <w:b/>
        </w:rPr>
        <w:t>逻辑错误</w:t>
      </w:r>
      <w:r>
        <w:t>：PLC控制程序存在缺陷（如下料阀门未关闭时启动真空系统）或联锁条件设置错误（如罐门未关紧允许启动搅拌），导致设备误动作或无法启动。</w:t>
      </w:r>
    </w:p>
    <w:p w14:paraId="7060224A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rPr>
          <w:b/>
        </w:rPr>
        <w:t>参数丢失</w:t>
      </w:r>
      <w:r>
        <w:t>：PLC电池电量耗尽（使用超过5年）或程序存储器故障，工艺参数（温度、时间、转速等）丢失，恢复出厂设置，需重新下载程序。</w:t>
      </w:r>
    </w:p>
    <w:p w14:paraId="19DF1DF4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rPr>
          <w:b/>
        </w:rPr>
        <w:t>通信故障</w:t>
      </w:r>
      <w:r>
        <w:t>：PROFINET网络线缆接触不良（水晶头氧化或松动）或交换机故障，PLC与HMI通信中断，无法监控设备状态或修改参数。</w:t>
      </w:r>
    </w:p>
    <w:p w14:paraId="72AA62C5">
      <w:pPr>
        <w:pStyle w:val="3"/>
      </w:pPr>
      <w:r>
        <w:t>六、故障诊断方法与维护对策</w:t>
      </w:r>
    </w:p>
    <w:p w14:paraId="3CED512F">
      <w:pPr>
        <w:pStyle w:val="4"/>
      </w:pPr>
      <w:r>
        <w:t>1. 真空系统故障诊断与检测技术</w:t>
      </w:r>
    </w:p>
    <w:p w14:paraId="3E8A88FC">
      <w:r>
        <w:t>真空系统故障诊断需结合真空度曲线分析、泄漏检测及泵性能测试，具体方法如下：</w:t>
      </w:r>
    </w:p>
    <w:p w14:paraId="6E3FCB7F">
      <w:r>
        <w:rPr>
          <w:b/>
        </w:rPr>
        <w:t>真空度曲线分析法</w:t>
      </w:r>
    </w:p>
    <w:p w14:paraId="2F651DC6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rPr>
          <w:b/>
        </w:rPr>
        <w:t>稳定度检测</w:t>
      </w:r>
      <w:r>
        <w:t>：启动真空系统，关闭所有阀门，记录真空度随时间变化曲线，正常情况下30分钟内压降≤5mbar；若压降&gt;10mbar，表明存在泄漏或材料放气量大。</w:t>
      </w:r>
    </w:p>
    <w:p w14:paraId="31CD35A6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rPr>
          <w:b/>
        </w:rPr>
        <w:t>恢复速度检测</w:t>
      </w:r>
      <w:r>
        <w:t>：将系统抽至极限真空度（0.1mbar）后破真空至常压，再启动抽气，记录达到1mbar所需时间，正常应&lt;5分钟；若时间延长&gt;10分钟，表明真空泵抽速下降或管路堵塞。</w:t>
      </w:r>
    </w:p>
    <w:p w14:paraId="0C540ED8">
      <w:r>
        <w:rPr>
          <w:b/>
        </w:rPr>
        <w:t>泄漏检测技术</w:t>
      </w:r>
    </w:p>
    <w:p w14:paraId="33BB918D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rPr>
          <w:b/>
        </w:rPr>
        <w:t>肥皂水检漏</w:t>
      </w:r>
      <w:r>
        <w:t>：对真空管路法兰、阀门、密封面等可疑部位涂抹肥皂水，观察是否产生气泡，适用于粗检漏（泄漏率&gt;1×10⁻⁴ Pa·m³/s），操作简单但精度低。</w:t>
      </w:r>
    </w:p>
    <w:p w14:paraId="1B4B5EAB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rPr>
          <w:b/>
        </w:rPr>
        <w:t>氦质谱检漏</w:t>
      </w:r>
      <w:r>
        <w:t>：使用氦质谱检漏仪（灵敏度1×10⁻⁹ Pa·m³/s），将氦气喷吹可疑部位，若检漏仪示值突然增大，表明存在漏点，可精确定位微小泄漏（如法兰垫片微缝、焊接砂眼）。</w:t>
      </w:r>
    </w:p>
    <w:p w14:paraId="5C474B1E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rPr>
          <w:b/>
        </w:rPr>
        <w:t>压力上升法</w:t>
      </w:r>
      <w:r>
        <w:t>：关闭真空泵及所有阀门，测量罐内压力从P1升至P2的时间t，计算泄漏率Q=V×(P2-P1)/t（V为系统容积），与允许泄漏率（&lt;1×10⁻⁶ Pa·m³/s）比较，判断是否泄漏。</w:t>
      </w:r>
    </w:p>
    <w:p w14:paraId="511EE65C">
      <w:r>
        <w:rPr>
          <w:b/>
        </w:rPr>
        <w:t>真空泵性能测试</w:t>
      </w:r>
    </w:p>
    <w:p w14:paraId="2099BC78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rPr>
          <w:b/>
        </w:rPr>
        <w:t>抽速测试</w:t>
      </w:r>
      <w:r>
        <w:t>：使用流量计测量真空泵入口抽速，与额定值比较（如双级旋片真空泵额定抽速50m³/h，实测&lt;40m³/h表明性能下降）。</w:t>
      </w:r>
    </w:p>
    <w:p w14:paraId="2BC425A3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rPr>
          <w:b/>
        </w:rPr>
        <w:t>极限真空度测试</w:t>
      </w:r>
      <w:r>
        <w:t>：拆除所有负载管路，单独测试真空泵极限真空度，应达到0.05mbar以下；若仅能达到1mbar，表明泵油污染或部件磨损，需更换泵油或维修。</w:t>
      </w:r>
    </w:p>
    <w:p w14:paraId="5DCF961A">
      <w:r>
        <w:rPr>
          <w:b/>
        </w:rPr>
        <w:t>维护对策</w:t>
      </w:r>
    </w:p>
    <w:p w14:paraId="768CA264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rPr>
          <w:b/>
        </w:rPr>
        <w:t>定期更换泵油</w:t>
      </w:r>
      <w:r>
        <w:t>：每运行500小时更换真空泵油（型号ISO VG 100专用油），换油前加热至60℃后排放，冲洗泵腔2-3次，确保清洁。</w:t>
      </w:r>
    </w:p>
    <w:p w14:paraId="45F28E03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rPr>
          <w:b/>
        </w:rPr>
        <w:t>泄漏修复</w:t>
      </w:r>
      <w:r>
        <w:t>：更换老化密封垫片（氟橡胶O型圈每6个月更换一次），焊接修补漏点，阀门内漏时研磨密封面或更换阀芯。</w:t>
      </w:r>
    </w:p>
    <w:p w14:paraId="3B1BFA1D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rPr>
          <w:b/>
        </w:rPr>
        <w:t>过滤器清洁</w:t>
      </w:r>
      <w:r>
        <w:t>：每周检查真空管路过滤器，用压缩空气反吹或更换滤芯（精度1μm），确保抽气通畅。</w:t>
      </w:r>
    </w:p>
    <w:p w14:paraId="1920248B">
      <w:pPr>
        <w:pStyle w:val="4"/>
      </w:pPr>
      <w:r>
        <w:t>2. 机械传动系统故障诊断技术</w:t>
      </w:r>
    </w:p>
    <w:p w14:paraId="7E08CB72">
      <w:r>
        <w:t>机械传动系统故障诊断采用振动分析、噪音诊断及温度监测相结合的方法：</w:t>
      </w:r>
    </w:p>
    <w:p w14:paraId="0275685E">
      <w:r>
        <w:rPr>
          <w:b/>
        </w:rPr>
        <w:t>振动分析技术</w:t>
      </w:r>
    </w:p>
    <w:p w14:paraId="1C458741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rPr>
          <w:b/>
        </w:rPr>
        <w:t>频谱分析</w:t>
      </w:r>
      <w:r>
        <w:t>：使用加速度传感器（量程0-50g，频率范围1-10000Hz）采集搅拌轴、减速机壳体振动信号，通过FFT变换得到频谱图，识别特征频率：</w:t>
      </w:r>
    </w:p>
    <w:p w14:paraId="146A8E6D">
      <w:pPr>
        <w:numPr>
          <w:ilvl w:val="1"/>
          <w:numId w:val="36"/>
        </w:numPr>
        <w:spacing w:before="0" w:beforeAutospacing="1" w:after="0" w:afterAutospacing="1"/>
        <w:ind w:left="1440" w:hanging="360"/>
      </w:pPr>
      <w:r>
        <w:t>轴承故障：滚动体通过频率（BPFO=0.6×n×D/d×(1-d²/D²×cos²α)，n为转速，D为轴承节圆直径，d为滚动体直径，α为接触角），出现该频率谐波及边频带表明轴承磨损。</w:t>
      </w:r>
    </w:p>
    <w:p w14:paraId="2E52CC90">
      <w:pPr>
        <w:numPr>
          <w:ilvl w:val="1"/>
          <w:numId w:val="36"/>
        </w:numPr>
        <w:spacing w:before="0" w:beforeAutospacing="1" w:after="0" w:afterAutospacing="1"/>
        <w:ind w:left="1440" w:hanging="360"/>
      </w:pPr>
      <w:r>
        <w:t>轴不平衡：1倍频（1×n/60）幅值增大（&gt;5mm/s²），表明搅拌轴或桨叶不平衡，需动平衡校正。</w:t>
      </w:r>
    </w:p>
    <w:p w14:paraId="2C74E2B1">
      <w:pPr>
        <w:numPr>
          <w:ilvl w:val="1"/>
          <w:numId w:val="36"/>
        </w:numPr>
        <w:spacing w:before="0" w:beforeAutospacing="1" w:after="0" w:afterAutospacing="1"/>
        <w:ind w:left="1440" w:hanging="360"/>
      </w:pPr>
      <w:r>
        <w:t>不对中：2倍频（2×n/60）幅值增大（&gt;3mm/s²），相位差180°左右，表明电机与减速机不对中，需重新找正。</w:t>
      </w:r>
    </w:p>
    <w:p w14:paraId="3268459E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rPr>
          <w:b/>
        </w:rPr>
        <w:t>时域分析</w:t>
      </w:r>
      <w:r>
        <w:t>：提取振动信号峰峰值（正常≤10mm/s²）、有效值（正常≤4.5mm/s²）等参数，超过阈值时预警，如峰峰值&gt;15mm/s²表明存在严重故障。</w:t>
      </w:r>
    </w:p>
    <w:p w14:paraId="57A2944F">
      <w:r>
        <w:rPr>
          <w:b/>
        </w:rPr>
        <w:t>噪音诊断技术</w:t>
      </w:r>
    </w:p>
    <w:p w14:paraId="11CFC60F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rPr>
          <w:b/>
        </w:rPr>
        <w:t>声压级测量</w:t>
      </w:r>
      <w:r>
        <w:t>：使用声压计（量程30-130dB，A加权）在距离设备1m处测量噪音，正常运行时声压级≤80dB(A)，超过85dB(A)表明存在异常。</w:t>
      </w:r>
    </w:p>
    <w:p w14:paraId="6FE00000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rPr>
          <w:b/>
        </w:rPr>
        <w:t>频谱分析</w:t>
      </w:r>
      <w:r>
        <w:t>：通过麦克风采集噪音信号，进行频谱分析，齿轮啮合噪声在啮合频率（f=z×n/60，z为齿数）处出现峰值，幅值&gt;10dB(A)表明齿轮磨损或安装错位；轴承噪声在滚动体通过频率处出现峰值，声压级&gt;15dB(A)需更换轴承。</w:t>
      </w:r>
    </w:p>
    <w:p w14:paraId="60D1914A">
      <w:r>
        <w:rPr>
          <w:b/>
        </w:rPr>
        <w:t>温度监测技术</w:t>
      </w:r>
    </w:p>
    <w:p w14:paraId="0243BFDB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rPr>
          <w:b/>
        </w:rPr>
        <w:t>红外测温</w:t>
      </w:r>
      <w:r>
        <w:t>：使用红外测温仪（精度±1℃）测量轴承座、减速机壳体温度，正常运行时温度≤环境温度+40℃，超过50℃表明润滑不良或内部磨损。</w:t>
      </w:r>
    </w:p>
    <w:p w14:paraId="21124EE9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rPr>
          <w:b/>
        </w:rPr>
        <w:t>热电偶监测</w:t>
      </w:r>
      <w:r>
        <w:t>：在关键轴承座安装K型热电偶（精度±0.5℃），接入PLC系统，实时监测温度，超过设定阈值（如70℃）时报警。</w:t>
      </w:r>
    </w:p>
    <w:p w14:paraId="01DA8866">
      <w:r>
        <w:rPr>
          <w:b/>
        </w:rPr>
        <w:t>维护对策</w:t>
      </w:r>
    </w:p>
    <w:p w14:paraId="2C66B8CA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rPr>
          <w:b/>
        </w:rPr>
        <w:t>轴承维护</w:t>
      </w:r>
      <w:r>
        <w:t>：每运行1000小时检查轴承润滑情况，添加锂基润滑脂（型号2#，填充量为轴承腔的1/3-1/2），轴承温度超过70℃或振动幅值&gt;10mm/s²时更换轴承。</w:t>
      </w:r>
    </w:p>
    <w:p w14:paraId="52B73D35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rPr>
          <w:b/>
        </w:rPr>
        <w:t>联轴器校准</w:t>
      </w:r>
      <w:r>
        <w:t>：电机与减速机采用激光对中仪找正，径向偏差≤0.1mm，轴向偏差≤0.05mm/m，确保不对中量在允许范围内。</w:t>
      </w:r>
    </w:p>
    <w:p w14:paraId="19766193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rPr>
          <w:b/>
        </w:rPr>
        <w:t>桨叶紧固</w:t>
      </w:r>
      <w:r>
        <w:t>：每月检查搅拌桨叶连接螺栓，采用扭矩扳手按规定扭矩（M12螺栓45-50N·m）紧固，必要时更换防松螺母。</w:t>
      </w:r>
    </w:p>
    <w:p w14:paraId="1758A27A">
      <w:pPr>
        <w:pStyle w:val="4"/>
      </w:pPr>
      <w:r>
        <w:t>3. 控制系统故障诊断与代码解读</w:t>
      </w:r>
    </w:p>
    <w:p w14:paraId="6A18D24F">
      <w:r>
        <w:t>控制系统故障诊断依赖PLC自诊断功能、故障代码及传感器校准：</w:t>
      </w:r>
    </w:p>
    <w:p w14:paraId="6B8F4EE5">
      <w:r>
        <w:rPr>
          <w:b/>
        </w:rPr>
        <w:t>PLC自诊断功能</w:t>
      </w:r>
    </w:p>
    <w:p w14:paraId="2CFC98E3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rPr>
          <w:b/>
        </w:rPr>
        <w:t>故障寄存器</w:t>
      </w:r>
      <w:r>
        <w:t>：S7-1200 PLC通过诊断缓冲区记录故障信息（如模块故障、通信错误、程序错误），可通过TIA Portal软件读取，显示故障代码、发生时间及原因，如“SF”灯亮表明系统故障，“BF”灯亮表明总线故障。</w:t>
      </w:r>
    </w:p>
    <w:p w14:paraId="3E32CDCB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rPr>
          <w:b/>
        </w:rPr>
        <w:t>输入/输出测试</w:t>
      </w:r>
      <w:r>
        <w:t>：在HMI“I/O监控”页面强制输出信号，观察执行机构动作（如强制气动阀打开信号，观察阀门是否动作），或监测输入信号变化（如手动触发限位开关，观察PLC输入点状态），判断I/O模块及接线是否正常。</w:t>
      </w:r>
    </w:p>
    <w:p w14:paraId="48C0AAB4">
      <w:r>
        <w:rPr>
          <w:b/>
        </w:rPr>
        <w:t>常见故障代码解读</w:t>
      </w:r>
    </w:p>
    <w:p w14:paraId="78C1F342">
      <w:r>
        <w:t>| 故障代码 | 描述 | 可能原因 | 排查步骤 |</w:t>
      </w:r>
    </w:p>
    <w:p w14:paraId="25A78035">
      <w:r>
        <w:t>|----------|----------------------|------------------------------|----------------------------------------------|</w:t>
      </w:r>
    </w:p>
    <w:p w14:paraId="248D0EE9">
      <w:r>
        <w:t>| E01 | 温度传感器故障 | PT100断线、短路或接线松动 | 检查传感器接线，测量电阻值（正常100-150Ω），更换传感器 |</w:t>
      </w:r>
    </w:p>
    <w:p w14:paraId="17D66EA3">
      <w:r>
        <w:t>| E02 | 真空度不达标 | 真空泵故障、管路泄漏、物料放气量大 | 检查真空泵油位及温度，氦质谱检漏，检测物料含水率 |</w:t>
      </w:r>
    </w:p>
    <w:p w14:paraId="677494F0">
      <w:r>
        <w:t>| E03 | 搅拌电机过载 | 轴承卡滞、物料粘度高、电机故障 | 测量电机电流，检查轴承温度，检测物料粘度 |</w:t>
      </w:r>
    </w:p>
    <w:p w14:paraId="79BCE0D7">
      <w:r>
        <w:t>| E04 | 加热管故障 | 加热管断路、固态继电器粘连 | 测量加热管电阻（正常几十欧姆），检查SSR输出状态 |</w:t>
      </w:r>
    </w:p>
    <w:p w14:paraId="3E4E9CC9">
      <w:r>
        <w:t>| E05 | 通信故障 | 网线松动、交换机故障、IP冲突 | 检查网络连接，ping测试PLC与HMI通信，检查IP地址 |</w:t>
      </w:r>
    </w:p>
    <w:p w14:paraId="102A7E2B">
      <w:r>
        <w:rPr>
          <w:b/>
        </w:rPr>
        <w:t>传感器校准</w:t>
      </w:r>
    </w:p>
    <w:p w14:paraId="50752347">
      <w:pPr>
        <w:numPr>
          <w:ilvl w:val="0"/>
          <w:numId w:val="41"/>
        </w:numPr>
        <w:spacing w:before="0" w:beforeAutospacing="1" w:after="0" w:afterAutospacing="1"/>
        <w:ind w:left="720" w:hanging="360"/>
      </w:pPr>
      <w:r>
        <w:rPr>
          <w:b/>
        </w:rPr>
        <w:t>温度传感器校准</w:t>
      </w:r>
      <w:r>
        <w:t>：采用恒温油浴（精度±0.1℃），将PT100传感器放入不同温度点（如40℃、50℃、60℃），记录PLC显示值与实际值偏差，通过PLC校准功能修正（如显示40.5℃实际40℃，修正-0.5℃）。</w:t>
      </w:r>
    </w:p>
    <w:p w14:paraId="7DA8A916">
      <w:pPr>
        <w:numPr>
          <w:ilvl w:val="0"/>
          <w:numId w:val="41"/>
        </w:numPr>
        <w:spacing w:before="0" w:beforeAutospacing="1" w:after="0" w:afterAutospacing="1"/>
        <w:ind w:left="720" w:hanging="360"/>
      </w:pPr>
      <w:r>
        <w:rPr>
          <w:b/>
        </w:rPr>
        <w:t>真空度传感器校准</w:t>
      </w:r>
      <w:r>
        <w:t>：使用真空校准仪（量程10⁻³-1000mbar，精度±0.5%），在3个以上校准点（如1000mbar、100mbar、10mbar）进行校准，调整传感器零点与量程，确保误差≤±1%FS。</w:t>
      </w:r>
    </w:p>
    <w:p w14:paraId="17A47680">
      <w:r>
        <w:rPr>
          <w:b/>
        </w:rPr>
        <w:t>维护对策</w:t>
      </w:r>
    </w:p>
    <w:p w14:paraId="1ACECA9E">
      <w:pPr>
        <w:numPr>
          <w:ilvl w:val="0"/>
          <w:numId w:val="42"/>
        </w:numPr>
        <w:spacing w:before="0" w:beforeAutospacing="1" w:after="0" w:afterAutospacing="1"/>
        <w:ind w:left="720" w:hanging="360"/>
      </w:pPr>
      <w:r>
        <w:rPr>
          <w:b/>
        </w:rPr>
        <w:t>程序备份</w:t>
      </w:r>
      <w:r>
        <w:t>：定期（每季度）备份PLC程序及HMI组态文件，存储在U盘或服务器，防止程序丢失。</w:t>
      </w:r>
    </w:p>
    <w:p w14:paraId="2AF48289">
      <w:pPr>
        <w:numPr>
          <w:ilvl w:val="0"/>
          <w:numId w:val="42"/>
        </w:numPr>
        <w:spacing w:before="0" w:beforeAutospacing="1" w:after="0" w:afterAutospacing="1"/>
        <w:ind w:left="720" w:hanging="360"/>
      </w:pPr>
      <w:r>
        <w:rPr>
          <w:b/>
        </w:rPr>
        <w:t>接线检查</w:t>
      </w:r>
      <w:r>
        <w:t>：每半年检查传感器、执行机构接线端子，紧固松动螺栓，更换老化线缆（绝缘层开裂或变色）。</w:t>
      </w:r>
    </w:p>
    <w:p w14:paraId="501DB2A0">
      <w:pPr>
        <w:numPr>
          <w:ilvl w:val="0"/>
          <w:numId w:val="42"/>
        </w:numPr>
        <w:spacing w:before="0" w:beforeAutospacing="1" w:after="0" w:afterAutospacing="1"/>
        <w:ind w:left="720" w:hanging="360"/>
      </w:pPr>
      <w:r>
        <w:rPr>
          <w:b/>
        </w:rPr>
        <w:t>模块维护</w:t>
      </w:r>
      <w:r>
        <w:t>：定期清洁PLC及I/O模块灰尘（用压缩空气吹扫），检查模块指示灯状态，故障模块及时更换。</w:t>
      </w:r>
    </w:p>
    <w:p w14:paraId="714C86B9">
      <w:pPr>
        <w:pStyle w:val="4"/>
      </w:pPr>
      <w:r>
        <w:t>4. 预防性维护策略与保养计划</w:t>
      </w:r>
    </w:p>
    <w:p w14:paraId="08568561">
      <w:r>
        <w:t>制定系统的预防性维护计划，可显著降低故障发生率，延长设备寿命：</w:t>
      </w:r>
    </w:p>
    <w:p w14:paraId="75DE42D7">
      <w:r>
        <w:rPr>
          <w:b/>
        </w:rPr>
        <w:t>日常检查（每班）</w:t>
      </w:r>
    </w:p>
    <w:p w14:paraId="723F68A7">
      <w:pPr>
        <w:numPr>
          <w:ilvl w:val="0"/>
          <w:numId w:val="43"/>
        </w:numPr>
        <w:spacing w:before="0" w:beforeAutospacing="1" w:after="0" w:afterAutospacing="1"/>
        <w:ind w:left="720" w:hanging="360"/>
      </w:pPr>
      <w:r>
        <w:rPr>
          <w:b/>
        </w:rPr>
        <w:t>运行参数检查</w:t>
      </w:r>
      <w:r>
        <w:t>：记录罐内温度（45±1℃）、真空度（0.1-5mbar）、搅拌转速（5-30rpm）及电机电流，偏差超过允许范围时及时调整。</w:t>
      </w:r>
    </w:p>
    <w:p w14:paraId="7AD7A8D9">
      <w:pPr>
        <w:numPr>
          <w:ilvl w:val="0"/>
          <w:numId w:val="43"/>
        </w:numPr>
        <w:spacing w:before="0" w:beforeAutospacing="1" w:after="0" w:afterAutospacing="1"/>
        <w:ind w:left="720" w:hanging="360"/>
      </w:pPr>
      <w:r>
        <w:rPr>
          <w:b/>
        </w:rPr>
        <w:t>设备状态检查</w:t>
      </w:r>
      <w:r>
        <w:t>：观察搅拌系统有无异响、振动，真空系统有无泄漏（真空度稳定），加热系统温度均匀性（温差≤2℃），阀门动作是否灵活。</w:t>
      </w:r>
    </w:p>
    <w:p w14:paraId="6A72921B">
      <w:pPr>
        <w:numPr>
          <w:ilvl w:val="0"/>
          <w:numId w:val="43"/>
        </w:numPr>
        <w:spacing w:before="0" w:beforeAutospacing="1" w:after="0" w:afterAutospacing="1"/>
        <w:ind w:left="720" w:hanging="360"/>
      </w:pPr>
      <w:r>
        <w:rPr>
          <w:b/>
        </w:rPr>
        <w:t>安全装置检查</w:t>
      </w:r>
      <w:r>
        <w:t>：确认急停按钮、罐门联锁、超温报警等安全装置功能正常，防护罩完好。</w:t>
      </w:r>
    </w:p>
    <w:p w14:paraId="6697100D">
      <w:r>
        <w:rPr>
          <w:b/>
        </w:rPr>
        <w:t>每周维护</w:t>
      </w:r>
    </w:p>
    <w:p w14:paraId="0AEF64B9">
      <w:pPr>
        <w:numPr>
          <w:ilvl w:val="0"/>
          <w:numId w:val="44"/>
        </w:numPr>
        <w:spacing w:before="0" w:beforeAutospacing="1" w:after="0" w:afterAutospacing="1"/>
        <w:ind w:left="720" w:hanging="360"/>
      </w:pPr>
      <w:r>
        <w:rPr>
          <w:b/>
        </w:rPr>
        <w:t>真空泵维护</w:t>
      </w:r>
      <w:r>
        <w:t>：检查真空泵油位（在油窗1/2-2/3处）、油色（透明淡黄色，无浑浊或乳化），排放泵体冷凝水，清洗进气过滤器。</w:t>
      </w:r>
    </w:p>
    <w:p w14:paraId="38493050">
      <w:pPr>
        <w:numPr>
          <w:ilvl w:val="0"/>
          <w:numId w:val="44"/>
        </w:numPr>
        <w:spacing w:before="0" w:beforeAutospacing="1" w:after="0" w:afterAutospacing="1"/>
        <w:ind w:left="720" w:hanging="360"/>
      </w:pPr>
      <w:r>
        <w:rPr>
          <w:b/>
        </w:rPr>
        <w:t>过滤器清洁</w:t>
      </w:r>
      <w:r>
        <w:t>：拆卸真空管路过滤器，用压缩空气反吹滤芯，清除粉尘和油污，必要时更换滤芯。</w:t>
      </w:r>
    </w:p>
    <w:p w14:paraId="00354C39">
      <w:pPr>
        <w:numPr>
          <w:ilvl w:val="0"/>
          <w:numId w:val="44"/>
        </w:numPr>
        <w:spacing w:before="0" w:beforeAutospacing="1" w:after="0" w:afterAutospacing="1"/>
        <w:ind w:left="720" w:hanging="360"/>
      </w:pPr>
      <w:r>
        <w:rPr>
          <w:b/>
        </w:rPr>
        <w:t>润滑检查</w:t>
      </w:r>
      <w:r>
        <w:t>：检查搅拌轴轴承、螺旋提料器轴承润滑脂液位，添加润滑脂（锂基2#）。</w:t>
      </w:r>
    </w:p>
    <w:p w14:paraId="20BB0AED">
      <w:r>
        <w:rPr>
          <w:b/>
        </w:rPr>
        <w:t>每月维护</w:t>
      </w:r>
    </w:p>
    <w:p w14:paraId="2E982C0D">
      <w:pPr>
        <w:numPr>
          <w:ilvl w:val="0"/>
          <w:numId w:val="45"/>
        </w:numPr>
        <w:spacing w:before="0" w:beforeAutospacing="1" w:after="0" w:afterAutospacing="1"/>
        <w:ind w:left="720" w:hanging="360"/>
      </w:pPr>
      <w:r>
        <w:rPr>
          <w:b/>
        </w:rPr>
        <w:t>传感器校准</w:t>
      </w:r>
      <w:r>
        <w:t>：校准温度传感器（PT100）、真空度传感器，确保测量精度；检查压力传感器、液位传感器零点，必要时调整。</w:t>
      </w:r>
    </w:p>
    <w:p w14:paraId="7B8EFB07">
      <w:pPr>
        <w:numPr>
          <w:ilvl w:val="0"/>
          <w:numId w:val="45"/>
        </w:numPr>
        <w:spacing w:before="0" w:beforeAutospacing="1" w:after="0" w:afterAutospacing="1"/>
        <w:ind w:left="720" w:hanging="360"/>
      </w:pPr>
      <w:r>
        <w:rPr>
          <w:b/>
        </w:rPr>
        <w:t>阀门维护</w:t>
      </w:r>
      <w:r>
        <w:t>：手动操作各气动阀门，检查动作灵活性，对阀芯、阀座进行清洁（用无水乙醇擦拭），更换老化密封圈（氟橡胶O型圈）。</w:t>
      </w:r>
    </w:p>
    <w:p w14:paraId="7F485365">
      <w:pPr>
        <w:numPr>
          <w:ilvl w:val="0"/>
          <w:numId w:val="45"/>
        </w:numPr>
        <w:spacing w:before="0" w:beforeAutospacing="1" w:after="0" w:afterAutospacing="1"/>
        <w:ind w:left="720" w:hanging="360"/>
      </w:pPr>
      <w:r>
        <w:rPr>
          <w:b/>
        </w:rPr>
        <w:t>搅拌系统检查</w:t>
      </w:r>
      <w:r>
        <w:t>：检查搅拌桨叶与轴连接螺栓紧固情况，测量搅拌轴径向跳动（≤0.5mm/m），必要时紧固或校正。</w:t>
      </w:r>
    </w:p>
    <w:p w14:paraId="73030B32">
      <w:r>
        <w:rPr>
          <w:b/>
        </w:rPr>
        <w:t>每季度维护</w:t>
      </w:r>
    </w:p>
    <w:p w14:paraId="160E86D4">
      <w:pPr>
        <w:numPr>
          <w:ilvl w:val="0"/>
          <w:numId w:val="46"/>
        </w:numPr>
        <w:spacing w:before="0" w:beforeAutospacing="1" w:after="0" w:afterAutospacing="1"/>
        <w:ind w:left="720" w:hanging="360"/>
      </w:pPr>
      <w:r>
        <w:rPr>
          <w:b/>
        </w:rPr>
        <w:t>加热系统检查</w:t>
      </w:r>
      <w:r>
        <w:t>：检查夹套导热油液位（膨胀罐液位1/2-2/3）、油质（无沉淀、变色），取样检测粘度（40℃≤32cSt）、水分（≤0.05%），超标时更换导热油。</w:t>
      </w:r>
    </w:p>
    <w:p w14:paraId="570AEE78">
      <w:pPr>
        <w:numPr>
          <w:ilvl w:val="0"/>
          <w:numId w:val="46"/>
        </w:numPr>
        <w:spacing w:before="0" w:beforeAutospacing="1" w:after="0" w:afterAutospacing="1"/>
        <w:ind w:left="720" w:hanging="360"/>
      </w:pPr>
      <w:r>
        <w:rPr>
          <w:b/>
        </w:rPr>
        <w:t>电气系统检查</w:t>
      </w:r>
      <w:r>
        <w:t>：检查PLC、HMI、变频器等电气设备接线端子有无松动、过热痕迹，测量绝缘电阻（动力回路≥1MΩ，控制回路≥0.5MΩ）。</w:t>
      </w:r>
    </w:p>
    <w:p w14:paraId="13FA32E5">
      <w:pPr>
        <w:numPr>
          <w:ilvl w:val="0"/>
          <w:numId w:val="46"/>
        </w:numPr>
        <w:spacing w:before="0" w:beforeAutospacing="1" w:after="0" w:afterAutospacing="1"/>
        <w:ind w:left="720" w:hanging="360"/>
      </w:pPr>
      <w:r>
        <w:rPr>
          <w:b/>
        </w:rPr>
        <w:t>机械部件检查</w:t>
      </w:r>
      <w:r>
        <w:t>：检查减速机油位（油窗1/2处），更换齿轮油（N320极压齿轮油）；检查螺旋提料器螺旋叶片磨损情况，必要时修复或更换。</w:t>
      </w:r>
    </w:p>
    <w:p w14:paraId="35D3CF7E">
      <w:r>
        <w:rPr>
          <w:b/>
        </w:rPr>
        <w:t>年度大修</w:t>
      </w:r>
    </w:p>
    <w:p w14:paraId="08D16A8B">
      <w:pPr>
        <w:numPr>
          <w:ilvl w:val="0"/>
          <w:numId w:val="47"/>
        </w:numPr>
        <w:spacing w:before="0" w:beforeAutospacing="1" w:after="0" w:afterAutospacing="1"/>
        <w:ind w:left="720" w:hanging="360"/>
      </w:pPr>
      <w:r>
        <w:rPr>
          <w:b/>
        </w:rPr>
        <w:t>罐体检查</w:t>
      </w:r>
      <w:r>
        <w:t>：内窥镜检查罐体内壁有无腐蚀、划痕，测量壁厚（最小≥8mm），镜面抛光修复（Ra≤0.8μm）。</w:t>
      </w:r>
    </w:p>
    <w:p w14:paraId="5033BDBA">
      <w:pPr>
        <w:numPr>
          <w:ilvl w:val="0"/>
          <w:numId w:val="47"/>
        </w:numPr>
        <w:spacing w:before="0" w:beforeAutospacing="1" w:after="0" w:afterAutospacing="1"/>
        <w:ind w:left="720" w:hanging="360"/>
      </w:pPr>
      <w:r>
        <w:rPr>
          <w:b/>
        </w:rPr>
        <w:t>传动系统解体</w:t>
      </w:r>
      <w:r>
        <w:t>：拆卸搅拌轴、轴承、联轴器，检查各部件磨损情况，更换轴承、密封件等易损件，重新装配后进行动平衡校正。</w:t>
      </w:r>
    </w:p>
    <w:p w14:paraId="16E8D3B8">
      <w:pPr>
        <w:numPr>
          <w:ilvl w:val="0"/>
          <w:numId w:val="47"/>
        </w:numPr>
        <w:spacing w:before="0" w:beforeAutospacing="1" w:after="0" w:afterAutospacing="1"/>
        <w:ind w:left="720" w:hanging="360"/>
      </w:pPr>
      <w:r>
        <w:rPr>
          <w:b/>
        </w:rPr>
        <w:t>控制系统升级</w:t>
      </w:r>
      <w:r>
        <w:t>：检查PLC程序逻辑，优化控制参数（如PID参数），更新HMI软件，确保系统稳定运行。</w:t>
      </w:r>
    </w:p>
    <w:p w14:paraId="25D32991">
      <w:r>
        <w:rPr>
          <w:b/>
        </w:rPr>
        <w:t>应急处理方案</w:t>
      </w:r>
    </w:p>
    <w:p w14:paraId="0498CBD2">
      <w:pPr>
        <w:numPr>
          <w:ilvl w:val="0"/>
          <w:numId w:val="48"/>
        </w:numPr>
        <w:spacing w:before="0" w:beforeAutospacing="1" w:after="0" w:afterAutospacing="1"/>
        <w:ind w:left="720" w:hanging="360"/>
      </w:pPr>
      <w:r>
        <w:rPr>
          <w:b/>
        </w:rPr>
        <w:t>突然停电</w:t>
      </w:r>
      <w:r>
        <w:t>：立即关闭所有阀门，防止物料倒流；记录当前工艺参数，来电后检查设备状态，确认无异常后按原工艺继续。</w:t>
      </w:r>
    </w:p>
    <w:p w14:paraId="3EBA1BF1">
      <w:pPr>
        <w:numPr>
          <w:ilvl w:val="0"/>
          <w:numId w:val="48"/>
        </w:numPr>
        <w:spacing w:before="0" w:beforeAutospacing="1" w:after="0" w:afterAutospacing="1"/>
        <w:ind w:left="720" w:hanging="360"/>
      </w:pPr>
      <w:r>
        <w:rPr>
          <w:b/>
        </w:rPr>
        <w:t>真空系统失效</w:t>
      </w:r>
      <w:r>
        <w:t>：启动备用真空系统，若仍无法达到真空度，停止脱气，将物料保温（45℃），分析原因并修复，物料停留时间不超过2小时，防止提前固化。</w:t>
      </w:r>
    </w:p>
    <w:p w14:paraId="0BC47D06">
      <w:pPr>
        <w:numPr>
          <w:ilvl w:val="0"/>
          <w:numId w:val="48"/>
        </w:numPr>
        <w:spacing w:before="0" w:beforeAutospacing="1" w:after="0" w:afterAutospacing="1"/>
        <w:ind w:left="720" w:hanging="360"/>
      </w:pPr>
      <w:r>
        <w:rPr>
          <w:b/>
        </w:rPr>
        <w:t>泄漏事故</w:t>
      </w:r>
      <w:r>
        <w:t>：立即停止进料，切断加热电源，启动通风系统，穿戴防护用品清理泄漏物料，检查泄漏点并修复，确认安全后重启。</w:t>
      </w:r>
    </w:p>
    <w:p w14:paraId="381A82A5">
      <w:r>
        <w:rPr>
          <w:b/>
        </w:rPr>
        <w:t>维护记录与文档</w:t>
      </w:r>
    </w:p>
    <w:p w14:paraId="260CD3B9">
      <w:r>
        <w:t>建立设备维护档案，记录每次检查、维护及故障处理情况，包括日期、维护内容、更换部件型号、参数调整等，定期分析维护记录，优化维护周期和策略，确保备料罐长期稳定运行。</w:t>
      </w:r>
    </w:p>
    <w:p w14:paraId="48EDC644">
      <w:pPr>
        <w:pStyle w:val="31"/>
        <w:bidi w:val="0"/>
        <w:rPr>
          <w:rFonts w:hint="eastAsia"/>
          <w:lang w:val="en-US" w:eastAsia="zh-CN"/>
        </w:rPr>
      </w:pPr>
    </w:p>
    <w:bookmarkEnd w:id="0"/>
    <w:bookmarkEnd w:id="1"/>
    <w:sectPr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Cambria">
    <w:altName w:val="Georgia"/>
    <w:panose1 w:val="02040503050406030204"/>
    <w:charset w:val="86"/>
    <w:family w:val="auto"/>
    <w:pitch w:val="default"/>
    <w:sig w:usb0="00000000" w:usb1="00000000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pperplate">
    <w:altName w:val="仓耳屏显楷体 W04"/>
    <w:panose1 w:val="02000504000000020004"/>
    <w:charset w:val="00"/>
    <w:family w:val="auto"/>
    <w:pitch w:val="default"/>
    <w:sig w:usb0="00000000" w:usb1="00000000" w:usb2="00000000" w:usb3="00000000" w:csb0="20000111" w:csb1="40000000"/>
  </w:font>
  <w:font w:name="仓耳屏显楷体 W04">
    <w:panose1 w:val="02020400000000000000"/>
    <w:charset w:val="86"/>
    <w:family w:val="auto"/>
    <w:pitch w:val="default"/>
    <w:sig w:usb0="80000003" w:usb1="08012000" w:usb2="00000012" w:usb3="00000000" w:csb0="00040001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3AE294"/>
    <w:multiLevelType w:val="singleLevel"/>
    <w:tmpl w:val="8B3AE29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9F75CFCB"/>
    <w:multiLevelType w:val="multilevel"/>
    <w:tmpl w:val="9F75CFC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2">
    <w:nsid w:val="A7E456F9"/>
    <w:multiLevelType w:val="singleLevel"/>
    <w:tmpl w:val="A7E456F9"/>
    <w:lvl w:ilvl="0" w:tentative="0">
      <w:start w:val="1"/>
      <w:numFmt w:val="decimal"/>
      <w:pStyle w:val="37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3">
    <w:nsid w:val="A7FE9B62"/>
    <w:multiLevelType w:val="singleLevel"/>
    <w:tmpl w:val="A7FE9B6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AFB733C4"/>
    <w:multiLevelType w:val="singleLevel"/>
    <w:tmpl w:val="AFB733C4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5">
    <w:nsid w:val="B1B9B92F"/>
    <w:multiLevelType w:val="singleLevel"/>
    <w:tmpl w:val="B1B9B92F"/>
    <w:lvl w:ilvl="0" w:tentative="0">
      <w:start w:val="1"/>
      <w:numFmt w:val="bullet"/>
      <w:pStyle w:val="15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6">
    <w:nsid w:val="B7BA28C9"/>
    <w:multiLevelType w:val="singleLevel"/>
    <w:tmpl w:val="B7BA28C9"/>
    <w:lvl w:ilvl="0" w:tentative="0">
      <w:start w:val="1"/>
      <w:numFmt w:val="decimal"/>
      <w:pStyle w:val="28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7">
    <w:nsid w:val="BDBF1A45"/>
    <w:multiLevelType w:val="singleLevel"/>
    <w:tmpl w:val="BDBF1A4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BECD47B1"/>
    <w:multiLevelType w:val="singleLevel"/>
    <w:tmpl w:val="BECD47B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">
    <w:nsid w:val="BF1EEA36"/>
    <w:multiLevelType w:val="singleLevel"/>
    <w:tmpl w:val="BF1EEA3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">
    <w:nsid w:val="BFD73D2D"/>
    <w:multiLevelType w:val="singleLevel"/>
    <w:tmpl w:val="BFD73D2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">
    <w:nsid w:val="BFF71BD1"/>
    <w:multiLevelType w:val="singleLevel"/>
    <w:tmpl w:val="BFF71BD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2">
    <w:nsid w:val="D6CFEF1E"/>
    <w:multiLevelType w:val="singleLevel"/>
    <w:tmpl w:val="D6CFEF1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3">
    <w:nsid w:val="D7BDF08F"/>
    <w:multiLevelType w:val="singleLevel"/>
    <w:tmpl w:val="D7BDF08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4">
    <w:nsid w:val="D9BC35F7"/>
    <w:multiLevelType w:val="singleLevel"/>
    <w:tmpl w:val="D9BC35F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5">
    <w:nsid w:val="D9FABCB7"/>
    <w:multiLevelType w:val="singleLevel"/>
    <w:tmpl w:val="D9FABCB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6">
    <w:nsid w:val="DDCCBC69"/>
    <w:multiLevelType w:val="singleLevel"/>
    <w:tmpl w:val="DDCCBC6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7">
    <w:nsid w:val="E7959BD4"/>
    <w:multiLevelType w:val="singleLevel"/>
    <w:tmpl w:val="E7959BD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8">
    <w:nsid w:val="EEFB0250"/>
    <w:multiLevelType w:val="singleLevel"/>
    <w:tmpl w:val="EEFB025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9">
    <w:nsid w:val="EEFEB756"/>
    <w:multiLevelType w:val="singleLevel"/>
    <w:tmpl w:val="EEFEB75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0">
    <w:nsid w:val="F47960A0"/>
    <w:multiLevelType w:val="singleLevel"/>
    <w:tmpl w:val="F47960A0"/>
    <w:lvl w:ilvl="0" w:tentative="0">
      <w:start w:val="1"/>
      <w:numFmt w:val="decimal"/>
      <w:pStyle w:val="22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21">
    <w:nsid w:val="F5FFB0D3"/>
    <w:multiLevelType w:val="singleLevel"/>
    <w:tmpl w:val="F5FFB0D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2">
    <w:nsid w:val="F77B162B"/>
    <w:multiLevelType w:val="singleLevel"/>
    <w:tmpl w:val="F77B162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3">
    <w:nsid w:val="FCE5C522"/>
    <w:multiLevelType w:val="singleLevel"/>
    <w:tmpl w:val="FCE5C52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4">
    <w:nsid w:val="FDAC8667"/>
    <w:multiLevelType w:val="singleLevel"/>
    <w:tmpl w:val="FDAC866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5">
    <w:nsid w:val="FDEE5B28"/>
    <w:multiLevelType w:val="singleLevel"/>
    <w:tmpl w:val="FDEE5B2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6">
    <w:nsid w:val="FDFC895C"/>
    <w:multiLevelType w:val="singleLevel"/>
    <w:tmpl w:val="FDFC895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7">
    <w:nsid w:val="FEB58EF3"/>
    <w:multiLevelType w:val="singleLevel"/>
    <w:tmpl w:val="FEB58EF3"/>
    <w:lvl w:ilvl="0" w:tentative="0">
      <w:start w:val="1"/>
      <w:numFmt w:val="bullet"/>
      <w:pStyle w:val="18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28">
    <w:nsid w:val="FEEFF1FE"/>
    <w:multiLevelType w:val="singleLevel"/>
    <w:tmpl w:val="FEEFF1F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9">
    <w:nsid w:val="FF764200"/>
    <w:multiLevelType w:val="singleLevel"/>
    <w:tmpl w:val="FF76420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0">
    <w:nsid w:val="FF9BA098"/>
    <w:multiLevelType w:val="singleLevel"/>
    <w:tmpl w:val="FF9BA098"/>
    <w:lvl w:ilvl="0" w:tentative="0">
      <w:start w:val="1"/>
      <w:numFmt w:val="bullet"/>
      <w:pStyle w:val="26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31">
    <w:nsid w:val="FFA86893"/>
    <w:multiLevelType w:val="singleLevel"/>
    <w:tmpl w:val="FFA86893"/>
    <w:lvl w:ilvl="0" w:tentative="0">
      <w:start w:val="1"/>
      <w:numFmt w:val="bullet"/>
      <w:pStyle w:val="2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32">
    <w:nsid w:val="FFF9DAC3"/>
    <w:multiLevelType w:val="singleLevel"/>
    <w:tmpl w:val="FFF9DAC3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3">
    <w:nsid w:val="FFFC268A"/>
    <w:multiLevelType w:val="singleLevel"/>
    <w:tmpl w:val="FFFC268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4">
    <w:nsid w:val="052FBF93"/>
    <w:multiLevelType w:val="singleLevel"/>
    <w:tmpl w:val="052FBF93"/>
    <w:lvl w:ilvl="0" w:tentative="0">
      <w:start w:val="1"/>
      <w:numFmt w:val="decimal"/>
      <w:pStyle w:val="1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35">
    <w:nsid w:val="1FFE05E1"/>
    <w:multiLevelType w:val="singleLevel"/>
    <w:tmpl w:val="1FFE05E1"/>
    <w:lvl w:ilvl="0" w:tentative="0">
      <w:start w:val="1"/>
      <w:numFmt w:val="bullet"/>
      <w:pStyle w:val="24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6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黑体" w:hAnsi="黑体" w:eastAsia="黑体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37">
    <w:nsid w:val="3FB36CF2"/>
    <w:multiLevelType w:val="singleLevel"/>
    <w:tmpl w:val="3FB36CF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8">
    <w:nsid w:val="565C53FD"/>
    <w:multiLevelType w:val="singleLevel"/>
    <w:tmpl w:val="565C53F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9">
    <w:nsid w:val="577B2ADD"/>
    <w:multiLevelType w:val="singleLevel"/>
    <w:tmpl w:val="577B2AD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0">
    <w:nsid w:val="57FFBA0D"/>
    <w:multiLevelType w:val="singleLevel"/>
    <w:tmpl w:val="57FFBA0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1">
    <w:nsid w:val="5DFDD894"/>
    <w:multiLevelType w:val="singleLevel"/>
    <w:tmpl w:val="5DFDD89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2">
    <w:nsid w:val="6FBB8C2E"/>
    <w:multiLevelType w:val="singleLevel"/>
    <w:tmpl w:val="6FBB8C2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3">
    <w:nsid w:val="6FFE7285"/>
    <w:multiLevelType w:val="singleLevel"/>
    <w:tmpl w:val="6FFE7285"/>
    <w:lvl w:ilvl="0" w:tentative="0">
      <w:start w:val="1"/>
      <w:numFmt w:val="bullet"/>
      <w:pStyle w:val="21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44">
    <w:nsid w:val="73FEFC0A"/>
    <w:multiLevelType w:val="singleLevel"/>
    <w:tmpl w:val="73FEFC0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5">
    <w:nsid w:val="77BE37FF"/>
    <w:multiLevelType w:val="singleLevel"/>
    <w:tmpl w:val="77BE37F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6">
    <w:nsid w:val="7EFB0518"/>
    <w:multiLevelType w:val="singleLevel"/>
    <w:tmpl w:val="7EFB0518"/>
    <w:lvl w:ilvl="0" w:tentative="0">
      <w:start w:val="1"/>
      <w:numFmt w:val="decimal"/>
      <w:pStyle w:val="13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7">
    <w:nsid w:val="7FFFE2E9"/>
    <w:multiLevelType w:val="singleLevel"/>
    <w:tmpl w:val="7FFFE2E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36"/>
  </w:num>
  <w:num w:numId="2">
    <w:abstractNumId w:val="46"/>
  </w:num>
  <w:num w:numId="3">
    <w:abstractNumId w:val="5"/>
  </w:num>
  <w:num w:numId="4">
    <w:abstractNumId w:val="34"/>
  </w:num>
  <w:num w:numId="5">
    <w:abstractNumId w:val="27"/>
  </w:num>
  <w:num w:numId="6">
    <w:abstractNumId w:val="43"/>
  </w:num>
  <w:num w:numId="7">
    <w:abstractNumId w:val="20"/>
  </w:num>
  <w:num w:numId="8">
    <w:abstractNumId w:val="35"/>
  </w:num>
  <w:num w:numId="9">
    <w:abstractNumId w:val="30"/>
  </w:num>
  <w:num w:numId="10">
    <w:abstractNumId w:val="31"/>
  </w:num>
  <w:num w:numId="11">
    <w:abstractNumId w:val="6"/>
  </w:num>
  <w:num w:numId="12">
    <w:abstractNumId w:val="2"/>
  </w:num>
  <w:num w:numId="13">
    <w:abstractNumId w:val="47"/>
  </w:num>
  <w:num w:numId="14">
    <w:abstractNumId w:val="17"/>
  </w:num>
  <w:num w:numId="15">
    <w:abstractNumId w:val="4"/>
  </w:num>
  <w:num w:numId="16">
    <w:abstractNumId w:val="23"/>
  </w:num>
  <w:num w:numId="17">
    <w:abstractNumId w:val="22"/>
  </w:num>
  <w:num w:numId="18">
    <w:abstractNumId w:val="14"/>
  </w:num>
  <w:num w:numId="19">
    <w:abstractNumId w:val="32"/>
  </w:num>
  <w:num w:numId="20">
    <w:abstractNumId w:val="37"/>
  </w:num>
  <w:num w:numId="21">
    <w:abstractNumId w:val="26"/>
  </w:num>
  <w:num w:numId="22">
    <w:abstractNumId w:val="18"/>
  </w:num>
  <w:num w:numId="23">
    <w:abstractNumId w:val="7"/>
  </w:num>
  <w:num w:numId="24">
    <w:abstractNumId w:val="0"/>
  </w:num>
  <w:num w:numId="25">
    <w:abstractNumId w:val="19"/>
  </w:num>
  <w:num w:numId="26">
    <w:abstractNumId w:val="45"/>
  </w:num>
  <w:num w:numId="27">
    <w:abstractNumId w:val="33"/>
  </w:num>
  <w:num w:numId="28">
    <w:abstractNumId w:val="24"/>
  </w:num>
  <w:num w:numId="29">
    <w:abstractNumId w:val="9"/>
  </w:num>
  <w:num w:numId="30">
    <w:abstractNumId w:val="12"/>
  </w:num>
  <w:num w:numId="31">
    <w:abstractNumId w:val="13"/>
  </w:num>
  <w:num w:numId="32">
    <w:abstractNumId w:val="38"/>
  </w:num>
  <w:num w:numId="33">
    <w:abstractNumId w:val="3"/>
  </w:num>
  <w:num w:numId="34">
    <w:abstractNumId w:val="8"/>
  </w:num>
  <w:num w:numId="35">
    <w:abstractNumId w:val="44"/>
  </w:num>
  <w:num w:numId="36">
    <w:abstractNumId w:val="1"/>
  </w:num>
  <w:num w:numId="37">
    <w:abstractNumId w:val="11"/>
  </w:num>
  <w:num w:numId="38">
    <w:abstractNumId w:val="28"/>
  </w:num>
  <w:num w:numId="39">
    <w:abstractNumId w:val="41"/>
  </w:num>
  <w:num w:numId="40">
    <w:abstractNumId w:val="42"/>
  </w:num>
  <w:num w:numId="41">
    <w:abstractNumId w:val="40"/>
  </w:num>
  <w:num w:numId="42">
    <w:abstractNumId w:val="21"/>
  </w:num>
  <w:num w:numId="43">
    <w:abstractNumId w:val="10"/>
  </w:num>
  <w:num w:numId="44">
    <w:abstractNumId w:val="29"/>
  </w:num>
  <w:num w:numId="45">
    <w:abstractNumId w:val="25"/>
  </w:num>
  <w:num w:numId="46">
    <w:abstractNumId w:val="16"/>
  </w:num>
  <w:num w:numId="47">
    <w:abstractNumId w:val="39"/>
  </w:num>
  <w:num w:numId="4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OTgxM2RjOGM4NmFhZTkyOTlkMmE4MWQ0Zjg2YjZhY2IifQ=="/>
  </w:docVars>
  <w:rsids>
    <w:rsidRoot w:val="00000000"/>
    <w:rsid w:val="01503613"/>
    <w:rsid w:val="0E925DBF"/>
    <w:rsid w:val="0FE732EF"/>
    <w:rsid w:val="15205ED3"/>
    <w:rsid w:val="17872A04"/>
    <w:rsid w:val="18A902D0"/>
    <w:rsid w:val="1A442B9B"/>
    <w:rsid w:val="1A5F56EF"/>
    <w:rsid w:val="1E896318"/>
    <w:rsid w:val="1F4965EB"/>
    <w:rsid w:val="25C83238"/>
    <w:rsid w:val="26CA0473"/>
    <w:rsid w:val="2B924E09"/>
    <w:rsid w:val="2CE307C7"/>
    <w:rsid w:val="2F436F36"/>
    <w:rsid w:val="31994BEB"/>
    <w:rsid w:val="3FEA17AB"/>
    <w:rsid w:val="3FF2F4D6"/>
    <w:rsid w:val="410B542B"/>
    <w:rsid w:val="41A71B16"/>
    <w:rsid w:val="427B35B9"/>
    <w:rsid w:val="435B43F6"/>
    <w:rsid w:val="45B00A41"/>
    <w:rsid w:val="4FD75668"/>
    <w:rsid w:val="55426F5C"/>
    <w:rsid w:val="55853555"/>
    <w:rsid w:val="575278AD"/>
    <w:rsid w:val="5DA12EF6"/>
    <w:rsid w:val="5DE3706A"/>
    <w:rsid w:val="608A7C71"/>
    <w:rsid w:val="61615C49"/>
    <w:rsid w:val="6401649C"/>
    <w:rsid w:val="653D4140"/>
    <w:rsid w:val="65907A54"/>
    <w:rsid w:val="665629F7"/>
    <w:rsid w:val="69F47232"/>
    <w:rsid w:val="6A2B7DCF"/>
    <w:rsid w:val="6B550DD6"/>
    <w:rsid w:val="6FAE80F4"/>
    <w:rsid w:val="6FE07705"/>
    <w:rsid w:val="6FFD907A"/>
    <w:rsid w:val="74A83031"/>
    <w:rsid w:val="76962A74"/>
    <w:rsid w:val="7B77B008"/>
    <w:rsid w:val="7FF6C12C"/>
    <w:rsid w:val="BCB98261"/>
    <w:rsid w:val="BFFF5B56"/>
    <w:rsid w:val="F3EB132D"/>
    <w:rsid w:val="FEF70171"/>
    <w:rsid w:val="FFCF960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  <w:ind w:firstLine="601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center"/>
      <w:outlineLvl w:val="0"/>
    </w:pPr>
    <w:rPr>
      <w:b/>
      <w:kern w:val="44"/>
      <w:sz w:val="30"/>
    </w:rPr>
  </w:style>
  <w:style w:type="paragraph" w:styleId="3">
    <w:name w:val="heading 2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微软雅黑" w:cs="Times New Roman"/>
      <w:b/>
      <w:sz w:val="28"/>
    </w:rPr>
  </w:style>
  <w:style w:type="paragraph" w:styleId="4">
    <w:name w:val="heading 3"/>
    <w:next w:val="1"/>
    <w:unhideWhenUsed/>
    <w:qFormat/>
    <w:uiPriority w:val="0"/>
    <w:pPr>
      <w:keepNext/>
      <w:keepLines/>
      <w:numPr>
        <w:ilvl w:val="0"/>
        <w:numId w:val="0"/>
      </w:numPr>
      <w:spacing w:before="260" w:beforeLines="0" w:beforeAutospacing="0" w:after="260" w:afterLines="0" w:afterAutospacing="0" w:line="413" w:lineRule="auto"/>
      <w:outlineLvl w:val="2"/>
    </w:pPr>
    <w:rPr>
      <w:rFonts w:ascii="Times New Roman" w:hAnsi="Times New Roman" w:eastAsia="微软雅黑" w:cs="Times New Roman"/>
      <w:b/>
      <w:sz w:val="24"/>
    </w:rPr>
  </w:style>
  <w:style w:type="paragraph" w:styleId="5">
    <w:name w:val="heading 4"/>
    <w:next w:val="1"/>
    <w:unhideWhenUsed/>
    <w:qFormat/>
    <w:uiPriority w:val="0"/>
    <w:pPr>
      <w:keepNext/>
      <w:keepLines/>
      <w:numPr>
        <w:ilvl w:val="0"/>
        <w:numId w:val="0"/>
      </w:numPr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微软雅黑" w:cs="Times New Roman"/>
      <w:i/>
      <w:sz w:val="24"/>
    </w:rPr>
  </w:style>
  <w:style w:type="paragraph" w:styleId="6">
    <w:name w:val="heading 5"/>
    <w:basedOn w:val="1"/>
    <w:next w:val="7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7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7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7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7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51">
    <w:name w:val="Default Paragraph Font"/>
    <w:semiHidden/>
    <w:qFormat/>
    <w:uiPriority w:val="0"/>
  </w:style>
  <w:style w:type="table" w:default="1" w:styleId="50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57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List 3"/>
    <w:basedOn w:val="1"/>
    <w:qFormat/>
    <w:uiPriority w:val="0"/>
    <w:pPr>
      <w:ind w:left="100" w:leftChars="400" w:hanging="200" w:hangingChars="200"/>
    </w:pPr>
  </w:style>
  <w:style w:type="paragraph" w:styleId="13">
    <w:name w:val="List Number 2"/>
    <w:basedOn w:val="1"/>
    <w:qFormat/>
    <w:uiPriority w:val="0"/>
    <w:pPr>
      <w:numPr>
        <w:ilvl w:val="0"/>
        <w:numId w:val="2"/>
      </w:numPr>
    </w:pPr>
  </w:style>
  <w:style w:type="paragraph" w:styleId="14">
    <w:name w:val="table of authorities"/>
    <w:basedOn w:val="1"/>
    <w:next w:val="1"/>
    <w:qFormat/>
    <w:uiPriority w:val="0"/>
    <w:pPr>
      <w:ind w:left="420" w:leftChars="200"/>
    </w:pPr>
  </w:style>
  <w:style w:type="paragraph" w:styleId="15">
    <w:name w:val="List Bullet 4"/>
    <w:basedOn w:val="1"/>
    <w:qFormat/>
    <w:uiPriority w:val="0"/>
    <w:pPr>
      <w:numPr>
        <w:ilvl w:val="0"/>
        <w:numId w:val="3"/>
      </w:numPr>
    </w:pPr>
  </w:style>
  <w:style w:type="paragraph" w:styleId="16">
    <w:name w:val="List Number"/>
    <w:basedOn w:val="1"/>
    <w:qFormat/>
    <w:uiPriority w:val="0"/>
    <w:pPr>
      <w:numPr>
        <w:ilvl w:val="0"/>
        <w:numId w:val="4"/>
      </w:numPr>
    </w:pPr>
  </w:style>
  <w:style w:type="paragraph" w:styleId="17">
    <w:name w:val="caption"/>
    <w:basedOn w:val="1"/>
    <w:qFormat/>
    <w:uiPriority w:val="0"/>
    <w:pPr>
      <w:spacing w:before="0" w:after="120"/>
    </w:pPr>
    <w:rPr>
      <w:i/>
    </w:rPr>
  </w:style>
  <w:style w:type="paragraph" w:styleId="18">
    <w:name w:val="List Bullet"/>
    <w:basedOn w:val="1"/>
    <w:qFormat/>
    <w:uiPriority w:val="0"/>
    <w:pPr>
      <w:numPr>
        <w:ilvl w:val="0"/>
        <w:numId w:val="5"/>
      </w:numPr>
      <w:ind w:left="0" w:firstLine="0" w:firstLineChars="0"/>
    </w:pPr>
  </w:style>
  <w:style w:type="paragraph" w:styleId="19">
    <w:name w:val="Document Map"/>
    <w:basedOn w:val="1"/>
    <w:qFormat/>
    <w:uiPriority w:val="0"/>
    <w:pPr>
      <w:shd w:val="clear" w:color="auto" w:fill="000080"/>
    </w:pPr>
  </w:style>
  <w:style w:type="paragraph" w:styleId="20">
    <w:name w:val="annotation text"/>
    <w:basedOn w:val="1"/>
    <w:qFormat/>
    <w:uiPriority w:val="0"/>
    <w:pPr>
      <w:jc w:val="left"/>
    </w:pPr>
  </w:style>
  <w:style w:type="paragraph" w:styleId="21">
    <w:name w:val="List Bullet 3"/>
    <w:basedOn w:val="1"/>
    <w:qFormat/>
    <w:uiPriority w:val="0"/>
    <w:pPr>
      <w:numPr>
        <w:ilvl w:val="0"/>
        <w:numId w:val="6"/>
      </w:numPr>
    </w:pPr>
  </w:style>
  <w:style w:type="paragraph" w:styleId="22">
    <w:name w:val="List Number 3"/>
    <w:basedOn w:val="1"/>
    <w:qFormat/>
    <w:uiPriority w:val="0"/>
    <w:pPr>
      <w:numPr>
        <w:ilvl w:val="0"/>
        <w:numId w:val="7"/>
      </w:numPr>
    </w:pPr>
  </w:style>
  <w:style w:type="paragraph" w:styleId="23">
    <w:name w:val="List 2"/>
    <w:basedOn w:val="1"/>
    <w:qFormat/>
    <w:uiPriority w:val="0"/>
    <w:pPr>
      <w:ind w:left="100" w:leftChars="200" w:hanging="200" w:hangingChars="200"/>
    </w:pPr>
  </w:style>
  <w:style w:type="paragraph" w:styleId="24">
    <w:name w:val="List Continue"/>
    <w:basedOn w:val="1"/>
    <w:qFormat/>
    <w:uiPriority w:val="0"/>
    <w:pPr>
      <w:numPr>
        <w:ilvl w:val="0"/>
        <w:numId w:val="8"/>
      </w:numPr>
      <w:spacing w:after="120" w:afterLines="0" w:afterAutospacing="0"/>
      <w:ind w:left="0" w:leftChars="200" w:firstLine="0" w:firstLineChars="0"/>
    </w:pPr>
  </w:style>
  <w:style w:type="paragraph" w:styleId="25">
    <w:name w:val="Block Text"/>
    <w:basedOn w:val="7"/>
    <w:next w:val="7"/>
    <w:unhideWhenUsed/>
    <w:qFormat/>
    <w:uiPriority w:val="9"/>
    <w:pPr>
      <w:spacing w:before="100" w:after="100"/>
      <w:ind w:left="480" w:right="480" w:firstLine="0"/>
    </w:pPr>
  </w:style>
  <w:style w:type="paragraph" w:styleId="26">
    <w:name w:val="List Bullet 2"/>
    <w:basedOn w:val="1"/>
    <w:qFormat/>
    <w:uiPriority w:val="0"/>
    <w:pPr>
      <w:numPr>
        <w:ilvl w:val="0"/>
        <w:numId w:val="9"/>
      </w:numPr>
    </w:pPr>
  </w:style>
  <w:style w:type="paragraph" w:styleId="27">
    <w:name w:val="List Bullet 5"/>
    <w:basedOn w:val="1"/>
    <w:qFormat/>
    <w:uiPriority w:val="0"/>
    <w:pPr>
      <w:numPr>
        <w:ilvl w:val="0"/>
        <w:numId w:val="10"/>
      </w:numPr>
    </w:pPr>
  </w:style>
  <w:style w:type="paragraph" w:styleId="28">
    <w:name w:val="List Number 4"/>
    <w:basedOn w:val="1"/>
    <w:qFormat/>
    <w:uiPriority w:val="0"/>
    <w:pPr>
      <w:numPr>
        <w:ilvl w:val="0"/>
        <w:numId w:val="11"/>
      </w:numPr>
    </w:pPr>
  </w:style>
  <w:style w:type="paragraph" w:styleId="29">
    <w:name w:val="Date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30">
    <w:name w:val="endnote text"/>
    <w:basedOn w:val="1"/>
    <w:qFormat/>
    <w:uiPriority w:val="0"/>
    <w:pPr>
      <w:snapToGrid w:val="0"/>
      <w:jc w:val="left"/>
    </w:pPr>
  </w:style>
  <w:style w:type="paragraph" w:styleId="31">
    <w:name w:val="Balloon Text"/>
    <w:basedOn w:val="1"/>
    <w:qFormat/>
    <w:uiPriority w:val="0"/>
    <w:pPr>
      <w:ind w:firstLine="0" w:firstLineChars="0"/>
    </w:pPr>
    <w:rPr>
      <w:sz w:val="18"/>
    </w:rPr>
  </w:style>
  <w:style w:type="paragraph" w:styleId="3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34">
    <w:name w:val="toc 1"/>
    <w:basedOn w:val="1"/>
    <w:next w:val="1"/>
    <w:qFormat/>
    <w:uiPriority w:val="0"/>
  </w:style>
  <w:style w:type="paragraph" w:styleId="35">
    <w:name w:val="Subtitle"/>
    <w:basedOn w:val="36"/>
    <w:next w:val="7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36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37">
    <w:name w:val="List Number 5"/>
    <w:basedOn w:val="1"/>
    <w:qFormat/>
    <w:uiPriority w:val="0"/>
    <w:pPr>
      <w:numPr>
        <w:ilvl w:val="0"/>
        <w:numId w:val="12"/>
      </w:numPr>
    </w:pPr>
  </w:style>
  <w:style w:type="paragraph" w:styleId="38">
    <w:name w:val="List"/>
    <w:basedOn w:val="1"/>
    <w:qFormat/>
    <w:uiPriority w:val="0"/>
    <w:pPr>
      <w:ind w:left="200" w:hanging="200" w:hangingChars="200"/>
    </w:pPr>
  </w:style>
  <w:style w:type="paragraph" w:styleId="39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40">
    <w:name w:val="List 5"/>
    <w:basedOn w:val="1"/>
    <w:qFormat/>
    <w:uiPriority w:val="0"/>
    <w:pPr>
      <w:ind w:left="100" w:leftChars="800" w:hanging="200" w:hangingChars="200"/>
    </w:pPr>
  </w:style>
  <w:style w:type="paragraph" w:styleId="41">
    <w:name w:val="table of figures"/>
    <w:basedOn w:val="1"/>
    <w:next w:val="1"/>
    <w:qFormat/>
    <w:uiPriority w:val="0"/>
    <w:pPr>
      <w:ind w:leftChars="0" w:firstLine="0" w:firstLineChars="0"/>
      <w:jc w:val="left"/>
    </w:pPr>
    <w:rPr>
      <w:rFonts w:ascii="微软雅黑" w:hAnsi="微软雅黑" w:eastAsia="微软雅黑"/>
    </w:rPr>
  </w:style>
  <w:style w:type="paragraph" w:styleId="42">
    <w:name w:val="List 4"/>
    <w:basedOn w:val="1"/>
    <w:qFormat/>
    <w:uiPriority w:val="0"/>
    <w:pPr>
      <w:ind w:left="100" w:leftChars="600" w:hanging="200" w:hangingChars="200"/>
    </w:pPr>
  </w:style>
  <w:style w:type="paragraph" w:styleId="43">
    <w:name w:val="List Continue 2"/>
    <w:basedOn w:val="1"/>
    <w:qFormat/>
    <w:uiPriority w:val="0"/>
    <w:pPr>
      <w:spacing w:after="120" w:afterLines="0" w:afterAutospacing="0"/>
      <w:ind w:left="840" w:leftChars="400"/>
    </w:pPr>
  </w:style>
  <w:style w:type="paragraph" w:styleId="4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  <w:sz w:val="24"/>
    </w:rPr>
  </w:style>
  <w:style w:type="paragraph" w:styleId="45">
    <w:name w:val="Normal (Web)"/>
    <w:basedOn w:val="1"/>
    <w:qFormat/>
    <w:uiPriority w:val="0"/>
    <w:pPr>
      <w:spacing w:before="-2147483648" w:beforeAutospacing="1" w:after="-2147483648" w:afterAutospacing="1"/>
      <w:ind w:left="0" w:right="0" w:firstLine="560" w:firstLineChars="200"/>
      <w:jc w:val="both"/>
    </w:pPr>
    <w:rPr>
      <w:rFonts w:ascii="微软雅黑" w:hAnsi="微软雅黑" w:eastAsia="微软雅黑"/>
      <w:lang w:eastAsia="zh-CN" w:bidi="ar"/>
    </w:rPr>
  </w:style>
  <w:style w:type="paragraph" w:styleId="46">
    <w:name w:val="List Continue 3"/>
    <w:basedOn w:val="1"/>
    <w:qFormat/>
    <w:uiPriority w:val="0"/>
    <w:pPr>
      <w:spacing w:after="120" w:afterLines="0" w:afterAutospacing="0"/>
      <w:ind w:left="1260" w:leftChars="600"/>
    </w:pPr>
  </w:style>
  <w:style w:type="paragraph" w:styleId="47">
    <w:name w:val="index 1"/>
    <w:basedOn w:val="1"/>
    <w:next w:val="1"/>
    <w:qFormat/>
    <w:uiPriority w:val="0"/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annotation subject"/>
    <w:basedOn w:val="20"/>
    <w:next w:val="20"/>
    <w:qFormat/>
    <w:uiPriority w:val="0"/>
    <w:rPr>
      <w:b/>
    </w:rPr>
  </w:style>
  <w:style w:type="character" w:styleId="52">
    <w:name w:val="endnote reference"/>
    <w:basedOn w:val="51"/>
    <w:qFormat/>
    <w:uiPriority w:val="0"/>
    <w:rPr>
      <w:vertAlign w:val="superscript"/>
    </w:rPr>
  </w:style>
  <w:style w:type="character" w:styleId="53">
    <w:name w:val="page number"/>
    <w:basedOn w:val="51"/>
    <w:qFormat/>
    <w:uiPriority w:val="0"/>
  </w:style>
  <w:style w:type="character" w:styleId="54">
    <w:name w:val="Emphasis"/>
    <w:basedOn w:val="51"/>
    <w:qFormat/>
    <w:uiPriority w:val="0"/>
    <w:rPr>
      <w:i/>
    </w:rPr>
  </w:style>
  <w:style w:type="character" w:styleId="55">
    <w:name w:val="line number"/>
    <w:basedOn w:val="51"/>
    <w:qFormat/>
    <w:uiPriority w:val="0"/>
  </w:style>
  <w:style w:type="character" w:styleId="56">
    <w:name w:val="Hyperlink"/>
    <w:basedOn w:val="57"/>
    <w:qFormat/>
    <w:uiPriority w:val="0"/>
    <w:rPr>
      <w:color w:val="0070C0"/>
      <w:u w:val="single"/>
    </w:rPr>
  </w:style>
  <w:style w:type="character" w:customStyle="1" w:styleId="57">
    <w:name w:val="Body Text Char"/>
    <w:basedOn w:val="51"/>
    <w:link w:val="7"/>
    <w:qFormat/>
    <w:uiPriority w:val="0"/>
    <w:rPr>
      <w:rFonts w:ascii="微软雅黑" w:hAnsi="微软雅黑" w:eastAsia="微软雅黑"/>
    </w:rPr>
  </w:style>
  <w:style w:type="character" w:styleId="58">
    <w:name w:val="annotation reference"/>
    <w:basedOn w:val="51"/>
    <w:qFormat/>
    <w:uiPriority w:val="0"/>
    <w:rPr>
      <w:sz w:val="21"/>
    </w:rPr>
  </w:style>
  <w:style w:type="character" w:styleId="59">
    <w:name w:val="footnote reference"/>
    <w:basedOn w:val="57"/>
    <w:qFormat/>
    <w:uiPriority w:val="0"/>
    <w:rPr>
      <w:vertAlign w:val="superscript"/>
    </w:rPr>
  </w:style>
  <w:style w:type="paragraph" w:customStyle="1" w:styleId="60">
    <w:name w:val="First Paragraph"/>
    <w:basedOn w:val="7"/>
    <w:next w:val="7"/>
    <w:qFormat/>
    <w:uiPriority w:val="0"/>
    <w:pPr>
      <w:ind w:firstLine="720" w:firstLineChars="200"/>
      <w:jc w:val="both"/>
    </w:pPr>
  </w:style>
  <w:style w:type="paragraph" w:customStyle="1" w:styleId="61">
    <w:name w:val="Compact"/>
    <w:basedOn w:val="7"/>
    <w:qFormat/>
    <w:uiPriority w:val="0"/>
    <w:pPr>
      <w:spacing w:before="36" w:after="36"/>
    </w:pPr>
  </w:style>
  <w:style w:type="paragraph" w:customStyle="1" w:styleId="62">
    <w:name w:val="Author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63">
    <w:name w:val="Abstract Title"/>
    <w:basedOn w:val="1"/>
    <w:next w:val="64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64">
    <w:name w:val="Abstract"/>
    <w:basedOn w:val="1"/>
    <w:next w:val="7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65">
    <w:name w:val="Bibliography"/>
    <w:basedOn w:val="1"/>
    <w:qFormat/>
    <w:uiPriority w:val="0"/>
  </w:style>
  <w:style w:type="paragraph" w:customStyle="1" w:styleId="66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6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68">
    <w:name w:val="Definition Term"/>
    <w:basedOn w:val="1"/>
    <w:next w:val="69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69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70">
    <w:name w:val="Table Caption"/>
    <w:basedOn w:val="17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71">
    <w:name w:val="Image Caption"/>
    <w:basedOn w:val="17"/>
    <w:qFormat/>
    <w:uiPriority w:val="0"/>
    <w:rPr>
      <w:rFonts w:ascii="微软雅黑" w:hAnsi="微软雅黑" w:eastAsia="微软雅黑"/>
    </w:rPr>
  </w:style>
  <w:style w:type="paragraph" w:customStyle="1" w:styleId="72">
    <w:name w:val="Figure"/>
    <w:basedOn w:val="1"/>
    <w:qFormat/>
    <w:uiPriority w:val="0"/>
  </w:style>
  <w:style w:type="paragraph" w:customStyle="1" w:styleId="73">
    <w:name w:val="Captioned Figure"/>
    <w:basedOn w:val="72"/>
    <w:qFormat/>
    <w:uiPriority w:val="0"/>
    <w:pPr>
      <w:keepNext/>
    </w:pPr>
  </w:style>
  <w:style w:type="character" w:customStyle="1" w:styleId="74">
    <w:name w:val="Verbatim Char"/>
    <w:basedOn w:val="57"/>
    <w:qFormat/>
    <w:uiPriority w:val="0"/>
    <w:rPr>
      <w:rFonts w:ascii="Copperplate" w:hAnsi="Copperplate"/>
      <w:sz w:val="22"/>
    </w:rPr>
  </w:style>
  <w:style w:type="character" w:customStyle="1" w:styleId="75">
    <w:name w:val="Section Number"/>
    <w:basedOn w:val="57"/>
    <w:qFormat/>
    <w:uiPriority w:val="0"/>
  </w:style>
  <w:style w:type="paragraph" w:customStyle="1" w:styleId="76">
    <w:name w:val="TOC Heading"/>
    <w:basedOn w:val="2"/>
    <w:next w:val="7"/>
    <w:unhideWhenUsed/>
    <w:qFormat/>
    <w:uiPriority w:val="39"/>
    <w:pPr>
      <w:tabs>
        <w:tab w:val="left" w:pos="0"/>
      </w:tabs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366091" w:themeColor="accent1" w:themeShade="BF"/>
    </w:rPr>
  </w:style>
  <w:style w:type="paragraph" w:customStyle="1" w:styleId="77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78">
    <w:name w:val="KeywordTok"/>
    <w:qFormat/>
    <w:uiPriority w:val="0"/>
    <w:rPr>
      <w:b/>
      <w:color w:val="007020"/>
    </w:rPr>
  </w:style>
  <w:style w:type="character" w:customStyle="1" w:styleId="79">
    <w:name w:val="DataTypeTok"/>
    <w:qFormat/>
    <w:uiPriority w:val="0"/>
    <w:rPr>
      <w:color w:val="902000"/>
    </w:rPr>
  </w:style>
  <w:style w:type="character" w:customStyle="1" w:styleId="80">
    <w:name w:val="DecValTok"/>
    <w:qFormat/>
    <w:uiPriority w:val="0"/>
    <w:rPr>
      <w:color w:val="40A070"/>
    </w:rPr>
  </w:style>
  <w:style w:type="character" w:customStyle="1" w:styleId="81">
    <w:name w:val="BaseNTok"/>
    <w:qFormat/>
    <w:uiPriority w:val="0"/>
    <w:rPr>
      <w:color w:val="40A070"/>
    </w:rPr>
  </w:style>
  <w:style w:type="character" w:customStyle="1" w:styleId="82">
    <w:name w:val="FloatTok"/>
    <w:qFormat/>
    <w:uiPriority w:val="0"/>
    <w:rPr>
      <w:color w:val="40A070"/>
    </w:rPr>
  </w:style>
  <w:style w:type="character" w:customStyle="1" w:styleId="83">
    <w:name w:val="ConstantTok"/>
    <w:qFormat/>
    <w:uiPriority w:val="0"/>
    <w:rPr>
      <w:color w:val="880000"/>
    </w:rPr>
  </w:style>
  <w:style w:type="character" w:customStyle="1" w:styleId="84">
    <w:name w:val="CharTok"/>
    <w:qFormat/>
    <w:uiPriority w:val="0"/>
    <w:rPr>
      <w:color w:val="4070A0"/>
    </w:rPr>
  </w:style>
  <w:style w:type="character" w:customStyle="1" w:styleId="85">
    <w:name w:val="SpecialCharTok"/>
    <w:qFormat/>
    <w:uiPriority w:val="0"/>
    <w:rPr>
      <w:color w:val="4070A0"/>
    </w:rPr>
  </w:style>
  <w:style w:type="character" w:customStyle="1" w:styleId="86">
    <w:name w:val="StringTok"/>
    <w:qFormat/>
    <w:uiPriority w:val="0"/>
    <w:rPr>
      <w:color w:val="4070A0"/>
    </w:rPr>
  </w:style>
  <w:style w:type="character" w:customStyle="1" w:styleId="87">
    <w:name w:val="VerbatimStringTok"/>
    <w:qFormat/>
    <w:uiPriority w:val="0"/>
    <w:rPr>
      <w:color w:val="4070A0"/>
    </w:rPr>
  </w:style>
  <w:style w:type="character" w:customStyle="1" w:styleId="88">
    <w:name w:val="SpecialStringTok"/>
    <w:qFormat/>
    <w:uiPriority w:val="0"/>
    <w:rPr>
      <w:color w:val="BB6688"/>
    </w:rPr>
  </w:style>
  <w:style w:type="character" w:customStyle="1" w:styleId="89">
    <w:name w:val="ImportTok"/>
    <w:qFormat/>
    <w:uiPriority w:val="0"/>
    <w:rPr>
      <w:b/>
      <w:color w:val="008000"/>
    </w:rPr>
  </w:style>
  <w:style w:type="character" w:customStyle="1" w:styleId="90">
    <w:name w:val="CommentTok"/>
    <w:qFormat/>
    <w:uiPriority w:val="0"/>
    <w:rPr>
      <w:i/>
      <w:color w:val="60A0B0"/>
    </w:rPr>
  </w:style>
  <w:style w:type="character" w:customStyle="1" w:styleId="91">
    <w:name w:val="DocumentationTok"/>
    <w:qFormat/>
    <w:uiPriority w:val="0"/>
    <w:rPr>
      <w:i/>
      <w:color w:val="BA2121"/>
    </w:rPr>
  </w:style>
  <w:style w:type="character" w:customStyle="1" w:styleId="92">
    <w:name w:val="AnnotationTok"/>
    <w:qFormat/>
    <w:uiPriority w:val="0"/>
    <w:rPr>
      <w:b/>
      <w:i/>
      <w:color w:val="60A0B0"/>
    </w:rPr>
  </w:style>
  <w:style w:type="character" w:customStyle="1" w:styleId="93">
    <w:name w:val="CommentVarTok"/>
    <w:qFormat/>
    <w:uiPriority w:val="0"/>
    <w:rPr>
      <w:b/>
      <w:i/>
      <w:color w:val="60A0B0"/>
    </w:rPr>
  </w:style>
  <w:style w:type="character" w:customStyle="1" w:styleId="94">
    <w:name w:val="OtherTok"/>
    <w:qFormat/>
    <w:uiPriority w:val="0"/>
    <w:rPr>
      <w:color w:val="007020"/>
    </w:rPr>
  </w:style>
  <w:style w:type="character" w:customStyle="1" w:styleId="95">
    <w:name w:val="FunctionTok"/>
    <w:qFormat/>
    <w:uiPriority w:val="0"/>
    <w:rPr>
      <w:color w:val="06287E"/>
    </w:rPr>
  </w:style>
  <w:style w:type="character" w:customStyle="1" w:styleId="96">
    <w:name w:val="VariableTok"/>
    <w:qFormat/>
    <w:uiPriority w:val="0"/>
    <w:rPr>
      <w:color w:val="19177C"/>
    </w:rPr>
  </w:style>
  <w:style w:type="character" w:customStyle="1" w:styleId="97">
    <w:name w:val="ControlFlowTok"/>
    <w:qFormat/>
    <w:uiPriority w:val="0"/>
    <w:rPr>
      <w:b/>
      <w:color w:val="007020"/>
    </w:rPr>
  </w:style>
  <w:style w:type="character" w:customStyle="1" w:styleId="98">
    <w:name w:val="OperatorTok"/>
    <w:qFormat/>
    <w:uiPriority w:val="0"/>
    <w:rPr>
      <w:color w:val="666666"/>
    </w:rPr>
  </w:style>
  <w:style w:type="character" w:customStyle="1" w:styleId="99">
    <w:name w:val="BuiltInTok"/>
    <w:qFormat/>
    <w:uiPriority w:val="0"/>
    <w:rPr>
      <w:color w:val="008000"/>
    </w:rPr>
  </w:style>
  <w:style w:type="character" w:customStyle="1" w:styleId="100">
    <w:name w:val="ExtensionTok"/>
    <w:qFormat/>
    <w:uiPriority w:val="0"/>
  </w:style>
  <w:style w:type="character" w:customStyle="1" w:styleId="101">
    <w:name w:val="PreprocessorTok"/>
    <w:qFormat/>
    <w:uiPriority w:val="0"/>
    <w:rPr>
      <w:color w:val="BC7A00"/>
    </w:rPr>
  </w:style>
  <w:style w:type="character" w:customStyle="1" w:styleId="102">
    <w:name w:val="AttributeTok"/>
    <w:qFormat/>
    <w:uiPriority w:val="0"/>
    <w:rPr>
      <w:color w:val="7D9029"/>
    </w:rPr>
  </w:style>
  <w:style w:type="character" w:customStyle="1" w:styleId="103">
    <w:name w:val="RegionMarkerTok"/>
    <w:qFormat/>
    <w:uiPriority w:val="0"/>
  </w:style>
  <w:style w:type="character" w:customStyle="1" w:styleId="104">
    <w:name w:val="InformationTok"/>
    <w:qFormat/>
    <w:uiPriority w:val="0"/>
    <w:rPr>
      <w:b/>
      <w:i/>
      <w:color w:val="60A0B0"/>
    </w:rPr>
  </w:style>
  <w:style w:type="character" w:customStyle="1" w:styleId="105">
    <w:name w:val="WarningTok"/>
    <w:qFormat/>
    <w:uiPriority w:val="0"/>
    <w:rPr>
      <w:b/>
      <w:i/>
      <w:color w:val="60A0B0"/>
    </w:rPr>
  </w:style>
  <w:style w:type="character" w:customStyle="1" w:styleId="106">
    <w:name w:val="AlertTok"/>
    <w:qFormat/>
    <w:uiPriority w:val="0"/>
    <w:rPr>
      <w:b/>
      <w:color w:val="FF0000"/>
    </w:rPr>
  </w:style>
  <w:style w:type="character" w:customStyle="1" w:styleId="107">
    <w:name w:val="ErrorTok"/>
    <w:qFormat/>
    <w:uiPriority w:val="0"/>
    <w:rPr>
      <w:b/>
      <w:color w:val="FF0000"/>
    </w:rPr>
  </w:style>
  <w:style w:type="character" w:customStyle="1" w:styleId="108">
    <w:name w:val="NormalTok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450</Words>
  <Characters>502</Characters>
  <Lines>12</Lines>
  <Paragraphs>8</Paragraphs>
  <TotalTime>12</TotalTime>
  <ScaleCrop>false</ScaleCrop>
  <LinksUpToDate>false</LinksUpToDate>
  <CharactersWithSpaces>502</CharactersWithSpaces>
  <Application>WPS Office WWO_wpscloud_20250925191819-314b3f48ed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2024-11-15T15:05:00Z</dcterms:created>
  <dc:creator>bowen</dc:creator>
  <cp:lastModifiedBy>张运哲</cp:lastModifiedBy>
  <dcterms:modified xsi:type="dcterms:W3CDTF">2025-10-06T20:19:51Z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2052-12.9.0.23117</vt:lpwstr>
  </property>
  <property fmtid="{D5CDD505-2E9C-101B-9397-08002B2CF9AE}" pid="3" name="ICV">
    <vt:lpwstr>45E895A840EE93F0E7B3E3686B30A9C8_43</vt:lpwstr>
  </property>
  <property fmtid="{D5CDD505-2E9C-101B-9397-08002B2CF9AE}" pid="4" name="KSOTemplateDocerSaveRecord">
    <vt:lpwstr>eyJoZGlkIjoiNzI4YmNmYThhZjA0NTVhODllNDhjMGZiNmFkMDJjN2YiLCJ1c2VySWQiOiIxNjA5OTI0MDI0In0=</vt:lpwstr>
  </property>
</Properties>
</file>