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6D403">
      <w:pPr>
        <w:pStyle w:val="2"/>
      </w:pPr>
    </w:p>
    <w:p w14:paraId="0FC9C0D0">
      <w:pPr>
        <w:pStyle w:val="2"/>
      </w:pPr>
      <w:r>
        <w:t>干变浇注车间真空浇注设备树脂备料罐技术手册</w:t>
      </w:r>
    </w:p>
    <w:p w14:paraId="4BFFAF23">
      <w:pPr>
        <w:pStyle w:val="3"/>
      </w:pPr>
      <w:r>
        <w:t>一、设备概述</w:t>
      </w:r>
    </w:p>
    <w:p w14:paraId="40657F60">
      <w:pPr>
        <w:pStyle w:val="4"/>
      </w:pPr>
      <w:r>
        <w:t>1.1 树脂备料罐基本定义与功能定位</w:t>
      </w:r>
    </w:p>
    <w:p w14:paraId="4DB4A626">
      <w:r>
        <w:t>树脂备料罐是干式变压器真空浇注设备中的核心预处理单元，主要用于非填料环氧树脂的配料、脱气、温度调节及稳定输送，是连接原料存储与混料浇注工序的关键枢纽。在“原料存储→预处理→计量输送→混料浇注”全流程中，其核心功能是通过真空脱气、精准控温及均匀搅拌，去除树脂中的气泡和杂质，调节树脂至最佳粘度状态，为后续浇注工序提供符合工艺要求的预处理原料。相较于含填料树脂处理设备，非填料树脂备料罐更强调脱气效率与温度稳定性，因不含固体颗粒，需通过薄膜分散技术实现深度脱气，避免气泡残留影响干式变压器绝缘件的介电性能。</w:t>
      </w:r>
    </w:p>
    <w:p w14:paraId="0FCFA92A">
      <w:pPr>
        <w:pStyle w:val="4"/>
      </w:pPr>
      <w:r>
        <w:t>1.2 设备主要技术参数与规格</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3EB5A26">
        <w:tblPrEx>
          <w:tblCellMar>
            <w:top w:w="0" w:type="dxa"/>
            <w:left w:w="0" w:type="dxa"/>
            <w:bottom w:w="0" w:type="dxa"/>
            <w:right w:w="0" w:type="dxa"/>
          </w:tblCellMar>
        </w:tblPrEx>
        <w:tc>
          <w:tcPr>
            <w:tcW w:w="0" w:type="auto"/>
            <w:vAlign w:val="center"/>
          </w:tcPr>
          <w:p w14:paraId="0EAF1F82">
            <w:pPr>
              <w:jc w:val="center"/>
              <w:rPr>
                <w:b/>
              </w:rPr>
            </w:pPr>
            <w:r>
              <w:rPr>
                <w:b/>
              </w:rPr>
              <w:t>参数名称</w:t>
            </w:r>
          </w:p>
        </w:tc>
        <w:tc>
          <w:tcPr>
            <w:tcW w:w="0" w:type="auto"/>
            <w:vAlign w:val="center"/>
          </w:tcPr>
          <w:p w14:paraId="642A8DAE">
            <w:pPr>
              <w:jc w:val="center"/>
              <w:rPr>
                <w:b/>
              </w:rPr>
            </w:pPr>
            <w:r>
              <w:rPr>
                <w:b/>
              </w:rPr>
              <w:t>范围/数值</w:t>
            </w:r>
          </w:p>
        </w:tc>
        <w:tc>
          <w:tcPr>
            <w:tcW w:w="0" w:type="auto"/>
            <w:vAlign w:val="center"/>
          </w:tcPr>
          <w:p w14:paraId="6C07ABE0">
            <w:pPr>
              <w:jc w:val="center"/>
              <w:rPr>
                <w:b/>
              </w:rPr>
            </w:pPr>
            <w:r>
              <w:rPr>
                <w:b/>
              </w:rPr>
              <w:t>单位</w:t>
            </w:r>
          </w:p>
        </w:tc>
        <w:tc>
          <w:tcPr>
            <w:tcW w:w="0" w:type="auto"/>
            <w:vAlign w:val="center"/>
          </w:tcPr>
          <w:p w14:paraId="2FBFC762">
            <w:pPr>
              <w:jc w:val="center"/>
              <w:rPr>
                <w:b/>
              </w:rPr>
            </w:pPr>
            <w:r>
              <w:rPr>
                <w:b/>
              </w:rPr>
              <w:t>工艺意义</w:t>
            </w:r>
          </w:p>
        </w:tc>
      </w:tr>
      <w:tr w14:paraId="25E61410">
        <w:tblPrEx>
          <w:tblCellMar>
            <w:top w:w="0" w:type="dxa"/>
            <w:left w:w="0" w:type="dxa"/>
            <w:bottom w:w="0" w:type="dxa"/>
            <w:right w:w="0" w:type="dxa"/>
          </w:tblCellMar>
        </w:tblPrEx>
        <w:tc>
          <w:tcPr>
            <w:tcW w:w="0" w:type="auto"/>
            <w:vAlign w:val="center"/>
          </w:tcPr>
          <w:p w14:paraId="1DEB8595">
            <w:r>
              <w:t>有效容积</w:t>
            </w:r>
          </w:p>
        </w:tc>
        <w:tc>
          <w:tcPr>
            <w:tcW w:w="0" w:type="auto"/>
            <w:vAlign w:val="center"/>
          </w:tcPr>
          <w:p w14:paraId="2E6CEA13">
            <w:r>
              <w:t>200~600</w:t>
            </w:r>
          </w:p>
        </w:tc>
        <w:tc>
          <w:tcPr>
            <w:tcW w:w="0" w:type="auto"/>
            <w:vAlign w:val="center"/>
          </w:tcPr>
          <w:p w14:paraId="610FE055">
            <w:r>
              <w:t>L</w:t>
            </w:r>
          </w:p>
        </w:tc>
        <w:tc>
          <w:tcPr>
            <w:tcW w:w="0" w:type="auto"/>
            <w:vAlign w:val="center"/>
          </w:tcPr>
          <w:p w14:paraId="71F17BC1">
            <w:r>
              <w:t>满足不同批次浇注需求，200L适用于小型批次，600L支持连续化生产</w:t>
            </w:r>
          </w:p>
        </w:tc>
      </w:tr>
      <w:tr w14:paraId="0318A83A">
        <w:tblPrEx>
          <w:tblCellMar>
            <w:top w:w="0" w:type="dxa"/>
            <w:left w:w="0" w:type="dxa"/>
            <w:bottom w:w="0" w:type="dxa"/>
            <w:right w:w="0" w:type="dxa"/>
          </w:tblCellMar>
        </w:tblPrEx>
        <w:tc>
          <w:tcPr>
            <w:tcW w:w="0" w:type="auto"/>
            <w:vAlign w:val="center"/>
          </w:tcPr>
          <w:p w14:paraId="56C48437">
            <w:r>
              <w:t>罐体材质</w:t>
            </w:r>
          </w:p>
        </w:tc>
        <w:tc>
          <w:tcPr>
            <w:tcW w:w="0" w:type="auto"/>
            <w:vAlign w:val="center"/>
          </w:tcPr>
          <w:p w14:paraId="48FCA59F">
            <w:r>
              <w:t>304/316不锈钢</w:t>
            </w:r>
          </w:p>
        </w:tc>
        <w:tc>
          <w:tcPr>
            <w:tcW w:w="0" w:type="auto"/>
            <w:vAlign w:val="center"/>
          </w:tcPr>
          <w:p w14:paraId="5EA7850F">
            <w:r>
              <w:t>——</w:t>
            </w:r>
          </w:p>
        </w:tc>
        <w:tc>
          <w:tcPr>
            <w:tcW w:w="0" w:type="auto"/>
            <w:vAlign w:val="center"/>
          </w:tcPr>
          <w:p w14:paraId="6ECD48E4">
            <w:r>
              <w:t>304不锈钢满足常规防腐需求，316不锈钢适用于高纯度树脂防污染场景</w:t>
            </w:r>
          </w:p>
        </w:tc>
      </w:tr>
      <w:tr w14:paraId="04D8D686">
        <w:tc>
          <w:tcPr>
            <w:tcW w:w="0" w:type="auto"/>
            <w:vAlign w:val="center"/>
          </w:tcPr>
          <w:p w14:paraId="49C35FF7">
            <w:r>
              <w:t>工作温度</w:t>
            </w:r>
          </w:p>
        </w:tc>
        <w:tc>
          <w:tcPr>
            <w:tcW w:w="0" w:type="auto"/>
            <w:vAlign w:val="center"/>
          </w:tcPr>
          <w:p w14:paraId="029AF6B0">
            <w:r>
              <w:t>70~85</w:t>
            </w:r>
          </w:p>
        </w:tc>
        <w:tc>
          <w:tcPr>
            <w:tcW w:w="0" w:type="auto"/>
            <w:vAlign w:val="center"/>
          </w:tcPr>
          <w:p w14:paraId="3F8F48CB">
            <w:r>
              <w:t>℃</w:t>
            </w:r>
          </w:p>
        </w:tc>
        <w:tc>
          <w:tcPr>
            <w:tcW w:w="0" w:type="auto"/>
            <w:vAlign w:val="center"/>
          </w:tcPr>
          <w:p w14:paraId="76827C91">
            <w:r>
              <w:t>控制树脂粘度在0.3~0.8Pa·s范围，确保流动性与后续混料均匀性</w:t>
            </w:r>
          </w:p>
        </w:tc>
      </w:tr>
      <w:tr w14:paraId="03A827F0">
        <w:tblPrEx>
          <w:tblCellMar>
            <w:top w:w="0" w:type="dxa"/>
            <w:left w:w="0" w:type="dxa"/>
            <w:bottom w:w="0" w:type="dxa"/>
            <w:right w:w="0" w:type="dxa"/>
          </w:tblCellMar>
        </w:tblPrEx>
        <w:tc>
          <w:tcPr>
            <w:tcW w:w="0" w:type="auto"/>
            <w:vAlign w:val="center"/>
          </w:tcPr>
          <w:p w14:paraId="7DE76FBE">
            <w:r>
              <w:t>温度控制精度</w:t>
            </w:r>
          </w:p>
        </w:tc>
        <w:tc>
          <w:tcPr>
            <w:tcW w:w="0" w:type="auto"/>
            <w:vAlign w:val="center"/>
          </w:tcPr>
          <w:p w14:paraId="06C2192B">
            <w:r>
              <w:t>±1</w:t>
            </w:r>
          </w:p>
        </w:tc>
        <w:tc>
          <w:tcPr>
            <w:tcW w:w="0" w:type="auto"/>
            <w:vAlign w:val="center"/>
          </w:tcPr>
          <w:p w14:paraId="14ADFE30">
            <w:r>
              <w:t>℃</w:t>
            </w:r>
          </w:p>
        </w:tc>
        <w:tc>
          <w:tcPr>
            <w:tcW w:w="0" w:type="auto"/>
            <w:vAlign w:val="center"/>
          </w:tcPr>
          <w:p w14:paraId="49BC7ACB">
            <w:r>
              <w:t>避免局部温差导致树脂粘度波动，防止提前固化或流动性不足</w:t>
            </w:r>
          </w:p>
        </w:tc>
      </w:tr>
      <w:tr w14:paraId="4D3B6244">
        <w:tblPrEx>
          <w:tblCellMar>
            <w:top w:w="0" w:type="dxa"/>
            <w:left w:w="0" w:type="dxa"/>
            <w:bottom w:w="0" w:type="dxa"/>
            <w:right w:w="0" w:type="dxa"/>
          </w:tblCellMar>
        </w:tblPrEx>
        <w:tc>
          <w:tcPr>
            <w:tcW w:w="0" w:type="auto"/>
            <w:vAlign w:val="center"/>
          </w:tcPr>
          <w:p w14:paraId="6FD7C4E6">
            <w:r>
              <w:t>真空度</w:t>
            </w:r>
          </w:p>
        </w:tc>
        <w:tc>
          <w:tcPr>
            <w:tcW w:w="0" w:type="auto"/>
            <w:vAlign w:val="center"/>
          </w:tcPr>
          <w:p w14:paraId="2DDD6565">
            <w:r>
              <w:t>≤50</w:t>
            </w:r>
          </w:p>
        </w:tc>
        <w:tc>
          <w:tcPr>
            <w:tcW w:w="0" w:type="auto"/>
            <w:vAlign w:val="center"/>
          </w:tcPr>
          <w:p w14:paraId="2391B5B7">
            <w:r>
              <w:t>Pa</w:t>
            </w:r>
          </w:p>
        </w:tc>
        <w:tc>
          <w:tcPr>
            <w:tcW w:w="0" w:type="auto"/>
            <w:vAlign w:val="center"/>
          </w:tcPr>
          <w:p w14:paraId="367F76AF">
            <w:r>
              <w:t>实现深度脱气，使树脂中残余气泡量≤0.05%，满足绝缘件击穿电压要求</w:t>
            </w:r>
          </w:p>
        </w:tc>
      </w:tr>
      <w:tr w14:paraId="369D40FE">
        <w:tblPrEx>
          <w:tblCellMar>
            <w:top w:w="0" w:type="dxa"/>
            <w:left w:w="0" w:type="dxa"/>
            <w:bottom w:w="0" w:type="dxa"/>
            <w:right w:w="0" w:type="dxa"/>
          </w:tblCellMar>
        </w:tblPrEx>
        <w:tc>
          <w:tcPr>
            <w:tcW w:w="0" w:type="auto"/>
            <w:vAlign w:val="center"/>
          </w:tcPr>
          <w:p w14:paraId="423B9BA8">
            <w:r>
              <w:t>搅拌速率</w:t>
            </w:r>
          </w:p>
        </w:tc>
        <w:tc>
          <w:tcPr>
            <w:tcW w:w="0" w:type="auto"/>
            <w:vAlign w:val="center"/>
          </w:tcPr>
          <w:p w14:paraId="380953A6">
            <w:r>
              <w:t>0~100</w:t>
            </w:r>
          </w:p>
        </w:tc>
        <w:tc>
          <w:tcPr>
            <w:tcW w:w="0" w:type="auto"/>
            <w:vAlign w:val="center"/>
          </w:tcPr>
          <w:p w14:paraId="7B3D442A">
            <w:r>
              <w:t>rpm</w:t>
            </w:r>
          </w:p>
        </w:tc>
        <w:tc>
          <w:tcPr>
            <w:tcW w:w="0" w:type="auto"/>
            <w:vAlign w:val="center"/>
          </w:tcPr>
          <w:p w14:paraId="4A746052">
            <w:r>
              <w:t>低速搅拌（15~30rpm）避免气泡破碎，高速分散（80~100rpm）形成薄膜脱气</w:t>
            </w:r>
          </w:p>
        </w:tc>
      </w:tr>
      <w:tr w14:paraId="0E8A3FC5">
        <w:tc>
          <w:tcPr>
            <w:tcW w:w="0" w:type="auto"/>
            <w:vAlign w:val="center"/>
          </w:tcPr>
          <w:p w14:paraId="3ADDAFC9">
            <w:r>
              <w:t>计量精度</w:t>
            </w:r>
          </w:p>
        </w:tc>
        <w:tc>
          <w:tcPr>
            <w:tcW w:w="0" w:type="auto"/>
            <w:vAlign w:val="center"/>
          </w:tcPr>
          <w:p w14:paraId="21856979">
            <w:r>
              <w:t>≤1%</w:t>
            </w:r>
          </w:p>
        </w:tc>
        <w:tc>
          <w:tcPr>
            <w:tcW w:w="0" w:type="auto"/>
            <w:vAlign w:val="center"/>
          </w:tcPr>
          <w:p w14:paraId="76E652A2">
            <w:r>
              <w:t>——</w:t>
            </w:r>
          </w:p>
        </w:tc>
        <w:tc>
          <w:tcPr>
            <w:tcW w:w="0" w:type="auto"/>
            <w:vAlign w:val="center"/>
          </w:tcPr>
          <w:p w14:paraId="4BC1BBE4">
            <w:r>
              <w:t>50kg以下物料计量误差≤0.5kg，确保树脂与固化剂配比精准，控制固化反应速率</w:t>
            </w:r>
          </w:p>
        </w:tc>
      </w:tr>
      <w:tr w14:paraId="354B63D1">
        <w:tblPrEx>
          <w:tblCellMar>
            <w:top w:w="0" w:type="dxa"/>
            <w:left w:w="0" w:type="dxa"/>
            <w:bottom w:w="0" w:type="dxa"/>
            <w:right w:w="0" w:type="dxa"/>
          </w:tblCellMar>
        </w:tblPrEx>
        <w:tc>
          <w:tcPr>
            <w:tcW w:w="0" w:type="auto"/>
            <w:vAlign w:val="center"/>
          </w:tcPr>
          <w:p w14:paraId="049E07E1">
            <w:r>
              <w:t>加热功率</w:t>
            </w:r>
          </w:p>
        </w:tc>
        <w:tc>
          <w:tcPr>
            <w:tcW w:w="0" w:type="auto"/>
            <w:vAlign w:val="center"/>
          </w:tcPr>
          <w:p w14:paraId="5A66F068">
            <w:r>
              <w:t>15</w:t>
            </w:r>
          </w:p>
        </w:tc>
        <w:tc>
          <w:tcPr>
            <w:tcW w:w="0" w:type="auto"/>
            <w:vAlign w:val="center"/>
          </w:tcPr>
          <w:p w14:paraId="350E29A1">
            <w:r>
              <w:t>kW</w:t>
            </w:r>
          </w:p>
        </w:tc>
        <w:tc>
          <w:tcPr>
            <w:tcW w:w="0" w:type="auto"/>
            <w:vAlign w:val="center"/>
          </w:tcPr>
          <w:p w14:paraId="13C0D2AB">
            <w:r>
              <w:t>油套加热方式，满足2小时内将树脂从室温升至工艺温度（70~85℃）</w:t>
            </w:r>
          </w:p>
        </w:tc>
      </w:tr>
      <w:tr w14:paraId="4A7E1E7D">
        <w:tblPrEx>
          <w:tblCellMar>
            <w:top w:w="0" w:type="dxa"/>
            <w:left w:w="0" w:type="dxa"/>
            <w:bottom w:w="0" w:type="dxa"/>
            <w:right w:w="0" w:type="dxa"/>
          </w:tblCellMar>
        </w:tblPrEx>
        <w:tc>
          <w:tcPr>
            <w:tcW w:w="0" w:type="auto"/>
            <w:vAlign w:val="center"/>
          </w:tcPr>
          <w:p w14:paraId="709A9078">
            <w:r>
              <w:t>抽气速率</w:t>
            </w:r>
          </w:p>
        </w:tc>
        <w:tc>
          <w:tcPr>
            <w:tcW w:w="0" w:type="auto"/>
            <w:vAlign w:val="center"/>
          </w:tcPr>
          <w:p w14:paraId="0AE569CF">
            <w:r>
              <w:t>300</w:t>
            </w:r>
          </w:p>
        </w:tc>
        <w:tc>
          <w:tcPr>
            <w:tcW w:w="0" w:type="auto"/>
            <w:vAlign w:val="center"/>
          </w:tcPr>
          <w:p w14:paraId="047E2A5B">
            <w:r>
              <w:t>m³/h</w:t>
            </w:r>
          </w:p>
        </w:tc>
        <w:tc>
          <w:tcPr>
            <w:tcW w:w="0" w:type="auto"/>
            <w:vAlign w:val="center"/>
          </w:tcPr>
          <w:p w14:paraId="2C54DB15">
            <w:r>
              <w:t>配合罗茨-滑阀真空泵组，30分钟内将罐内压力降至≤50Pa，提升脱气效率</w:t>
            </w:r>
          </w:p>
        </w:tc>
      </w:tr>
      <w:tr w14:paraId="5A262960">
        <w:tblPrEx>
          <w:tblCellMar>
            <w:top w:w="0" w:type="dxa"/>
            <w:left w:w="0" w:type="dxa"/>
            <w:bottom w:w="0" w:type="dxa"/>
            <w:right w:w="0" w:type="dxa"/>
          </w:tblCellMar>
        </w:tblPrEx>
        <w:tc>
          <w:tcPr>
            <w:tcW w:w="0" w:type="auto"/>
            <w:vAlign w:val="center"/>
          </w:tcPr>
          <w:p w14:paraId="1CFDEBF6">
            <w:r>
              <w:t>桨叶与罐壁间隙</w:t>
            </w:r>
          </w:p>
        </w:tc>
        <w:tc>
          <w:tcPr>
            <w:tcW w:w="0" w:type="auto"/>
            <w:vAlign w:val="center"/>
          </w:tcPr>
          <w:p w14:paraId="0405B951">
            <w:r>
              <w:t>5~8</w:t>
            </w:r>
          </w:p>
        </w:tc>
        <w:tc>
          <w:tcPr>
            <w:tcW w:w="0" w:type="auto"/>
            <w:vAlign w:val="center"/>
          </w:tcPr>
          <w:p w14:paraId="1DFBA425">
            <w:r>
              <w:t>mm</w:t>
            </w:r>
          </w:p>
        </w:tc>
        <w:tc>
          <w:tcPr>
            <w:tcW w:w="0" w:type="auto"/>
            <w:vAlign w:val="center"/>
          </w:tcPr>
          <w:p w14:paraId="5C372D28">
            <w:r>
              <w:t>减少树脂残留，降低清洗难度，避免物料长期滞留导致固化堵塞</w:t>
            </w:r>
          </w:p>
        </w:tc>
      </w:tr>
    </w:tbl>
    <w:p w14:paraId="0C2C5EAF">
      <w:pPr>
        <w:pStyle w:val="4"/>
      </w:pPr>
      <w:r>
        <w:t>1.3 设备整体结构组成与工作流程</w:t>
      </w:r>
    </w:p>
    <w:p w14:paraId="173524BE">
      <w:r>
        <w:t>树脂备料罐整体由六大核心系统构成：不锈钢罐体系统、搅拌分散系统、真空脱气系统、加热温控系统、计量配料系统及管路输送系统。各系统协同实现“配料→搅拌脱气→保温输送”的预处理流程，其核心工艺特点体现为“真空密闭、薄膜脱气、精准计量”的协同作用。</w:t>
      </w:r>
    </w:p>
    <w:p w14:paraId="43BF36B0">
      <w:r>
        <w:t>工作流程如下：首先，通过计量配料系统（电子秤+配料阀门）按设定配比将环氧树脂、固化剂及添加剂加入罐体，50kg以下物料计量误差控制在≤0.5kg；随后，加热温控系统启动油套加热，将树脂升温至70~85℃，同时搅拌系统启动锚式搅拌（转速0~100rpm可调），配合外循环薄膜脱气组件，通过高速旋转将树脂分散为0.1~0.3mm薄膜，增大比表面积以加速气泡逸出；真空系统同步启动，通过2H-70滑阀真空泵与ZJ-300罗茨真空泵组（抽气速率300m³/h）将罐内压力降至≤50Pa，维持30~60分钟深度脱气；脱气完成后，树脂在保温状态下（温度波动≤±1℃）通过螺杆泵及伴热管路输送至混料罐，进入下一工序。整个过程在PLC控制系统下实现全自动闭环控制，确保预处理后树脂的气泡含量、粘度及温度均满足浇注工艺要求。</w:t>
      </w:r>
    </w:p>
    <w:p w14:paraId="7A6FE680">
      <w:pPr>
        <w:pStyle w:val="3"/>
      </w:pPr>
      <w:r>
        <w:t>二、结构组成与功能分析</w:t>
      </w:r>
    </w:p>
    <w:p w14:paraId="6DBC9FB6">
      <w:pPr>
        <w:pStyle w:val="4"/>
      </w:pPr>
      <w:r>
        <w:t>2.1 不锈钢罐体结构与材质特性</w:t>
      </w:r>
    </w:p>
    <w:p w14:paraId="39DDCE7E">
      <w:r>
        <w:t>罐体采用立式结构设计，根据生产需求分为平底型（批次式备料）和锥底型（连续式备料），有效容积200~600L。内壁采用304或316不锈钢材质，经食品级抛光处理，表面粗糙度Ra≤0.8μm，焊缝打磨至R≥5mm圆滑过渡，避免树脂残留及局部死角。外部包裹100mm厚岩棉保温层，外层以0.5mm不锈钢薄板铠装，保温层热导率≤0.04W/(m·K)，确保罐内温度波动≤±1℃。罐体底部设置地面安装支脚，高度300~500mm，便于管路连接与设备维护。</w:t>
      </w:r>
    </w:p>
    <w:p w14:paraId="0EFBD9B9">
      <w:r>
        <w:t>304不锈钢材质具备优良的耐腐蚀性，可耐受环氧树脂及常用固化剂（如酸酐类、胺类）的长期接触，避免金属离子污染树脂影响绝缘性能；316不锈钢在304基础上增加钼元素，耐晶间腐蚀能力更强，适用于含卤素添加剂的树脂体系。罐体设计压力为-0.1~0.3MPa（负压/微正压），可承受真空脱气时的负压及氮气保护时的微正压（0.02~0.05MPa），确保操作安全性。</w:t>
      </w:r>
    </w:p>
    <w:p w14:paraId="7B4E9D70">
      <w:pPr>
        <w:pStyle w:val="4"/>
      </w:pPr>
      <w:r>
        <w:t>2.2 搅拌系统结构与功能</w:t>
      </w:r>
    </w:p>
    <w:p w14:paraId="597182FD">
      <w:r>
        <w:t>搅拌系统由变频电机、减速箱、搅拌轴、锚式桨叶及外循环薄膜脱气组件构成。变频电机功率1.5~3kW，转速0~100rpm无级可调，通过减速箱（减速比5~10:1）驱动搅拌轴旋转。锚式桨叶采用整体锻造工艺，与搅拌轴通过键连接固定，桨叶直径为罐体内径的0.8~0.9倍，桨叶底部与罐体底部间隙5~8mm，侧面与罐壁间隙5~8mm，可有效消除罐底及罐壁的物料残留。</w:t>
      </w:r>
    </w:p>
    <w:p w14:paraId="058C5348">
      <w:r>
        <w:t>外循环薄膜脱气组件为系统核心创新结构，由循环泵、分散器及导流板组成。循环泵将罐底树脂输送至分散器，分散器内高速旋转的叶轮（转速1500~3000rpm）将树脂剪切分散为0.1~0.3mm厚的薄膜，薄膜沿导流板（倾斜角度15°~30°）向下流动，流动路径长度达2~3m，大幅增加气液接触面积。与传统搅拌脱气相比，薄膜脱气可使气泡去除率提升40%以上，且避免搅拌剪切导致的气泡破碎问题，特别适用于非填料树脂的深度脱气。</w:t>
      </w:r>
    </w:p>
    <w:p w14:paraId="74D9C12F">
      <w:pPr>
        <w:pStyle w:val="4"/>
      </w:pPr>
      <w:r>
        <w:t>2.3 真空脱气装置与管路系统</w:t>
      </w:r>
    </w:p>
    <w:p w14:paraId="194F5648">
      <w:r>
        <w:t>真空脱气装置由真空泵组、真空变送器、真空阀门及管路组成。真空泵组采用“罗茨泵+滑阀泵”二级串联结构：ZJ-300罗茨真空泵为主动泵，抽气速率300m³/h，负责大流量抽气阶段；2H-70滑阀真空泵为前级泵，极限真空度≤5Pa，负责深度真空阶段。真空变送器采用德国莱宝CMR263型，测量范围0~1000Pa，精度±0.5%FS，实时监测罐内真空度并反馈至PLC系统。</w:t>
      </w:r>
    </w:p>
    <w:p w14:paraId="0EB4F5C1">
      <w:r>
        <w:t>管路系统包括真空管路、物料管路及加热管路。真空管路采用DN50不锈钢波纹管，配置手动蝶阀（真空等级PN16）及电磁真空阀（响应时间≤0.5s），实现真空系统的快速启停与隔离；物料管路采用DN65不锈钢无缝管，内壁抛光处理，配置气动放料阀（DN65 PN10）及止回阀，防止物料倒流；加热管路为伴热式结构，内置电伴热带（功率20W/m），温度控制范围50~90℃，确保管路内树脂粘度稳定，避免低温堵塞。所有管路连接采用法兰接口，密封面采用丁腈橡胶垫片（耐温≤120℃），确保真空密封性及物料无污染。</w:t>
      </w:r>
    </w:p>
    <w:p w14:paraId="4C2A822B">
      <w:pPr>
        <w:pStyle w:val="4"/>
      </w:pPr>
      <w:r>
        <w:t>2.4 加热温控模块与计量配料组件</w:t>
      </w:r>
    </w:p>
    <w:p w14:paraId="639B22D9">
      <w:r>
        <w:t>加热温控模块采用油套加热方式，加热功率15kW，由电加热管、导热油、循环泵及温控系统组成。电加热管为U型不锈钢材质（304），功率密度2W/cm²，避免局部过热；导热油选用L-TSA320号，最高使用温度320℃，循环泵流量10m³/h，确保导热油在夹套内均匀流动。温度控制系统采用Pt100传感器（4-20mA信号输出），安装于罐体下部1/3处，配合PID调节算法，控制精度±1℃，温度控制范围70~85℃，可通过触摸屏设置分段升温曲线（如室温→50℃→70℃→85℃，每阶段保温30分钟），避免树脂因局部过热导致提前固化。</w:t>
      </w:r>
    </w:p>
    <w:p w14:paraId="0EB5FE31">
      <w:r>
        <w:t>计量配料组件由电子秤系统、配料阀门及原料输送泵构成。电子秤系统采用台秤式结构，称重传感器精度0.1%FS，量程0~100kg，50kg以下物料计量误差≤0.5kg；配料阀门为气动球阀（DN50 PN10），响应时间≤1s，通过PLC控制实现自动加料；原料输送泵为螺杆泵（单螺杆结构），流量范围0~50L/min，自吸能力3m，可直接从吨桶或原料桶中抽取树脂、固化剂及添加剂，避免人工搬运导致的原料污染与浪费。</w:t>
      </w:r>
    </w:p>
    <w:p w14:paraId="1F8F349C">
      <w:pPr>
        <w:pStyle w:val="3"/>
      </w:pPr>
      <w:r>
        <w:t>三、机械原理与工作原理</w:t>
      </w:r>
    </w:p>
    <w:p w14:paraId="047E583F">
      <w:pPr>
        <w:pStyle w:val="4"/>
      </w:pPr>
      <w:r>
        <w:t>3.1 搅拌传动系统工作原理</w:t>
      </w:r>
    </w:p>
    <w:p w14:paraId="2190CC90">
      <w:r>
        <w:t>搅拌传动系统的动力传递路径为：变频电机→减速箱→联轴器→搅拌轴→锚式桨叶。变频电机（型号YVP2-100L，功率1.5kW）输出转速0~1500rpm，通过减速箱（减速比i=15）减速后，驱动搅拌轴以0~100rpm转速旋转。搅拌轴采用45#钢调质处理，直径50mm，轴端与桨叶通过键连接，配合轴肩定位，确保传动稳定性。</w:t>
      </w:r>
    </w:p>
    <w:p w14:paraId="045AE212">
      <w:r>
        <w:t>锚式桨叶的流体力学设计基于径向流与轴向流的协同作用：桨叶旋转时，带动树脂沿径向向罐壁流动，经罐壁反弹后形成轴向循环流，实现罐内物料的整体混合；桨叶与罐壁5~8mm的间隙设计，可将罐壁附近高粘度树脂推向中心区域，避免局部滞留。外循环薄膜脱气组件的传动独立于锚式搅拌，由另一台变频电机（功率2.2kW）驱动，通过皮带轮带动分散器叶轮（直径150mm）高速旋转（转速1500~3000rpm），叶轮边缘线速度12~25m/s，将树脂从叶轮中心吸入，经叶片剪切分散为0.1~0.3mm薄膜，沿导流板向下流动，过程中气泡在真空环境下快速逸出，脱气效率较传统搅拌提升40%以上。</w:t>
      </w:r>
    </w:p>
    <w:p w14:paraId="00ADF5D5">
      <w:pPr>
        <w:pStyle w:val="4"/>
      </w:pPr>
      <w:r>
        <w:t>3.2 真空脱气与薄膜脱气协同原理</w:t>
      </w:r>
    </w:p>
    <w:p w14:paraId="74F488DE">
      <w:r>
        <w:t>真空脱气与薄膜脱气的协同作用基于“压力降低-比表面积增大”双重机制。真空脱气的原理是利用气体在液体中的溶解度随压力降低而减小的特性：在标准大气压下，环氧树脂中溶解的空气含量约2%~3%，当压力降至50Pa时，溶解度降至0.01%以下，过饱和气体以气泡形式析出。薄膜脱气则通过将树脂分散为0.1~0.3mm的薄膜，使气泡扩散路径缩短至传统搅拌脱气的1/10（从罐中心到表面的距离由500mm降至0.15mm），同时比表面积增大至3~5倍（传统搅拌时树脂为块状，比表面积约0.1m²/L；薄膜状态下比表面积达0.5m²/L），显著加速气泡逸出速率。</w:t>
      </w:r>
    </w:p>
    <w:p w14:paraId="7C3AFB2B">
      <w:r>
        <w:t>协同工艺过程为：树脂经锚式搅拌初步混合后，由外循环泵输送至薄膜分散器，在高速叶轮剪切下形成薄膜，沿导流板流动（流动时间2~3分钟），此过程中气泡在真空环境下不断长大并上浮；逸出的气体经真空管路被真空泵抽出，脱气后的树脂回流至罐体下部，再次被锚式搅拌混合并进入下一次循环。实验数据表明，采用该协同工艺后，树脂中残余气泡量可控制在0.05%以下，较单纯真空搅拌脱气降低60%以上，且脱气时间缩短至传统工艺的1/2（从120分钟降至60分钟）。</w:t>
      </w:r>
    </w:p>
    <w:p w14:paraId="0ED951EC">
      <w:pPr>
        <w:pStyle w:val="4"/>
      </w:pPr>
      <w:r>
        <w:t>3.3 加热系统控温原理</w:t>
      </w:r>
    </w:p>
    <w:p w14:paraId="39BE3193">
      <w:r>
        <w:t>加热系统的控温原理基于热传导与PID反馈调节。导热油在电加热管加热下升温至设定温度（如85℃），经循环泵输送至罐体夹套，通过罐壁向树脂传递热量（热传导系数45W/(m·K)）。树脂温度通过Pt100传感器实时监测，当实测温度低于设定值时，PLC系统增大电加热管功率（通过SSR固态继电器调节）；当实测温度高于设定值时，降低加热功率或启动冷却风机（夹套上部安装轴流风机，风量500m³/h）。</w:t>
      </w:r>
    </w:p>
    <w:p w14:paraId="718134A7">
      <w:r>
        <w:t>为避免树脂局部过热，加热系统采用“分层控温+均匀循环”设计：夹套分为上、中、下三段，每段独立配置加热管与温度传感器，实现分层温度调节（如下部85℃、中部83℃、上部80℃），形成温度梯度，促进热对流；导热油循环泵流量10m³/h，确保夹套内导热油流速≥0.5m/s，使夹套壁面温度均匀性≤±2℃。此外，系统设置超温保护功能，当传感器检测到树脂温度超过90℃（设定值+5℃）时，自动切断加热电源并报警，防止树脂固化。</w:t>
      </w:r>
    </w:p>
    <w:p w14:paraId="73ABE106">
      <w:pPr>
        <w:pStyle w:val="4"/>
      </w:pPr>
      <w:r>
        <w:t>3.4 物料输送与计量原理</w:t>
      </w:r>
    </w:p>
    <w:p w14:paraId="6973EAF7">
      <w:r>
        <w:t>物料输送采用螺杆泵（G型单螺杆泵），其工作原理基于“转子-定子”啮合形成的密封腔室推移流体。转子为单头螺旋结构（不锈钢材质），定子为双头螺旋橡胶衬套（丁腈橡胶），二者偏心安装（偏心距e=3mm）。当转子旋转时，转子与定子的啮合线沿轴向移动，形成连续的“∞”形密封腔室，将树脂从吸入端推向排出端，实现无脉动输送。该泵自吸能力强（吸程3m），可直接从吨桶中抽取树脂；流量稳定（误差≤±1%），满足配比精度要求；剪切力小（剪切速率≤50s⁻¹），避免树脂分子链断裂。</w:t>
      </w:r>
    </w:p>
    <w:p w14:paraId="3EB0A39A">
      <w:r>
        <w:t>计量原理基于“质量计量+体积修正”：电子秤系统（量程0~200kg，精度0.1kg）安装于原料桶下方，通过称重传感器实时监测原料减少量，实现质量计量；同时，PLC系统根据树脂温度（影响密度）对体积流量进行修正（树脂密度随温度升高而降低，如25℃时密度1.18g/cm³，80℃时降至1.12g/cm³），确保实际配料质量误差≤0.5kg（50kg以下物料）。计量过程中，当原料减少量达到设定值时，PLC系统关闭配料阀门，完成一次配料。</w:t>
      </w:r>
    </w:p>
    <w:p w14:paraId="3F28C1F9">
      <w:pPr>
        <w:pStyle w:val="3"/>
      </w:pPr>
      <w:r>
        <w:t>四、控制系统原理</w:t>
      </w:r>
    </w:p>
    <w:p w14:paraId="01912CAC">
      <w:pPr>
        <w:pStyle w:val="4"/>
      </w:pPr>
      <w:r>
        <w:t>4.1 PLC控制系统架构与控制逻辑</w:t>
      </w:r>
    </w:p>
    <w:p w14:paraId="2D86E0C8">
      <w:r>
        <w:t>控制系统采用“PLC+触摸屏”双层架构，核心控制器选用西门子S7-1214C DC/DC/DC型PLC（CPU 1214C，14输入/10输出），扩展EM AE04模拟量输入模块（4路，16位精度）及EM AQ02模拟量输出模块（2路，16位精度）；触摸屏采用威纶通MT8102iE型（10.1英寸，分辨率1024×600），实现参数设置、状态监控及报警显示。</w:t>
      </w:r>
    </w:p>
    <w:p w14:paraId="0299D572">
      <w:r>
        <w:t>控制逻辑采用闭环控制模式，主要包括以下流程：</w:t>
      </w:r>
    </w:p>
    <w:p w14:paraId="54F11688">
      <w:pPr>
        <w:numPr>
          <w:ilvl w:val="0"/>
          <w:numId w:val="13"/>
        </w:numPr>
        <w:spacing w:before="0" w:beforeAutospacing="1" w:after="0" w:afterAutospacing="1"/>
        <w:ind w:left="720" w:hanging="360"/>
      </w:pPr>
      <w:r>
        <w:rPr>
          <w:b/>
        </w:rPr>
        <w:t>参数设定</w:t>
      </w:r>
      <w:r>
        <w:t>：通过触摸屏设置配方参数（树脂/固化剂配比、搅拌转速、脱气温度、真空度、脱气时间等），系统支持10组配方存储，可一键调用；</w:t>
      </w:r>
    </w:p>
    <w:p w14:paraId="4C7F0A09">
      <w:pPr>
        <w:numPr>
          <w:ilvl w:val="0"/>
          <w:numId w:val="13"/>
        </w:numPr>
        <w:spacing w:before="0" w:beforeAutospacing="1" w:after="0" w:afterAutospacing="1"/>
        <w:ind w:left="720" w:hanging="360"/>
      </w:pPr>
      <w:r>
        <w:rPr>
          <w:b/>
        </w:rPr>
        <w:t>实时采集</w:t>
      </w:r>
      <w:r>
        <w:t>：PLC通过模拟量模块采集温度（Pt100）、真空度（真空变送器）、重量（电子秤）等信号，采样周期100ms；</w:t>
      </w:r>
    </w:p>
    <w:p w14:paraId="6AF0DC00">
      <w:pPr>
        <w:numPr>
          <w:ilvl w:val="0"/>
          <w:numId w:val="13"/>
        </w:numPr>
        <w:spacing w:before="0" w:beforeAutospacing="1" w:after="0" w:afterAutospacing="1"/>
        <w:ind w:left="720" w:hanging="360"/>
      </w:pPr>
      <w:r>
        <w:rPr>
          <w:b/>
        </w:rPr>
        <w:t>执行调节</w:t>
      </w:r>
      <w:r>
        <w:t>：根据设定参数与实测值的偏差，通过PID算法调节加热功率（SSR输出）、搅拌转速（变频控制）、真空阀门开度（比例阀）等执行机构；</w:t>
      </w:r>
    </w:p>
    <w:p w14:paraId="4C90F03C">
      <w:pPr>
        <w:numPr>
          <w:ilvl w:val="0"/>
          <w:numId w:val="13"/>
        </w:numPr>
        <w:spacing w:before="0" w:beforeAutospacing="1" w:after="0" w:afterAutospacing="1"/>
        <w:ind w:left="720" w:hanging="360"/>
      </w:pPr>
      <w:r>
        <w:rPr>
          <w:b/>
        </w:rPr>
        <w:t>连锁控制</w:t>
      </w:r>
      <w:r>
        <w:t>：当真空度未达标（如＞100Pa）时，禁止开启加料口；温度超限时（如＞90℃），自动切断加热并启动冷却；搅拌过载时（电流＞150%额定值），停机报警；</w:t>
      </w:r>
    </w:p>
    <w:p w14:paraId="428CB43C">
      <w:pPr>
        <w:numPr>
          <w:ilvl w:val="0"/>
          <w:numId w:val="13"/>
        </w:numPr>
        <w:spacing w:before="0" w:beforeAutospacing="1" w:after="0" w:afterAutospacing="1"/>
        <w:ind w:left="720" w:hanging="360"/>
      </w:pPr>
      <w:r>
        <w:rPr>
          <w:b/>
        </w:rPr>
        <w:t>数据记录</w:t>
      </w:r>
      <w:r>
        <w:t>：系统自动记录关键工艺参数（温度、真空度、搅拌转速），记录间隔1分钟，数据可通过USB接口导出（格式CSV），满足GMP过程追溯要求。</w:t>
      </w:r>
    </w:p>
    <w:p w14:paraId="7E911B5C">
      <w:pPr>
        <w:pStyle w:val="4"/>
      </w:pPr>
      <w:r>
        <w:t>4.2 关键参数检测与控制原理</w:t>
      </w:r>
    </w:p>
    <w:p w14:paraId="79DF4AFF">
      <w:r>
        <w:rPr>
          <w:b/>
        </w:rPr>
        <w:t>温度检测与控制</w:t>
      </w:r>
      <w:r>
        <w:t>：采用Pt100铂电阻传感器（分度号PT100，-50~200℃），安装于罐体下部1/3处（树脂温度最具代表性区域），通过EM AE04模块将电阻信号转换为4-20mA标准信号（0℃对应4mA，100℃对应20mA）。控制算法采用增量式PID，比例系数Kp=5.0，积分时间Ti=120s，微分时间Td=30s，通过调节电加热管的输出功率（0~15kW）实现温度稳定控制。当温度偏差＜2℃时，系统进入微调模式，避免超调。</w:t>
      </w:r>
    </w:p>
    <w:p w14:paraId="4CE8AFAC">
      <w:r>
        <w:rPr>
          <w:b/>
        </w:rPr>
        <w:t>真空度检测与控制</w:t>
      </w:r>
      <w:r>
        <w:t>：真空变送器输出4-20mA信号（0Pa对应4mA，1000Pa对应20mA），PLC根据设定真空度（如50Pa）与实测值的偏差，控制真空泵组运行：启动阶段（真空度＞500Pa），仅运行罗茨泵；中真空阶段（100~500Pa），罗茨泵与滑阀泵同时运行；深度真空阶段（＜100Pa），关闭罗茨泵，仅运行滑阀泵，降低能耗。当真空度达到设定值时，保持滑阀泵运行，维持真空度稳定（波动≤±5Pa）。</w:t>
      </w:r>
    </w:p>
    <w:p w14:paraId="327A5082">
      <w:r>
        <w:rPr>
          <w:b/>
        </w:rPr>
        <w:t>压力检测与控制</w:t>
      </w:r>
      <w:r>
        <w:t>：罐内压力通过扩散硅压力变送器（量程-0.1~0.5MPa，4-20mA输出）监测，主要用于氮气保护阶段：当脱气完成后，系统打开氮气阀门（开度0~100%可调），向罐内充入氮气至微正压（0.02~0.05MPa），防止空气再次进入；压力控制采用位式调节，当压力＜0.02MPa时开阀充气，＞0.05MPa时关阀，确保压力稳定。</w:t>
      </w:r>
    </w:p>
    <w:p w14:paraId="7A741FE4">
      <w:pPr>
        <w:pStyle w:val="4"/>
      </w:pPr>
      <w:r>
        <w:t>4.3 安全连锁与报警功能</w:t>
      </w:r>
    </w:p>
    <w:p w14:paraId="7A790DB8">
      <w:r>
        <w:t>系统设置多重安全连锁保护，确保设备运行安全及工艺稳定性：</w:t>
      </w:r>
    </w:p>
    <w:p w14:paraId="1BE90C38">
      <w:pPr>
        <w:numPr>
          <w:ilvl w:val="0"/>
          <w:numId w:val="14"/>
        </w:numPr>
        <w:spacing w:before="0" w:beforeAutospacing="1" w:after="0" w:afterAutospacing="1"/>
        <w:ind w:left="720" w:hanging="360"/>
      </w:pPr>
      <w:r>
        <w:rPr>
          <w:b/>
        </w:rPr>
        <w:t>真空度连锁</w:t>
      </w:r>
      <w:r>
        <w:t>：加料口盖板安装真空联锁开关，当罐内真空度＞100Pa时，盖板无法打开；若强行打开，系统立即停机并报警；</w:t>
      </w:r>
    </w:p>
    <w:p w14:paraId="2B4D896F">
      <w:pPr>
        <w:numPr>
          <w:ilvl w:val="0"/>
          <w:numId w:val="14"/>
        </w:numPr>
        <w:spacing w:before="0" w:beforeAutospacing="1" w:after="0" w:afterAutospacing="1"/>
        <w:ind w:left="720" w:hanging="360"/>
      </w:pPr>
      <w:r>
        <w:rPr>
          <w:b/>
        </w:rPr>
        <w:t>温度连锁</w:t>
      </w:r>
      <w:r>
        <w:t>：当树脂温度＞90℃（超温报警值）时，PLC切断加热电源，启动冷却风机，同时关闭放料阀，防止过热树脂进入下游；</w:t>
      </w:r>
    </w:p>
    <w:p w14:paraId="7D366024">
      <w:pPr>
        <w:numPr>
          <w:ilvl w:val="0"/>
          <w:numId w:val="14"/>
        </w:numPr>
        <w:spacing w:before="0" w:beforeAutospacing="1" w:after="0" w:afterAutospacing="1"/>
        <w:ind w:left="720" w:hanging="360"/>
      </w:pPr>
      <w:r>
        <w:rPr>
          <w:b/>
        </w:rPr>
        <w:t>搅拌过载连锁</w:t>
      </w:r>
      <w:r>
        <w:t>：搅拌电机配置热继电器（额定电流6A，动作电流9A），当电机电流＞9A且持续5s时，系统停机并报警，避免电机烧毁或桨叶损坏；</w:t>
      </w:r>
    </w:p>
    <w:p w14:paraId="1082BBA3">
      <w:pPr>
        <w:numPr>
          <w:ilvl w:val="0"/>
          <w:numId w:val="14"/>
        </w:numPr>
        <w:spacing w:before="0" w:beforeAutospacing="1" w:after="0" w:afterAutospacing="1"/>
        <w:ind w:left="720" w:hanging="360"/>
      </w:pPr>
      <w:r>
        <w:rPr>
          <w:b/>
        </w:rPr>
        <w:t>液位连锁</w:t>
      </w:r>
      <w:r>
        <w:t>：罐内安装电容式液位传感器（量程0~1.5m，精度±1mm），当液位＜100mm（低液位）时，禁止启动搅拌及真空系统；液位＞1400mm（高液位）时，关闭配料阀门并报警；</w:t>
      </w:r>
    </w:p>
    <w:p w14:paraId="4E61521C">
      <w:pPr>
        <w:numPr>
          <w:ilvl w:val="0"/>
          <w:numId w:val="14"/>
        </w:numPr>
        <w:spacing w:before="0" w:beforeAutospacing="1" w:after="0" w:afterAutospacing="1"/>
        <w:ind w:left="720" w:hanging="360"/>
      </w:pPr>
      <w:r>
        <w:rPr>
          <w:b/>
        </w:rPr>
        <w:t>数据追溯</w:t>
      </w:r>
      <w:r>
        <w:t>：所有工艺参数（温度、真空度、搅拌转速、配料量）及报警信息（时间、类型、处理结果）自动记录，存储容量≥1年，支持USB导出及历史曲线查询，满足干式变压器生产的质量追溯要求。</w:t>
      </w:r>
    </w:p>
    <w:p w14:paraId="55B4F579">
      <w:pPr>
        <w:pStyle w:val="3"/>
      </w:pPr>
      <w:r>
        <w:t>五、常见故障类型及成因分析</w:t>
      </w:r>
    </w:p>
    <w:p w14:paraId="219EC244">
      <w:pPr>
        <w:pStyle w:val="4"/>
      </w:pPr>
      <w:r>
        <w:t>5.1 机械故障类型与成因</w:t>
      </w:r>
    </w:p>
    <w:p w14:paraId="10667083">
      <w:r>
        <w:rPr>
          <w:b/>
        </w:rPr>
        <w:t>搅拌系统故障</w:t>
      </w:r>
      <w:r>
        <w:t>：</w:t>
      </w:r>
    </w:p>
    <w:p w14:paraId="5C099D2E">
      <w:pPr>
        <w:numPr>
          <w:ilvl w:val="0"/>
          <w:numId w:val="15"/>
        </w:numPr>
        <w:spacing w:before="0" w:beforeAutospacing="1" w:after="0" w:afterAutospacing="1"/>
        <w:ind w:left="720" w:hanging="360"/>
      </w:pPr>
      <w:r>
        <w:rPr>
          <w:b/>
        </w:rPr>
        <w:t>叶片卡滞</w:t>
      </w:r>
      <w:r>
        <w:t>：表现为搅拌电机电流异常升高（＞150%额定值）或发出异响，成因包括：树脂温度过低导致粘度增大（如低于50℃时粘度＞5000mPa·s）、罐内混入异物（如工具、螺栓）、桨叶与罐壁间隙过小（＜5mm）导致树脂残留固化；</w:t>
      </w:r>
    </w:p>
    <w:p w14:paraId="4E0790F7">
      <w:pPr>
        <w:numPr>
          <w:ilvl w:val="0"/>
          <w:numId w:val="15"/>
        </w:numPr>
        <w:spacing w:before="0" w:beforeAutospacing="1" w:after="0" w:afterAutospacing="1"/>
        <w:ind w:left="720" w:hanging="360"/>
      </w:pPr>
      <w:r>
        <w:rPr>
          <w:b/>
        </w:rPr>
        <w:t>桨叶磨损</w:t>
      </w:r>
      <w:r>
        <w:t>：表现为搅拌均匀性下降（树脂温度差＞5℃），成因是长期搅拌高粘度树脂（如粘度＞3000mPa·s）导致桨叶边缘磨损（磨损量＞2mm），或材质选择不当（未采用316不锈钢导致腐蚀）；</w:t>
      </w:r>
    </w:p>
    <w:p w14:paraId="0E1E6743">
      <w:pPr>
        <w:numPr>
          <w:ilvl w:val="0"/>
          <w:numId w:val="15"/>
        </w:numPr>
        <w:spacing w:before="0" w:beforeAutospacing="1" w:after="0" w:afterAutospacing="1"/>
        <w:ind w:left="720" w:hanging="360"/>
      </w:pPr>
      <w:r>
        <w:rPr>
          <w:b/>
        </w:rPr>
        <w:t>轴封泄漏</w:t>
      </w:r>
      <w:r>
        <w:t>：表现为搅拌轴与罐体连接处有树脂渗出，成因是机械密封件老化（丁腈橡胶密封环使用超过8000小时）、轴套磨损（径向跳动＞0.1mm）或密封面进入杂质。</w:t>
      </w:r>
    </w:p>
    <w:p w14:paraId="451C90B6">
      <w:r>
        <w:rPr>
          <w:b/>
        </w:rPr>
        <w:t>真空系统故障</w:t>
      </w:r>
      <w:r>
        <w:t>：</w:t>
      </w:r>
    </w:p>
    <w:p w14:paraId="3170B95B">
      <w:pPr>
        <w:numPr>
          <w:ilvl w:val="0"/>
          <w:numId w:val="16"/>
        </w:numPr>
        <w:spacing w:before="0" w:beforeAutospacing="1" w:after="0" w:afterAutospacing="1"/>
        <w:ind w:left="720" w:hanging="360"/>
      </w:pPr>
      <w:r>
        <w:rPr>
          <w:b/>
        </w:rPr>
        <w:t>真空度不达标</w:t>
      </w:r>
      <w:r>
        <w:t>：表现为抽气30分钟后真空度＞200Pa，成因包括：真空泵油乳化（含水量＞0.1%）、管路泄漏（法兰密封垫片老化或螺栓松动）、真空阀门内漏（阀芯磨损或密封面划伤）、罐体变形（真空状态下罐体凹陷导致密封面错位）；</w:t>
      </w:r>
    </w:p>
    <w:p w14:paraId="364E3C1D">
      <w:pPr>
        <w:numPr>
          <w:ilvl w:val="0"/>
          <w:numId w:val="16"/>
        </w:numPr>
        <w:spacing w:before="0" w:beforeAutospacing="1" w:after="0" w:afterAutospacing="1"/>
        <w:ind w:left="720" w:hanging="360"/>
      </w:pPr>
      <w:r>
        <w:rPr>
          <w:b/>
        </w:rPr>
        <w:t>真空泵异响</w:t>
      </w:r>
      <w:r>
        <w:t>：表现为泵体发出“咔嗒”声或振动加剧（振幅＞0.1mm），成因是泵内进入异物（如树脂颗粒）、轴承磨损（游隙＞0.2mm）或转子不平衡（动平衡精度低于G6.3级）。</w:t>
      </w:r>
    </w:p>
    <w:p w14:paraId="59F35077">
      <w:r>
        <w:rPr>
          <w:b/>
        </w:rPr>
        <w:t>加热系统故障</w:t>
      </w:r>
      <w:r>
        <w:t>：</w:t>
      </w:r>
    </w:p>
    <w:p w14:paraId="4EE44955">
      <w:pPr>
        <w:numPr>
          <w:ilvl w:val="0"/>
          <w:numId w:val="17"/>
        </w:numPr>
        <w:spacing w:before="0" w:beforeAutospacing="1" w:after="0" w:afterAutospacing="1"/>
        <w:ind w:left="720" w:hanging="360"/>
      </w:pPr>
      <w:r>
        <w:rPr>
          <w:b/>
        </w:rPr>
        <w:t>温度不均</w:t>
      </w:r>
      <w:r>
        <w:t>：表现为罐内上下温差＞5℃，成因是导热油循环不畅（循环泵流量＜5m³/h）、加热管局部损坏（单组加热管断路导致加热功率下降）、夹套结垢（导热油使用超过1000小时未更换，垢层厚度＞0.5mm）；</w:t>
      </w:r>
    </w:p>
    <w:p w14:paraId="42092309">
      <w:pPr>
        <w:numPr>
          <w:ilvl w:val="0"/>
          <w:numId w:val="17"/>
        </w:numPr>
        <w:spacing w:before="0" w:beforeAutospacing="1" w:after="0" w:afterAutospacing="1"/>
        <w:ind w:left="720" w:hanging="360"/>
      </w:pPr>
      <w:r>
        <w:rPr>
          <w:b/>
        </w:rPr>
        <w:t>加热管烧毁</w:t>
      </w:r>
      <w:r>
        <w:t>：表现为加热功率下降（升温速率＜1℃/min）或漏电跳闸，成因是加热管干烧（导热油液位低于加热管顶部）、功率密度过高（＞3W/cm²）导致局部过热、绝缘层老化（使用超过2000小时）。</w:t>
      </w:r>
    </w:p>
    <w:p w14:paraId="408CC3EC">
      <w:pPr>
        <w:pStyle w:val="4"/>
      </w:pPr>
      <w:r>
        <w:t>5.2 电气与控制系统故障类型与成因</w:t>
      </w:r>
    </w:p>
    <w:p w14:paraId="5A482736">
      <w:r>
        <w:rPr>
          <w:b/>
        </w:rPr>
        <w:t>传感器故障</w:t>
      </w:r>
      <w:r>
        <w:t>：</w:t>
      </w:r>
    </w:p>
    <w:p w14:paraId="0D39FC3F">
      <w:pPr>
        <w:numPr>
          <w:ilvl w:val="0"/>
          <w:numId w:val="18"/>
        </w:numPr>
        <w:spacing w:before="0" w:beforeAutospacing="1" w:after="0" w:afterAutospacing="1"/>
        <w:ind w:left="720" w:hanging="360"/>
      </w:pPr>
      <w:r>
        <w:rPr>
          <w:b/>
        </w:rPr>
        <w:t>温度传感器漂移</w:t>
      </w:r>
      <w:r>
        <w:t>：表现为显示温度与实际温度偏差＞3℃，成因是Pt100传感器引线接触不良（接线端子氧化）、传感器老化（使用超过3年）或受到电磁干扰（附近有变频器）；</w:t>
      </w:r>
    </w:p>
    <w:p w14:paraId="66144507">
      <w:pPr>
        <w:numPr>
          <w:ilvl w:val="0"/>
          <w:numId w:val="18"/>
        </w:numPr>
        <w:spacing w:before="0" w:beforeAutospacing="1" w:after="0" w:afterAutospacing="1"/>
        <w:ind w:left="720" w:hanging="360"/>
      </w:pPr>
      <w:r>
        <w:rPr>
          <w:b/>
        </w:rPr>
        <w:t>真空变送器故障</w:t>
      </w:r>
      <w:r>
        <w:t>：表现为真空度显示跳变（波动＞50Pa）或无信号，成因是变送器电源故障（24V DC电压波动＞±5%）、传感器膜片污染（树脂蒸汽凝结）或信号线接地不良。</w:t>
      </w:r>
    </w:p>
    <w:p w14:paraId="7FFA6C3C">
      <w:r>
        <w:rPr>
          <w:b/>
        </w:rPr>
        <w:t>电机故障</w:t>
      </w:r>
      <w:r>
        <w:t>：</w:t>
      </w:r>
    </w:p>
    <w:p w14:paraId="07C0BA82">
      <w:pPr>
        <w:numPr>
          <w:ilvl w:val="0"/>
          <w:numId w:val="19"/>
        </w:numPr>
        <w:spacing w:before="0" w:beforeAutospacing="1" w:after="0" w:afterAutospacing="1"/>
        <w:ind w:left="720" w:hanging="360"/>
      </w:pPr>
      <w:r>
        <w:rPr>
          <w:b/>
        </w:rPr>
        <w:t>搅拌电机烧毁</w:t>
      </w:r>
      <w:r>
        <w:t>：表现为电机不启动或断路器跳闸，成因是过载保护失效（热继电器未动作）、电机轴承缺油（润滑脂干涸）、定子绕组绝缘老化（绝缘电阻＜1MΩ）；</w:t>
      </w:r>
    </w:p>
    <w:p w14:paraId="385763D0">
      <w:pPr>
        <w:numPr>
          <w:ilvl w:val="0"/>
          <w:numId w:val="19"/>
        </w:numPr>
        <w:spacing w:before="0" w:beforeAutospacing="1" w:after="0" w:afterAutospacing="1"/>
        <w:ind w:left="720" w:hanging="360"/>
      </w:pPr>
      <w:r>
        <w:rPr>
          <w:b/>
        </w:rPr>
        <w:t>螺杆泵电机异响</w:t>
      </w:r>
      <w:r>
        <w:t>：表现为电机运行时有“嗡嗡”声且电流增大，成因是泵体堵塞（树脂固化导致转子卡死）、电机缺相（电源进线一相断线）或电容老化（单相电机电容容量下降＞20%）。</w:t>
      </w:r>
    </w:p>
    <w:p w14:paraId="4F926DA3">
      <w:r>
        <w:rPr>
          <w:b/>
        </w:rPr>
        <w:t>控制系统故障</w:t>
      </w:r>
      <w:r>
        <w:t>：</w:t>
      </w:r>
    </w:p>
    <w:p w14:paraId="0F0F7534">
      <w:pPr>
        <w:numPr>
          <w:ilvl w:val="0"/>
          <w:numId w:val="20"/>
        </w:numPr>
        <w:spacing w:before="0" w:beforeAutospacing="1" w:after="0" w:afterAutospacing="1"/>
        <w:ind w:left="720" w:hanging="360"/>
      </w:pPr>
      <w:r>
        <w:rPr>
          <w:b/>
        </w:rPr>
        <w:t>PLC程序异常</w:t>
      </w:r>
      <w:r>
        <w:t>：表现为设备无响应或动作错乱，成因是程序丢失（电池电压＜3V）、输入输出模块损坏（通道指示灯不亮）或通讯故障（触摸屏与PLC通讯中断，报错“通讯超时”）；</w:t>
      </w:r>
    </w:p>
    <w:p w14:paraId="66214181">
      <w:pPr>
        <w:numPr>
          <w:ilvl w:val="0"/>
          <w:numId w:val="20"/>
        </w:numPr>
        <w:spacing w:before="0" w:beforeAutospacing="1" w:after="0" w:afterAutospacing="1"/>
        <w:ind w:left="720" w:hanging="360"/>
      </w:pPr>
      <w:r>
        <w:rPr>
          <w:b/>
        </w:rPr>
        <w:t>触摸屏无响应</w:t>
      </w:r>
      <w:r>
        <w:t>：表现为触摸失灵或黑屏，成因是触摸屏电源故障（24V DC无输出）、触摸面板损坏（表面划伤或进水）或软件崩溃（需重新下载程序）。</w:t>
      </w:r>
    </w:p>
    <w:p w14:paraId="1B393BC2">
      <w:pPr>
        <w:pStyle w:val="4"/>
      </w:pPr>
      <w:r>
        <w:t>5.3 物料输送与计量系统故障</w:t>
      </w:r>
    </w:p>
    <w:p w14:paraId="5B606896">
      <w:r>
        <w:rPr>
          <w:b/>
        </w:rPr>
        <w:t>螺杆泵不打料</w:t>
      </w:r>
      <w:r>
        <w:t>：</w:t>
      </w:r>
    </w:p>
    <w:p w14:paraId="3F448A73">
      <w:pPr>
        <w:numPr>
          <w:ilvl w:val="0"/>
          <w:numId w:val="21"/>
        </w:numPr>
        <w:spacing w:before="0" w:beforeAutospacing="1" w:after="0" w:afterAutospacing="1"/>
        <w:ind w:left="720" w:hanging="360"/>
      </w:pPr>
      <w:r>
        <w:rPr>
          <w:b/>
        </w:rPr>
        <w:t>无流量输出</w:t>
      </w:r>
      <w:r>
        <w:t>：表现为出口压力为零，成因是泵内未充满介质（启动前未灌泵）、吸入管路漏气（法兰密封不良）、转子与定子间隙过大（磨损导致过盈量＜0.1mm）或电机反转（相序接反）；</w:t>
      </w:r>
    </w:p>
    <w:p w14:paraId="510F01DF">
      <w:pPr>
        <w:numPr>
          <w:ilvl w:val="0"/>
          <w:numId w:val="21"/>
        </w:numPr>
        <w:spacing w:before="0" w:beforeAutospacing="1" w:after="0" w:afterAutospacing="1"/>
        <w:ind w:left="720" w:hanging="360"/>
      </w:pPr>
      <w:r>
        <w:rPr>
          <w:b/>
        </w:rPr>
        <w:t>流量波动</w:t>
      </w:r>
      <w:r>
        <w:t>：表现为出口流量偏差＞5%，成因是定子橡胶老化（弹性下降导致密封腔泄漏）、吸入管路堵塞（过滤器滤网目数过大或杂质过多）、转速不稳定（变频器故障导致频率波动＞±1Hz）。</w:t>
      </w:r>
    </w:p>
    <w:p w14:paraId="312AC9B8">
      <w:r>
        <w:rPr>
          <w:b/>
        </w:rPr>
        <w:t>管路堵塞</w:t>
      </w:r>
      <w:r>
        <w:t>：</w:t>
      </w:r>
    </w:p>
    <w:p w14:paraId="5E3F3C5B">
      <w:pPr>
        <w:numPr>
          <w:ilvl w:val="0"/>
          <w:numId w:val="22"/>
        </w:numPr>
        <w:spacing w:before="0" w:beforeAutospacing="1" w:after="0" w:afterAutospacing="1"/>
        <w:ind w:left="720" w:hanging="360"/>
      </w:pPr>
      <w:r>
        <w:rPr>
          <w:b/>
        </w:rPr>
        <w:t>物料管路堵塞</w:t>
      </w:r>
      <w:r>
        <w:t>：表现为出口压力＞1MPa且流量下降，成因是树脂温度过低（＜50℃）导致粘度增大、管路内残留树脂固化（停机未清洗）、阀门未全开（气动阀卡涩导致开度＜50%）；</w:t>
      </w:r>
    </w:p>
    <w:p w14:paraId="66438C0A">
      <w:pPr>
        <w:numPr>
          <w:ilvl w:val="0"/>
          <w:numId w:val="22"/>
        </w:numPr>
        <w:spacing w:before="0" w:beforeAutospacing="1" w:after="0" w:afterAutospacing="1"/>
        <w:ind w:left="720" w:hanging="360"/>
      </w:pPr>
      <w:r>
        <w:rPr>
          <w:b/>
        </w:rPr>
        <w:t>伴热管路失效</w:t>
      </w:r>
      <w:r>
        <w:t>：表现为管路外壁温度＜50℃，成因是电伴热带断路（内部加热丝断裂）、温控器故障（设定温度＜50℃）或保温层破损（热损失＞50W/m）。</w:t>
      </w:r>
    </w:p>
    <w:p w14:paraId="1EB88599">
      <w:r>
        <w:rPr>
          <w:b/>
        </w:rPr>
        <w:t>计量误差超标</w:t>
      </w:r>
      <w:r>
        <w:t>：</w:t>
      </w:r>
    </w:p>
    <w:p w14:paraId="52E2BD61">
      <w:pPr>
        <w:numPr>
          <w:ilvl w:val="0"/>
          <w:numId w:val="23"/>
        </w:numPr>
        <w:spacing w:before="0" w:beforeAutospacing="1" w:after="0" w:afterAutospacing="1"/>
        <w:ind w:left="720" w:hanging="360"/>
      </w:pPr>
      <w:r>
        <w:rPr>
          <w:b/>
        </w:rPr>
        <w:t>配料量偏差＞1%</w:t>
      </w:r>
      <w:r>
        <w:t>：表现为实际配料量与设定值偏差＞0.5kg（50kg以下），成因是电子秤传感器漂移（零点偏移＞0.1kg）、配料阀门泄漏（关闭后仍有物料滴漏）、树脂粘壁（罐壁残留量＞1kg）或温度补偿错误（未修正树脂密度随温度变化）。</w:t>
      </w:r>
    </w:p>
    <w:p w14:paraId="0CD182CF">
      <w:pPr>
        <w:pStyle w:val="3"/>
      </w:pPr>
      <w:r>
        <w:t>六、故障诊断与维护对策</w:t>
      </w:r>
    </w:p>
    <w:p w14:paraId="1FFE331D">
      <w:pPr>
        <w:pStyle w:val="4"/>
      </w:pPr>
      <w:r>
        <w:t>6.1 机械故障诊断与处理</w:t>
      </w:r>
    </w:p>
    <w:p w14:paraId="6F6672D2">
      <w:r>
        <w:rPr>
          <w:b/>
        </w:rPr>
        <w:t>搅拌叶片卡滞处理</w:t>
      </w:r>
      <w:r>
        <w:t>：</w:t>
      </w:r>
    </w:p>
    <w:p w14:paraId="14F1AD28">
      <w:pPr>
        <w:numPr>
          <w:ilvl w:val="0"/>
          <w:numId w:val="24"/>
        </w:numPr>
        <w:spacing w:before="0" w:beforeAutospacing="1" w:after="0" w:afterAutospacing="1"/>
        <w:ind w:left="720" w:hanging="360"/>
      </w:pPr>
      <w:r>
        <w:rPr>
          <w:b/>
        </w:rPr>
        <w:t>诊断流程</w:t>
      </w:r>
      <w:r>
        <w:t>：停机后测量树脂温度（若＜50℃，需加热至70℃）→打开人孔检查罐内有无异物→测量桨叶与罐壁间隙（使用塞尺）；</w:t>
      </w:r>
    </w:p>
    <w:p w14:paraId="5AA6E297">
      <w:pPr>
        <w:numPr>
          <w:ilvl w:val="0"/>
          <w:numId w:val="24"/>
        </w:numPr>
        <w:spacing w:before="0" w:beforeAutospacing="1" w:after="0" w:afterAutospacing="1"/>
        <w:ind w:left="720" w:hanging="360"/>
      </w:pPr>
      <w:r>
        <w:rPr>
          <w:b/>
        </w:rPr>
        <w:t>处理对策</w:t>
      </w:r>
      <w:r>
        <w:t>：若为温度过低，启动加热系统升温至70℃并保温30分钟；若有异物，停机后打开人孔取出；若间隙过小，松开桨叶固定螺栓，调整间隙至5~8mm后重新紧固。</w:t>
      </w:r>
    </w:p>
    <w:p w14:paraId="46B7ED7B">
      <w:r>
        <w:rPr>
          <w:b/>
        </w:rPr>
        <w:t>真空度不达标处理</w:t>
      </w:r>
      <w:r>
        <w:t>：</w:t>
      </w:r>
    </w:p>
    <w:p w14:paraId="47B65412">
      <w:pPr>
        <w:numPr>
          <w:ilvl w:val="0"/>
          <w:numId w:val="25"/>
        </w:numPr>
        <w:spacing w:before="0" w:beforeAutospacing="1" w:after="0" w:afterAutospacing="1"/>
        <w:ind w:left="720" w:hanging="360"/>
      </w:pPr>
      <w:r>
        <w:rPr>
          <w:b/>
        </w:rPr>
        <w:t>诊断流程</w:t>
      </w:r>
      <w:r>
        <w:t>：关闭真空泵，观察真空度衰减速率（正常＜10Pa/min）→若衰减快，用肥皂水涂抹管路法兰及阀门，查找气泡泄漏点→若衰减慢，检查真空泵油位及油色（正常油位在视镜1/2~2/3，油色透明）；</w:t>
      </w:r>
    </w:p>
    <w:p w14:paraId="4D3DAC52">
      <w:pPr>
        <w:numPr>
          <w:ilvl w:val="0"/>
          <w:numId w:val="25"/>
        </w:numPr>
        <w:spacing w:before="0" w:beforeAutospacing="1" w:after="0" w:afterAutospacing="1"/>
        <w:ind w:left="720" w:hanging="360"/>
      </w:pPr>
      <w:r>
        <w:rPr>
          <w:b/>
        </w:rPr>
        <w:t>处理对策</w:t>
      </w:r>
      <w:r>
        <w:t>：泄漏点更换丁腈橡胶垫片并均匀紧固螺栓（力矩30N·m）；真空泵油乳化时需更换新油（型号N68号真空泵油），并清洗泵体；真空阀门内漏时研磨阀芯或更换阀门。</w:t>
      </w:r>
    </w:p>
    <w:p w14:paraId="07EDDEFA">
      <w:r>
        <w:rPr>
          <w:b/>
        </w:rPr>
        <w:t>加热管烧毁处理</w:t>
      </w:r>
      <w:r>
        <w:t>：</w:t>
      </w:r>
    </w:p>
    <w:p w14:paraId="5D04D52C">
      <w:pPr>
        <w:numPr>
          <w:ilvl w:val="0"/>
          <w:numId w:val="26"/>
        </w:numPr>
        <w:spacing w:before="0" w:beforeAutospacing="1" w:after="0" w:afterAutospacing="1"/>
        <w:ind w:left="720" w:hanging="360"/>
      </w:pPr>
      <w:r>
        <w:rPr>
          <w:b/>
        </w:rPr>
        <w:t>诊断流程</w:t>
      </w:r>
      <w:r>
        <w:t>：使用万用表测量加热管电阻（正常单组电阻约15Ω，烧毁时为无穷大）→检查导热油液位（正常液位在膨胀罐1/2处）；</w:t>
      </w:r>
    </w:p>
    <w:p w14:paraId="033ECCC5">
      <w:pPr>
        <w:numPr>
          <w:ilvl w:val="0"/>
          <w:numId w:val="26"/>
        </w:numPr>
        <w:spacing w:before="0" w:beforeAutospacing="1" w:after="0" w:afterAutospacing="1"/>
        <w:ind w:left="720" w:hanging="360"/>
      </w:pPr>
      <w:r>
        <w:rPr>
          <w:b/>
        </w:rPr>
        <w:t>处理对策</w:t>
      </w:r>
      <w:r>
        <w:t>：更换烧毁的加热管（功率15kW，U型304不锈钢材质），确保加热管完全浸入导热油；补充导热油至规定液位，排气后重新启动。</w:t>
      </w:r>
    </w:p>
    <w:p w14:paraId="0D371C0F">
      <w:pPr>
        <w:pStyle w:val="4"/>
      </w:pPr>
      <w:r>
        <w:t>6.2 电气与控制系统故障处理</w:t>
      </w:r>
    </w:p>
    <w:p w14:paraId="0D5AE2D2">
      <w:r>
        <w:rPr>
          <w:b/>
        </w:rPr>
        <w:t>温度传感器漂移校准</w:t>
      </w:r>
      <w:r>
        <w:t>：</w:t>
      </w:r>
    </w:p>
    <w:p w14:paraId="314D83C6">
      <w:pPr>
        <w:numPr>
          <w:ilvl w:val="0"/>
          <w:numId w:val="27"/>
        </w:numPr>
        <w:spacing w:before="0" w:beforeAutospacing="1" w:after="0" w:afterAutospacing="1"/>
        <w:ind w:left="720" w:hanging="360"/>
      </w:pPr>
      <w:r>
        <w:rPr>
          <w:b/>
        </w:rPr>
        <w:t>校准步骤</w:t>
      </w:r>
      <w:r>
        <w:t>：准备标准电阻箱（精度0.01Ω）→断开传感器接线，将电阻箱接入PLC模拟量模块→设置电阻值（如0℃对应100Ω，100℃对应138.5Ω）→记录PLC显示温度，计算偏差→通过触摸屏“传感器校准”功能修正（如实际100℃显示97℃，则修正值+3℃）；</w:t>
      </w:r>
    </w:p>
    <w:p w14:paraId="1C81E7D5">
      <w:pPr>
        <w:numPr>
          <w:ilvl w:val="0"/>
          <w:numId w:val="27"/>
        </w:numPr>
        <w:spacing w:before="0" w:beforeAutospacing="1" w:after="0" w:afterAutospacing="1"/>
        <w:ind w:left="720" w:hanging="360"/>
      </w:pPr>
      <w:r>
        <w:rPr>
          <w:b/>
        </w:rPr>
        <w:t>预防措施</w:t>
      </w:r>
      <w:r>
        <w:t>：传感器接线端子定期（每季度）用砂纸打磨，避免氧化；远离变频器等干扰源，信号线采用屏蔽线并单端接地。</w:t>
      </w:r>
    </w:p>
    <w:p w14:paraId="066A580F">
      <w:r>
        <w:rPr>
          <w:b/>
        </w:rPr>
        <w:t>PLC程序恢复</w:t>
      </w:r>
      <w:r>
        <w:t>：</w:t>
      </w:r>
    </w:p>
    <w:p w14:paraId="624DE23A">
      <w:pPr>
        <w:numPr>
          <w:ilvl w:val="0"/>
          <w:numId w:val="28"/>
        </w:numPr>
        <w:spacing w:before="0" w:beforeAutospacing="1" w:after="0" w:afterAutospacing="1"/>
        <w:ind w:left="720" w:hanging="360"/>
      </w:pPr>
      <w:r>
        <w:rPr>
          <w:b/>
        </w:rPr>
        <w:t>恢复步骤</w:t>
      </w:r>
      <w:r>
        <w:t>：使用西门子TIA Portal软件连接PLC→通过“在线”→“硬件配置”检测模块状态→若程序丢失，从备份文件（存储在U盘）中下载程序→下载完成后进行I/O点测试（手动触发各阀门、电机动作）；</w:t>
      </w:r>
    </w:p>
    <w:p w14:paraId="68EF5DE0">
      <w:pPr>
        <w:numPr>
          <w:ilvl w:val="0"/>
          <w:numId w:val="28"/>
        </w:numPr>
        <w:spacing w:before="0" w:beforeAutospacing="1" w:after="0" w:afterAutospacing="1"/>
        <w:ind w:left="720" w:hanging="360"/>
      </w:pPr>
      <w:r>
        <w:rPr>
          <w:b/>
        </w:rPr>
        <w:t>预防措施</w:t>
      </w:r>
      <w:r>
        <w:t>：每月备份PLC程序至U盘；更换PLC电池（电压＜3V时），确保程序不丢失。</w:t>
      </w:r>
    </w:p>
    <w:p w14:paraId="6B876A55">
      <w:r>
        <w:rPr>
          <w:b/>
        </w:rPr>
        <w:t>触摸屏无响应处理</w:t>
      </w:r>
      <w:r>
        <w:t>：</w:t>
      </w:r>
    </w:p>
    <w:p w14:paraId="5E439184">
      <w:pPr>
        <w:numPr>
          <w:ilvl w:val="0"/>
          <w:numId w:val="29"/>
        </w:numPr>
        <w:spacing w:before="0" w:beforeAutospacing="1" w:after="0" w:afterAutospacing="1"/>
        <w:ind w:left="720" w:hanging="360"/>
      </w:pPr>
      <w:r>
        <w:rPr>
          <w:b/>
        </w:rPr>
        <w:t>处理步骤</w:t>
      </w:r>
      <w:r>
        <w:t>：检查触摸屏电源（24V DC电压，正常22~26V）→若电源正常，重启触摸屏（按复位键3秒）→若仍无响应，重新下载触摸屏程序（通过USB接口）→若触摸失灵，更换触摸面板（型号MT8102iE专用面板）；</w:t>
      </w:r>
    </w:p>
    <w:p w14:paraId="08B1E7F4">
      <w:pPr>
        <w:numPr>
          <w:ilvl w:val="0"/>
          <w:numId w:val="29"/>
        </w:numPr>
        <w:spacing w:before="0" w:beforeAutospacing="1" w:after="0" w:afterAutospacing="1"/>
        <w:ind w:left="720" w:hanging="360"/>
      </w:pPr>
      <w:r>
        <w:rPr>
          <w:b/>
        </w:rPr>
        <w:t>预防措施</w:t>
      </w:r>
      <w:r>
        <w:t>：保持触摸屏表面清洁，避免划伤；定期（每半年）检查电源模块输出电压，确保稳定。</w:t>
      </w:r>
    </w:p>
    <w:p w14:paraId="577851B9">
      <w:pPr>
        <w:pStyle w:val="4"/>
      </w:pPr>
      <w:r>
        <w:t>6.3 预防性维护与预测性维护方案</w:t>
      </w:r>
    </w:p>
    <w:p w14:paraId="2EB8AEE2">
      <w:r>
        <w:rPr>
          <w:b/>
        </w:rPr>
        <w:t>预防性维护周期与项目</w:t>
      </w:r>
      <w:r>
        <w:t>：</w:t>
      </w:r>
    </w:p>
    <w:p w14:paraId="58A31CA0">
      <w:pPr>
        <w:numPr>
          <w:ilvl w:val="0"/>
          <w:numId w:val="30"/>
        </w:numPr>
        <w:spacing w:before="0" w:beforeAutospacing="1" w:after="0" w:afterAutospacing="1"/>
        <w:ind w:left="720" w:hanging="360"/>
      </w:pPr>
      <w:r>
        <w:rPr>
          <w:b/>
        </w:rPr>
        <w:t>每日维护</w:t>
      </w:r>
      <w:r>
        <w:t>：检查搅拌系统有无异响（使用听诊器）、振动（振幅≤0.05mm）；监测真空度曲线（脱气30分钟后≤50Pa）；记录加热升温速率（应≥1℃/min）；</w:t>
      </w:r>
    </w:p>
    <w:p w14:paraId="1172345A">
      <w:pPr>
        <w:numPr>
          <w:ilvl w:val="0"/>
          <w:numId w:val="30"/>
        </w:numPr>
        <w:spacing w:before="0" w:beforeAutospacing="1" w:after="0" w:afterAutospacing="1"/>
        <w:ind w:left="720" w:hanging="360"/>
      </w:pPr>
      <w:r>
        <w:rPr>
          <w:b/>
        </w:rPr>
        <w:t>每周维护</w:t>
      </w:r>
      <w:r>
        <w:t>：清理罐体内部残留树脂（使用专用清洗剂，如丙酮）；检查轴封有无泄漏；校准电子秤（用10kg标准砝码，误差应≤0.1kg）；</w:t>
      </w:r>
    </w:p>
    <w:p w14:paraId="745A33CA">
      <w:pPr>
        <w:numPr>
          <w:ilvl w:val="0"/>
          <w:numId w:val="30"/>
        </w:numPr>
        <w:spacing w:before="0" w:beforeAutospacing="1" w:after="0" w:afterAutospacing="1"/>
        <w:ind w:left="720" w:hanging="360"/>
      </w:pPr>
      <w:r>
        <w:rPr>
          <w:b/>
        </w:rPr>
        <w:t>每月维护</w:t>
      </w:r>
      <w:r>
        <w:t>：更换真空泵油（N68号，油量至视镜1/2）；检查加热管绝缘电阻（≥10MΩ）；紧固所有电气接线端子；</w:t>
      </w:r>
    </w:p>
    <w:p w14:paraId="4C7881EC">
      <w:pPr>
        <w:numPr>
          <w:ilvl w:val="0"/>
          <w:numId w:val="30"/>
        </w:numPr>
        <w:spacing w:before="0" w:beforeAutospacing="1" w:after="0" w:afterAutospacing="1"/>
        <w:ind w:left="720" w:hanging="360"/>
      </w:pPr>
      <w:r>
        <w:rPr>
          <w:b/>
        </w:rPr>
        <w:t>每季度维护</w:t>
      </w:r>
      <w:r>
        <w:t>：测量搅拌桨叶与罐壁间隙（5~8mm）；校验温度传感器（偏差≤1℃）；清洗导热油过滤器；</w:t>
      </w:r>
    </w:p>
    <w:p w14:paraId="11A1BEC2">
      <w:pPr>
        <w:numPr>
          <w:ilvl w:val="0"/>
          <w:numId w:val="30"/>
        </w:numPr>
        <w:spacing w:before="0" w:beforeAutospacing="1" w:after="0" w:afterAutospacing="1"/>
        <w:ind w:left="720" w:hanging="360"/>
      </w:pPr>
      <w:r>
        <w:rPr>
          <w:b/>
        </w:rPr>
        <w:t>每年维护</w:t>
      </w:r>
      <w:r>
        <w:t>：更换机械密封件（搅拌轴与螺杆泵轴封）；检测罐体真空密封性（保压1小时真空度衰减≤10Pa）；校准PLC模拟量模块（精度±0.1%FS）。</w:t>
      </w:r>
    </w:p>
    <w:p w14:paraId="154E0848">
      <w:r>
        <w:rPr>
          <w:b/>
        </w:rPr>
        <w:t>预测性维护技术应用</w:t>
      </w:r>
      <w:r>
        <w:t>：</w:t>
      </w:r>
    </w:p>
    <w:p w14:paraId="4DEBFCD3">
      <w:pPr>
        <w:numPr>
          <w:ilvl w:val="0"/>
          <w:numId w:val="31"/>
        </w:numPr>
        <w:spacing w:before="0" w:beforeAutospacing="1" w:after="0" w:afterAutospacing="1"/>
        <w:ind w:left="720" w:hanging="360"/>
      </w:pPr>
      <w:r>
        <w:rPr>
          <w:b/>
        </w:rPr>
        <w:t>搅拌电机电流监测</w:t>
      </w:r>
      <w:r>
        <w:t>：通过PLC记录搅拌电机运行电流，绘制趋势曲线（每周一次），当电流逐渐增大（如从5A升至6A）时，预示桨叶磨损或树脂粘度异常，需提前检查；</w:t>
      </w:r>
    </w:p>
    <w:p w14:paraId="0452B835">
      <w:pPr>
        <w:numPr>
          <w:ilvl w:val="0"/>
          <w:numId w:val="31"/>
        </w:numPr>
        <w:spacing w:before="0" w:beforeAutospacing="1" w:after="0" w:afterAutospacing="1"/>
        <w:ind w:left="720" w:hanging="360"/>
      </w:pPr>
      <w:r>
        <w:rPr>
          <w:b/>
        </w:rPr>
        <w:t>红外热成像检测</w:t>
      </w:r>
      <w:r>
        <w:t>：使用红外热像仪（分辨率640×512）检测加热管表面温度分布，若出现局部热点（温差＞10℃），预示加热管即将烧毁，需及时更换；</w:t>
      </w:r>
    </w:p>
    <w:p w14:paraId="6D277A5E">
      <w:pPr>
        <w:numPr>
          <w:ilvl w:val="0"/>
          <w:numId w:val="31"/>
        </w:numPr>
        <w:spacing w:before="0" w:beforeAutospacing="1" w:after="0" w:afterAutospacing="1"/>
        <w:ind w:left="720" w:hanging="360"/>
      </w:pPr>
      <w:r>
        <w:rPr>
          <w:b/>
        </w:rPr>
        <w:t>振动分析</w:t>
      </w:r>
      <w:r>
        <w:t>：采用振动传感器（安装于真空泵轴承座）监测振动加速度（正常≤1.5m/s²），当振动值突然增大20%时，预示轴承磨损，需安排更换；</w:t>
      </w:r>
    </w:p>
    <w:p w14:paraId="2F6167C5">
      <w:pPr>
        <w:numPr>
          <w:ilvl w:val="0"/>
          <w:numId w:val="31"/>
        </w:numPr>
        <w:spacing w:before="0" w:beforeAutospacing="1" w:after="0" w:afterAutospacing="1"/>
        <w:ind w:left="720" w:hanging="360"/>
      </w:pPr>
      <w:r>
        <w:rPr>
          <w:b/>
        </w:rPr>
        <w:t>油液分析</w:t>
      </w:r>
      <w:r>
        <w:t>：每半年取真空泵油样，检测水分（≤0.05%）、粘度（40℃时68±5mm²/s）及颗粒度（NAS 8级以下），超标时提前换油，避免泵体磨损。</w:t>
      </w:r>
    </w:p>
    <w:p w14:paraId="07765E63">
      <w:pPr>
        <w:pStyle w:val="3"/>
      </w:pPr>
      <w:r>
        <w:t>七、操作与维护规程</w:t>
      </w:r>
    </w:p>
    <w:p w14:paraId="01B0B7BF">
      <w:pPr>
        <w:pStyle w:val="4"/>
      </w:pPr>
      <w:r>
        <w:t>7.1 开机前检查与准备</w:t>
      </w:r>
    </w:p>
    <w:p w14:paraId="4216F8E6">
      <w:r>
        <w:rPr>
          <w:b/>
        </w:rPr>
        <w:t>设备检查</w:t>
      </w:r>
      <w:r>
        <w:t>：</w:t>
      </w:r>
    </w:p>
    <w:p w14:paraId="1507E678">
      <w:pPr>
        <w:numPr>
          <w:ilvl w:val="0"/>
          <w:numId w:val="32"/>
        </w:numPr>
        <w:spacing w:before="0" w:beforeAutospacing="1" w:after="0" w:afterAutospacing="1"/>
        <w:ind w:left="720" w:hanging="360"/>
      </w:pPr>
      <w:r>
        <w:rPr>
          <w:b/>
        </w:rPr>
        <w:t>机械部分</w:t>
      </w:r>
      <w:r>
        <w:t>：检查搅拌桨叶与罐壁间隙（5~8mm），手动盘车应灵活无卡滞；确认所有阀门处于关闭状态（真空阀、放料阀）；检查螺杆泵转子与定子间隙（用手转动应无卡顿）；</w:t>
      </w:r>
    </w:p>
    <w:p w14:paraId="1687D938">
      <w:pPr>
        <w:numPr>
          <w:ilvl w:val="0"/>
          <w:numId w:val="32"/>
        </w:numPr>
        <w:spacing w:before="0" w:beforeAutospacing="1" w:after="0" w:afterAutospacing="1"/>
        <w:ind w:left="720" w:hanging="360"/>
      </w:pPr>
      <w:r>
        <w:rPr>
          <w:b/>
        </w:rPr>
        <w:t>电气部分</w:t>
      </w:r>
      <w:r>
        <w:t>：检查电源电压（380V±5%）、接地电阻（≤4Ω）；触摸屏显示正常，无报警信息；传感器接线牢固，指示灯正常（绿色常亮）；</w:t>
      </w:r>
    </w:p>
    <w:p w14:paraId="022404BC">
      <w:pPr>
        <w:numPr>
          <w:ilvl w:val="0"/>
          <w:numId w:val="32"/>
        </w:numPr>
        <w:spacing w:before="0" w:beforeAutospacing="1" w:after="0" w:afterAutospacing="1"/>
        <w:ind w:left="720" w:hanging="360"/>
      </w:pPr>
      <w:r>
        <w:rPr>
          <w:b/>
        </w:rPr>
        <w:t>工艺参数</w:t>
      </w:r>
      <w:r>
        <w:t>：确认树脂类型（如E-51环氧树脂）、固化剂配比（如100:80）、脱气温度（80℃）、真空度（50Pa）等参数已在触摸屏中设置；</w:t>
      </w:r>
    </w:p>
    <w:p w14:paraId="0AFFA6A9">
      <w:r>
        <w:rPr>
          <w:b/>
        </w:rPr>
        <w:t>原料准备</w:t>
      </w:r>
      <w:r>
        <w:t>：</w:t>
      </w:r>
    </w:p>
    <w:p w14:paraId="4077898F">
      <w:pPr>
        <w:numPr>
          <w:ilvl w:val="0"/>
          <w:numId w:val="33"/>
        </w:numPr>
        <w:spacing w:before="0" w:beforeAutospacing="1" w:after="0" w:afterAutospacing="1"/>
        <w:ind w:left="720" w:hanging="360"/>
      </w:pPr>
      <w:r>
        <w:t>树脂、固化剂及添加剂需提前在25℃环境下存放24小时（避免低温结晶）；</w:t>
      </w:r>
    </w:p>
    <w:p w14:paraId="563609D4">
      <w:pPr>
        <w:numPr>
          <w:ilvl w:val="0"/>
          <w:numId w:val="33"/>
        </w:numPr>
        <w:spacing w:before="0" w:beforeAutospacing="1" w:after="0" w:afterAutospacing="1"/>
        <w:ind w:left="720" w:hanging="360"/>
      </w:pPr>
      <w:r>
        <w:t>检查原料桶密封性，确认无泄漏、无杂质；</w:t>
      </w:r>
    </w:p>
    <w:p w14:paraId="3C2E72B1">
      <w:pPr>
        <w:numPr>
          <w:ilvl w:val="0"/>
          <w:numId w:val="33"/>
        </w:numPr>
        <w:spacing w:before="0" w:beforeAutospacing="1" w:after="0" w:afterAutospacing="1"/>
        <w:ind w:left="720" w:hanging="360"/>
      </w:pPr>
      <w:r>
        <w:t>电子秤校准：放置10kg标准砝码，显示误差应≤0.1kg，否则进行校准；</w:t>
      </w:r>
    </w:p>
    <w:p w14:paraId="31529146">
      <w:r>
        <w:rPr>
          <w:b/>
        </w:rPr>
        <w:t>安全准备</w:t>
      </w:r>
      <w:r>
        <w:t>：</w:t>
      </w:r>
    </w:p>
    <w:p w14:paraId="3602129B">
      <w:pPr>
        <w:numPr>
          <w:ilvl w:val="0"/>
          <w:numId w:val="34"/>
        </w:numPr>
        <w:spacing w:before="0" w:beforeAutospacing="1" w:after="0" w:afterAutospacing="1"/>
        <w:ind w:left="720" w:hanging="360"/>
      </w:pPr>
      <w:r>
        <w:t>检查真空联锁功能：关闭加料口盖板，启动真空系统，若强行打开盖板应立即停机报警；</w:t>
      </w:r>
    </w:p>
    <w:p w14:paraId="2D8B1052">
      <w:pPr>
        <w:numPr>
          <w:ilvl w:val="0"/>
          <w:numId w:val="34"/>
        </w:numPr>
        <w:spacing w:before="0" w:beforeAutospacing="1" w:after="0" w:afterAutospacing="1"/>
        <w:ind w:left="720" w:hanging="360"/>
      </w:pPr>
      <w:r>
        <w:t>确认消防器材（灭火器、防火毯）齐全有效；</w:t>
      </w:r>
    </w:p>
    <w:p w14:paraId="73EC4455">
      <w:pPr>
        <w:numPr>
          <w:ilvl w:val="0"/>
          <w:numId w:val="34"/>
        </w:numPr>
        <w:spacing w:before="0" w:beforeAutospacing="1" w:after="0" w:afterAutospacing="1"/>
        <w:ind w:left="720" w:hanging="360"/>
      </w:pPr>
      <w:r>
        <w:t>操作人员佩戴耐酸碱手套、护目镜及防护服。</w:t>
      </w:r>
    </w:p>
    <w:p w14:paraId="5B9E9FD0">
      <w:pPr>
        <w:pStyle w:val="4"/>
      </w:pPr>
      <w:r>
        <w:t>7.2 正常操作流程与参数监控</w:t>
      </w:r>
    </w:p>
    <w:p w14:paraId="58B540E1">
      <w:r>
        <w:rPr>
          <w:b/>
        </w:rPr>
        <w:t>配料阶段</w:t>
      </w:r>
      <w:r>
        <w:t>：</w:t>
      </w:r>
    </w:p>
    <w:p w14:paraId="6DEC3650">
      <w:pPr>
        <w:numPr>
          <w:ilvl w:val="0"/>
          <w:numId w:val="35"/>
        </w:numPr>
        <w:spacing w:before="0" w:beforeAutospacing="1" w:after="0" w:afterAutospacing="1"/>
        <w:ind w:left="720" w:hanging="360"/>
      </w:pPr>
      <w:r>
        <w:t>启动电子秤系统，去皮清零；</w:t>
      </w:r>
    </w:p>
    <w:p w14:paraId="1719EC2D">
      <w:pPr>
        <w:numPr>
          <w:ilvl w:val="0"/>
          <w:numId w:val="35"/>
        </w:numPr>
        <w:spacing w:before="0" w:beforeAutospacing="1" w:after="0" w:afterAutospacing="1"/>
        <w:ind w:left="720" w:hanging="360"/>
      </w:pPr>
      <w:r>
        <w:t>打开树脂配料阀门，当电子秤显示达到设定值（如100kg）时，关闭阀门，误差应≤0.5kg；</w:t>
      </w:r>
    </w:p>
    <w:p w14:paraId="2162DF8A">
      <w:pPr>
        <w:numPr>
          <w:ilvl w:val="0"/>
          <w:numId w:val="35"/>
        </w:numPr>
        <w:spacing w:before="0" w:beforeAutospacing="1" w:after="0" w:afterAutospacing="1"/>
        <w:ind w:left="720" w:hanging="360"/>
      </w:pPr>
      <w:r>
        <w:t>按相同步骤加入固化剂及添加剂，完成后关闭所有配料阀门；</w:t>
      </w:r>
    </w:p>
    <w:p w14:paraId="10A6DB00">
      <w:r>
        <w:rPr>
          <w:b/>
        </w:rPr>
        <w:t>加热搅拌阶段</w:t>
      </w:r>
      <w:r>
        <w:t>：</w:t>
      </w:r>
    </w:p>
    <w:p w14:paraId="3B25EFCD">
      <w:pPr>
        <w:numPr>
          <w:ilvl w:val="0"/>
          <w:numId w:val="36"/>
        </w:numPr>
        <w:spacing w:before="0" w:beforeAutospacing="1" w:after="0" w:afterAutospacing="1"/>
        <w:ind w:left="720" w:hanging="360"/>
      </w:pPr>
      <w:r>
        <w:t>启动导热油循环泵，设定加热温度（如80℃），启动加热系统，升温速率控制在1~2℃/min；</w:t>
      </w:r>
    </w:p>
    <w:p w14:paraId="750C9B47">
      <w:pPr>
        <w:numPr>
          <w:ilvl w:val="0"/>
          <w:numId w:val="36"/>
        </w:numPr>
        <w:spacing w:before="0" w:beforeAutospacing="1" w:after="0" w:afterAutospacing="1"/>
        <w:ind w:left="720" w:hanging="360"/>
      </w:pPr>
      <w:r>
        <w:t>当树脂温度升至50℃时，启动搅拌系统，设定转速50rpm，搅拌30分钟；</w:t>
      </w:r>
    </w:p>
    <w:p w14:paraId="0E807D17">
      <w:r>
        <w:rPr>
          <w:b/>
        </w:rPr>
        <w:t>真空脱气阶段</w:t>
      </w:r>
      <w:r>
        <w:t>：</w:t>
      </w:r>
    </w:p>
    <w:p w14:paraId="3600A9C0">
      <w:pPr>
        <w:numPr>
          <w:ilvl w:val="0"/>
          <w:numId w:val="37"/>
        </w:numPr>
        <w:spacing w:before="0" w:beforeAutospacing="1" w:after="0" w:afterAutospacing="1"/>
        <w:ind w:left="720" w:hanging="360"/>
      </w:pPr>
      <w:r>
        <w:t>启动外循环薄膜脱气组件，设定分散器转速2000rpm；</w:t>
      </w:r>
    </w:p>
    <w:p w14:paraId="7C2EDC7A">
      <w:pPr>
        <w:numPr>
          <w:ilvl w:val="0"/>
          <w:numId w:val="37"/>
        </w:numPr>
        <w:spacing w:before="0" w:beforeAutospacing="1" w:after="0" w:afterAutospacing="1"/>
        <w:ind w:left="720" w:hanging="360"/>
      </w:pPr>
      <w:r>
        <w:t>启动真空泵组（先开滑阀泵，3分钟后开罗茨泵），观察真空度变化，30分钟内应降至≤50Pa；</w:t>
      </w:r>
    </w:p>
    <w:p w14:paraId="7C048563">
      <w:pPr>
        <w:numPr>
          <w:ilvl w:val="0"/>
          <w:numId w:val="37"/>
        </w:numPr>
        <w:spacing w:before="0" w:beforeAutospacing="1" w:after="0" w:afterAutospacing="1"/>
        <w:ind w:left="720" w:hanging="360"/>
      </w:pPr>
      <w:r>
        <w:t>维持真空度50Pa，搅拌转速80rpm，脱气时间60分钟（根据树脂粘度调整，粘度高时延长至90分钟）；</w:t>
      </w:r>
    </w:p>
    <w:p w14:paraId="487F1417">
      <w:r>
        <w:rPr>
          <w:b/>
        </w:rPr>
        <w:t>输送阶段</w:t>
      </w:r>
      <w:r>
        <w:t>：</w:t>
      </w:r>
    </w:p>
    <w:p w14:paraId="5B85373C">
      <w:pPr>
        <w:numPr>
          <w:ilvl w:val="0"/>
          <w:numId w:val="38"/>
        </w:numPr>
        <w:spacing w:before="0" w:beforeAutospacing="1" w:after="0" w:afterAutospacing="1"/>
        <w:ind w:left="720" w:hanging="360"/>
      </w:pPr>
      <w:r>
        <w:t>脱气完成后，关闭真空泵组（先关罗茨泵，5分钟后关滑阀泵），缓慢打开氮气阀门，充氮气至微正压（0.02MPa）；</w:t>
      </w:r>
    </w:p>
    <w:p w14:paraId="5F1528A8">
      <w:pPr>
        <w:numPr>
          <w:ilvl w:val="0"/>
          <w:numId w:val="38"/>
        </w:numPr>
        <w:spacing w:before="0" w:beforeAutospacing="1" w:after="0" w:afterAutospacing="1"/>
        <w:ind w:left="720" w:hanging="360"/>
      </w:pPr>
      <w:r>
        <w:t>启动螺杆泵，打开放料阀，将树脂输送至混料罐，输送过程中监测树脂温度（应保持80±1℃）；</w:t>
      </w:r>
    </w:p>
    <w:p w14:paraId="58F8DC10">
      <w:pPr>
        <w:numPr>
          <w:ilvl w:val="0"/>
          <w:numId w:val="38"/>
        </w:numPr>
        <w:spacing w:before="0" w:beforeAutospacing="1" w:after="0" w:afterAutospacing="1"/>
        <w:ind w:left="720" w:hanging="360"/>
      </w:pPr>
      <w:r>
        <w:t>输送完成后，关闭放料阀及螺杆泵，清理管路残留树脂。</w:t>
      </w:r>
    </w:p>
    <w:p w14:paraId="576AACE4">
      <w:r>
        <w:rPr>
          <w:b/>
        </w:rPr>
        <w:t>参数监控重点</w:t>
      </w:r>
      <w:r>
        <w:t>：</w:t>
      </w:r>
    </w:p>
    <w:p w14:paraId="43BE88A9">
      <w:pPr>
        <w:numPr>
          <w:ilvl w:val="0"/>
          <w:numId w:val="39"/>
        </w:numPr>
        <w:spacing w:before="0" w:beforeAutospacing="1" w:after="0" w:afterAutospacing="1"/>
        <w:ind w:left="720" w:hanging="360"/>
      </w:pPr>
      <w:r>
        <w:t>温度：每10分钟记录一次，偏差应≤±1℃；</w:t>
      </w:r>
    </w:p>
    <w:p w14:paraId="5DDD29A3">
      <w:pPr>
        <w:numPr>
          <w:ilvl w:val="0"/>
          <w:numId w:val="39"/>
        </w:numPr>
        <w:spacing w:before="0" w:beforeAutospacing="1" w:after="0" w:afterAutospacing="1"/>
        <w:ind w:left="720" w:hanging="360"/>
      </w:pPr>
      <w:r>
        <w:t>真空度：脱气阶段每5分钟记录一次，应稳定在50±5Pa；</w:t>
      </w:r>
    </w:p>
    <w:p w14:paraId="77A3AA65">
      <w:pPr>
        <w:numPr>
          <w:ilvl w:val="0"/>
          <w:numId w:val="39"/>
        </w:numPr>
        <w:spacing w:before="0" w:beforeAutospacing="1" w:after="0" w:afterAutospacing="1"/>
        <w:ind w:left="720" w:hanging="360"/>
      </w:pPr>
      <w:r>
        <w:t>搅拌电流：正常应≤额定电流的80%（如5A额定，应≤4A）；</w:t>
      </w:r>
    </w:p>
    <w:p w14:paraId="65202128">
      <w:pPr>
        <w:pStyle w:val="4"/>
      </w:pPr>
      <w:r>
        <w:t>7.3 停机与保养规范</w:t>
      </w:r>
    </w:p>
    <w:p w14:paraId="11AA6718">
      <w:r>
        <w:rPr>
          <w:b/>
        </w:rPr>
        <w:t>正常停机</w:t>
      </w:r>
      <w:r>
        <w:t>：</w:t>
      </w:r>
    </w:p>
    <w:p w14:paraId="3D070AC9">
      <w:pPr>
        <w:numPr>
          <w:ilvl w:val="0"/>
          <w:numId w:val="40"/>
        </w:numPr>
        <w:spacing w:before="0" w:beforeAutospacing="1" w:after="0" w:afterAutospacing="1"/>
        <w:ind w:left="720" w:hanging="360"/>
      </w:pPr>
      <w:r>
        <w:t>输送完成后，关闭所有阀门，切断加热电源；</w:t>
      </w:r>
    </w:p>
    <w:p w14:paraId="33849EFD">
      <w:pPr>
        <w:numPr>
          <w:ilvl w:val="0"/>
          <w:numId w:val="40"/>
        </w:numPr>
        <w:spacing w:before="0" w:beforeAutospacing="1" w:after="0" w:afterAutospacing="1"/>
        <w:ind w:left="720" w:hanging="360"/>
      </w:pPr>
      <w:r>
        <w:t>待树脂温度降至50℃以下，关闭搅拌系统及循环泵；</w:t>
      </w:r>
    </w:p>
    <w:p w14:paraId="559ECE16">
      <w:pPr>
        <w:numPr>
          <w:ilvl w:val="0"/>
          <w:numId w:val="40"/>
        </w:numPr>
        <w:spacing w:before="0" w:beforeAutospacing="1" w:after="0" w:afterAutospacing="1"/>
        <w:ind w:left="720" w:hanging="360"/>
      </w:pPr>
      <w:r>
        <w:t>打开加料口盖板，清理罐内残留树脂（使用丙酮擦拭内壁，直至无残留）；</w:t>
      </w:r>
    </w:p>
    <w:p w14:paraId="163423EC">
      <w:pPr>
        <w:numPr>
          <w:ilvl w:val="0"/>
          <w:numId w:val="40"/>
        </w:numPr>
        <w:spacing w:before="0" w:beforeAutospacing="1" w:after="0" w:afterAutospacing="1"/>
        <w:ind w:left="720" w:hanging="360"/>
      </w:pPr>
      <w:r>
        <w:t>关闭总电源，填写设备运行记录（温度、真空度、故障情况等）；</w:t>
      </w:r>
    </w:p>
    <w:p w14:paraId="72E00E6C">
      <w:r>
        <w:rPr>
          <w:b/>
        </w:rPr>
        <w:t>紧急停机</w:t>
      </w:r>
      <w:r>
        <w:t>：</w:t>
      </w:r>
    </w:p>
    <w:p w14:paraId="327AB3FD">
      <w:pPr>
        <w:numPr>
          <w:ilvl w:val="0"/>
          <w:numId w:val="41"/>
        </w:numPr>
        <w:spacing w:before="0" w:beforeAutospacing="1" w:after="0" w:afterAutospacing="1"/>
        <w:ind w:left="720" w:hanging="360"/>
      </w:pPr>
      <w:r>
        <w:t>当出现超温（＞90℃）、真空度不达标（＞200Pa且无法下降）或电机异响时，立即按下“急停”按钮；</w:t>
      </w:r>
    </w:p>
    <w:p w14:paraId="1D6D3D51">
      <w:pPr>
        <w:numPr>
          <w:ilvl w:val="0"/>
          <w:numId w:val="41"/>
        </w:numPr>
        <w:spacing w:before="0" w:beforeAutospacing="1" w:after="0" w:afterAutospacing="1"/>
        <w:ind w:left="720" w:hanging="360"/>
      </w:pPr>
      <w:r>
        <w:t>切断总电源，检查故障原因并排除；</w:t>
      </w:r>
    </w:p>
    <w:p w14:paraId="451A4A34">
      <w:pPr>
        <w:numPr>
          <w:ilvl w:val="0"/>
          <w:numId w:val="41"/>
        </w:numPr>
        <w:spacing w:before="0" w:beforeAutospacing="1" w:after="0" w:afterAutospacing="1"/>
        <w:ind w:left="720" w:hanging="360"/>
      </w:pPr>
      <w:r>
        <w:t>若树脂已加热，需通入氮气保护（0.02MPa），防止空气进入，待故障排除后重新处理或排空树脂；</w:t>
      </w:r>
    </w:p>
    <w:p w14:paraId="4A296E51">
      <w:r>
        <w:rPr>
          <w:b/>
        </w:rPr>
        <w:t>保养规范</w:t>
      </w:r>
      <w:r>
        <w:t>：</w:t>
      </w:r>
    </w:p>
    <w:p w14:paraId="3FFA2BAE">
      <w:pPr>
        <w:numPr>
          <w:ilvl w:val="0"/>
          <w:numId w:val="42"/>
        </w:numPr>
        <w:spacing w:before="0" w:beforeAutospacing="1" w:after="0" w:afterAutospacing="1"/>
        <w:ind w:left="720" w:hanging="360"/>
      </w:pPr>
      <w:r>
        <w:rPr>
          <w:b/>
        </w:rPr>
        <w:t>日常保养</w:t>
      </w:r>
      <w:r>
        <w:t>：每日清理设备表面油污，检查管路有无泄漏；每周润滑搅拌轴轴承（加注锂基润滑脂，型号2#）；</w:t>
      </w:r>
    </w:p>
    <w:p w14:paraId="7B30F5B5">
      <w:pPr>
        <w:numPr>
          <w:ilvl w:val="0"/>
          <w:numId w:val="42"/>
        </w:numPr>
        <w:spacing w:before="0" w:beforeAutospacing="1" w:after="0" w:afterAutospacing="1"/>
        <w:ind w:left="720" w:hanging="360"/>
      </w:pPr>
      <w:r>
        <w:rPr>
          <w:b/>
        </w:rPr>
        <w:t>定期保养</w:t>
      </w:r>
      <w:r>
        <w:t>：每月检查电伴热带绝缘（电阻≥10MΩ）；每季度更换真空泵油（N68号），清洗过滤器；每年更换机械密封件及O型圈（丁腈橡胶材质）；</w:t>
      </w:r>
    </w:p>
    <w:p w14:paraId="758049DA">
      <w:pPr>
        <w:numPr>
          <w:ilvl w:val="0"/>
          <w:numId w:val="42"/>
        </w:numPr>
        <w:spacing w:before="0" w:beforeAutospacing="1" w:after="0" w:afterAutospacing="1"/>
        <w:ind w:left="720" w:hanging="360"/>
      </w:pPr>
      <w:r>
        <w:rPr>
          <w:b/>
        </w:rPr>
        <w:t>长期停机保养</w:t>
      </w:r>
      <w:r>
        <w:t>：停机超过1个月时，需排空罐内及管路树脂，用氮气吹干后关闭所有阀门，切断电源，张贴“停用”标识。</w:t>
      </w:r>
    </w:p>
    <w:p w14:paraId="631CF3E1">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3DDACDF"/>
    <w:multiLevelType w:val="singleLevel"/>
    <w:tmpl w:val="B3DDACDF"/>
    <w:lvl w:ilvl="0" w:tentative="0">
      <w:start w:val="1"/>
      <w:numFmt w:val="bullet"/>
      <w:lvlText w:val=""/>
      <w:lvlJc w:val="left"/>
      <w:pPr>
        <w:ind w:left="720" w:hanging="360"/>
      </w:pPr>
      <w:rPr>
        <w:rFonts w:hint="default" w:ascii="Symbol" w:hAnsi="Symbol" w:cs="Symbol"/>
        <w:sz w:val="20"/>
      </w:rPr>
    </w:lvl>
  </w:abstractNum>
  <w:abstractNum w:abstractNumId="3">
    <w:nsid w:val="B6FAFE1F"/>
    <w:multiLevelType w:val="singleLevel"/>
    <w:tmpl w:val="B6FAFE1F"/>
    <w:lvl w:ilvl="0" w:tentative="0">
      <w:start w:val="1"/>
      <w:numFmt w:val="bullet"/>
      <w:lvlText w:val=""/>
      <w:lvlJc w:val="left"/>
      <w:pPr>
        <w:ind w:left="720" w:hanging="360"/>
      </w:pPr>
      <w:rPr>
        <w:rFonts w:hint="default" w:ascii="Symbol" w:hAnsi="Symbol" w:cs="Symbol"/>
        <w:sz w:val="20"/>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DEFA26D"/>
    <w:multiLevelType w:val="singleLevel"/>
    <w:tmpl w:val="BDEFA26D"/>
    <w:lvl w:ilvl="0" w:tentative="0">
      <w:start w:val="1"/>
      <w:numFmt w:val="decimal"/>
      <w:lvlText w:val="%1."/>
      <w:lvlJc w:val="left"/>
      <w:pPr>
        <w:ind w:left="720" w:hanging="360"/>
      </w:pPr>
      <w:rPr>
        <w:sz w:val="24"/>
      </w:rPr>
    </w:lvl>
  </w:abstractNum>
  <w:abstractNum w:abstractNumId="6">
    <w:nsid w:val="BF27F600"/>
    <w:multiLevelType w:val="singleLevel"/>
    <w:tmpl w:val="BF27F600"/>
    <w:lvl w:ilvl="0" w:tentative="0">
      <w:start w:val="1"/>
      <w:numFmt w:val="bullet"/>
      <w:lvlText w:val=""/>
      <w:lvlJc w:val="left"/>
      <w:pPr>
        <w:ind w:left="720" w:hanging="360"/>
      </w:pPr>
      <w:rPr>
        <w:rFonts w:hint="default" w:ascii="Symbol" w:hAnsi="Symbol" w:cs="Symbol"/>
        <w:sz w:val="20"/>
      </w:rPr>
    </w:lvl>
  </w:abstractNum>
  <w:abstractNum w:abstractNumId="7">
    <w:nsid w:val="D196D332"/>
    <w:multiLevelType w:val="singleLevel"/>
    <w:tmpl w:val="D196D332"/>
    <w:lvl w:ilvl="0" w:tentative="0">
      <w:start w:val="1"/>
      <w:numFmt w:val="bullet"/>
      <w:lvlText w:val=""/>
      <w:lvlJc w:val="left"/>
      <w:pPr>
        <w:ind w:left="720" w:hanging="360"/>
      </w:pPr>
      <w:rPr>
        <w:rFonts w:hint="default" w:ascii="Symbol" w:hAnsi="Symbol" w:cs="Symbol"/>
        <w:sz w:val="20"/>
      </w:rPr>
    </w:lvl>
  </w:abstractNum>
  <w:abstractNum w:abstractNumId="8">
    <w:nsid w:val="DE77CDF4"/>
    <w:multiLevelType w:val="singleLevel"/>
    <w:tmpl w:val="DE77CDF4"/>
    <w:lvl w:ilvl="0" w:tentative="0">
      <w:start w:val="1"/>
      <w:numFmt w:val="bullet"/>
      <w:lvlText w:val=""/>
      <w:lvlJc w:val="left"/>
      <w:pPr>
        <w:ind w:left="720" w:hanging="360"/>
      </w:pPr>
      <w:rPr>
        <w:rFonts w:hint="default" w:ascii="Symbol" w:hAnsi="Symbol" w:cs="Symbol"/>
        <w:sz w:val="20"/>
      </w:rPr>
    </w:lvl>
  </w:abstractNum>
  <w:abstractNum w:abstractNumId="9">
    <w:nsid w:val="DF6F9870"/>
    <w:multiLevelType w:val="singleLevel"/>
    <w:tmpl w:val="DF6F9870"/>
    <w:lvl w:ilvl="0" w:tentative="0">
      <w:start w:val="1"/>
      <w:numFmt w:val="bullet"/>
      <w:lvlText w:val=""/>
      <w:lvlJc w:val="left"/>
      <w:pPr>
        <w:ind w:left="720" w:hanging="360"/>
      </w:pPr>
      <w:rPr>
        <w:rFonts w:hint="default" w:ascii="Symbol" w:hAnsi="Symbol" w:cs="Symbol"/>
        <w:sz w:val="20"/>
      </w:rPr>
    </w:lvl>
  </w:abstractNum>
  <w:abstractNum w:abstractNumId="10">
    <w:nsid w:val="DFFFF1FC"/>
    <w:multiLevelType w:val="singleLevel"/>
    <w:tmpl w:val="DFFFF1FC"/>
    <w:lvl w:ilvl="0" w:tentative="0">
      <w:start w:val="1"/>
      <w:numFmt w:val="bullet"/>
      <w:lvlText w:val=""/>
      <w:lvlJc w:val="left"/>
      <w:pPr>
        <w:ind w:left="720" w:hanging="360"/>
      </w:pPr>
      <w:rPr>
        <w:rFonts w:hint="default" w:ascii="Symbol" w:hAnsi="Symbol" w:cs="Symbol"/>
        <w:sz w:val="20"/>
      </w:rPr>
    </w:lvl>
  </w:abstractNum>
  <w:abstractNum w:abstractNumId="11">
    <w:nsid w:val="EF35AB57"/>
    <w:multiLevelType w:val="singleLevel"/>
    <w:tmpl w:val="EF35AB57"/>
    <w:lvl w:ilvl="0" w:tentative="0">
      <w:start w:val="1"/>
      <w:numFmt w:val="bullet"/>
      <w:lvlText w:val=""/>
      <w:lvlJc w:val="left"/>
      <w:pPr>
        <w:ind w:left="720" w:hanging="360"/>
      </w:pPr>
      <w:rPr>
        <w:rFonts w:hint="default" w:ascii="Symbol" w:hAnsi="Symbol" w:cs="Symbol"/>
        <w:sz w:val="20"/>
      </w:rPr>
    </w:lvl>
  </w:abstractNum>
  <w:abstractNum w:abstractNumId="12">
    <w:nsid w:val="EF7E2839"/>
    <w:multiLevelType w:val="singleLevel"/>
    <w:tmpl w:val="EF7E2839"/>
    <w:lvl w:ilvl="0" w:tentative="0">
      <w:start w:val="1"/>
      <w:numFmt w:val="bullet"/>
      <w:lvlText w:val=""/>
      <w:lvlJc w:val="left"/>
      <w:pPr>
        <w:ind w:left="720" w:hanging="360"/>
      </w:pPr>
      <w:rPr>
        <w:rFonts w:hint="default" w:ascii="Symbol" w:hAnsi="Symbol" w:cs="Symbol"/>
        <w:sz w:val="20"/>
      </w:rPr>
    </w:lvl>
  </w:abstractNum>
  <w:abstractNum w:abstractNumId="13">
    <w:nsid w:val="EFFF9A51"/>
    <w:multiLevelType w:val="singleLevel"/>
    <w:tmpl w:val="EFFF9A51"/>
    <w:lvl w:ilvl="0" w:tentative="0">
      <w:start w:val="1"/>
      <w:numFmt w:val="bullet"/>
      <w:lvlText w:val=""/>
      <w:lvlJc w:val="left"/>
      <w:pPr>
        <w:ind w:left="720" w:hanging="360"/>
      </w:pPr>
      <w:rPr>
        <w:rFonts w:hint="default" w:ascii="Symbol" w:hAnsi="Symbol" w:cs="Symbol"/>
        <w:sz w:val="20"/>
      </w:rPr>
    </w:lvl>
  </w:abstractNum>
  <w:abstractNum w:abstractNumId="14">
    <w:nsid w:val="F2DF3D66"/>
    <w:multiLevelType w:val="singleLevel"/>
    <w:tmpl w:val="F2DF3D66"/>
    <w:lvl w:ilvl="0" w:tentative="0">
      <w:start w:val="1"/>
      <w:numFmt w:val="bullet"/>
      <w:lvlText w:val=""/>
      <w:lvlJc w:val="left"/>
      <w:pPr>
        <w:ind w:left="720" w:hanging="360"/>
      </w:pPr>
      <w:rPr>
        <w:rFonts w:hint="default" w:ascii="Symbol" w:hAnsi="Symbol" w:cs="Symbol"/>
        <w:sz w:val="20"/>
      </w:rPr>
    </w:lvl>
  </w:abstractNum>
  <w:abstractNum w:abstractNumId="1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6">
    <w:nsid w:val="F7FB9092"/>
    <w:multiLevelType w:val="singleLevel"/>
    <w:tmpl w:val="F7FB9092"/>
    <w:lvl w:ilvl="0" w:tentative="0">
      <w:start w:val="1"/>
      <w:numFmt w:val="bullet"/>
      <w:lvlText w:val=""/>
      <w:lvlJc w:val="left"/>
      <w:pPr>
        <w:ind w:left="720" w:hanging="360"/>
      </w:pPr>
      <w:rPr>
        <w:rFonts w:hint="default" w:ascii="Symbol" w:hAnsi="Symbol" w:cs="Symbol"/>
        <w:sz w:val="20"/>
      </w:rPr>
    </w:lvl>
  </w:abstractNum>
  <w:abstractNum w:abstractNumId="17">
    <w:nsid w:val="FB5E8F1A"/>
    <w:multiLevelType w:val="singleLevel"/>
    <w:tmpl w:val="FB5E8F1A"/>
    <w:lvl w:ilvl="0" w:tentative="0">
      <w:start w:val="1"/>
      <w:numFmt w:val="bullet"/>
      <w:lvlText w:val=""/>
      <w:lvlJc w:val="left"/>
      <w:pPr>
        <w:ind w:left="720" w:hanging="360"/>
      </w:pPr>
      <w:rPr>
        <w:rFonts w:hint="default" w:ascii="Symbol" w:hAnsi="Symbol" w:cs="Symbol"/>
        <w:sz w:val="20"/>
      </w:rPr>
    </w:lvl>
  </w:abstractNum>
  <w:abstractNum w:abstractNumId="18">
    <w:nsid w:val="FB9C63BA"/>
    <w:multiLevelType w:val="singleLevel"/>
    <w:tmpl w:val="FB9C63BA"/>
    <w:lvl w:ilvl="0" w:tentative="0">
      <w:start w:val="1"/>
      <w:numFmt w:val="bullet"/>
      <w:lvlText w:val=""/>
      <w:lvlJc w:val="left"/>
      <w:pPr>
        <w:ind w:left="720" w:hanging="360"/>
      </w:pPr>
      <w:rPr>
        <w:rFonts w:hint="default" w:ascii="Symbol" w:hAnsi="Symbol" w:cs="Symbol"/>
        <w:sz w:val="20"/>
      </w:rPr>
    </w:lvl>
  </w:abstractNum>
  <w:abstractNum w:abstractNumId="19">
    <w:nsid w:val="FC9D5A1C"/>
    <w:multiLevelType w:val="singleLevel"/>
    <w:tmpl w:val="FC9D5A1C"/>
    <w:lvl w:ilvl="0" w:tentative="0">
      <w:start w:val="1"/>
      <w:numFmt w:val="decimal"/>
      <w:lvlText w:val="%1."/>
      <w:lvlJc w:val="left"/>
      <w:pPr>
        <w:ind w:left="720" w:hanging="360"/>
      </w:pPr>
      <w:rPr>
        <w:sz w:val="24"/>
      </w:rPr>
    </w:lvl>
  </w:abstractNum>
  <w:abstractNum w:abstractNumId="20">
    <w:nsid w:val="FCE48756"/>
    <w:multiLevelType w:val="singleLevel"/>
    <w:tmpl w:val="FCE48756"/>
    <w:lvl w:ilvl="0" w:tentative="0">
      <w:start w:val="1"/>
      <w:numFmt w:val="bullet"/>
      <w:lvlText w:val=""/>
      <w:lvlJc w:val="left"/>
      <w:pPr>
        <w:ind w:left="720" w:hanging="360"/>
      </w:pPr>
      <w:rPr>
        <w:rFonts w:hint="default" w:ascii="Symbol" w:hAnsi="Symbol" w:cs="Symbol"/>
        <w:sz w:val="20"/>
      </w:rPr>
    </w:lvl>
  </w:abstractNum>
  <w:abstractNum w:abstractNumId="21">
    <w:nsid w:val="FCFC8A3E"/>
    <w:multiLevelType w:val="singleLevel"/>
    <w:tmpl w:val="FCFC8A3E"/>
    <w:lvl w:ilvl="0" w:tentative="0">
      <w:start w:val="1"/>
      <w:numFmt w:val="bullet"/>
      <w:lvlText w:val=""/>
      <w:lvlJc w:val="left"/>
      <w:pPr>
        <w:ind w:left="720" w:hanging="360"/>
      </w:pPr>
      <w:rPr>
        <w:rFonts w:hint="default" w:ascii="Symbol" w:hAnsi="Symbol" w:cs="Symbol"/>
        <w:sz w:val="20"/>
      </w:rPr>
    </w:lvl>
  </w:abstractNum>
  <w:abstractNum w:abstractNumId="22">
    <w:nsid w:val="FDAE15EE"/>
    <w:multiLevelType w:val="singleLevel"/>
    <w:tmpl w:val="FDAE15EE"/>
    <w:lvl w:ilvl="0" w:tentative="0">
      <w:start w:val="1"/>
      <w:numFmt w:val="bullet"/>
      <w:lvlText w:val=""/>
      <w:lvlJc w:val="left"/>
      <w:pPr>
        <w:ind w:left="720" w:hanging="360"/>
      </w:pPr>
      <w:rPr>
        <w:rFonts w:hint="default" w:ascii="Symbol" w:hAnsi="Symbol" w:cs="Symbol"/>
        <w:sz w:val="20"/>
      </w:rPr>
    </w:lvl>
  </w:abstractNum>
  <w:abstractNum w:abstractNumId="23">
    <w:nsid w:val="FDDE09C2"/>
    <w:multiLevelType w:val="singleLevel"/>
    <w:tmpl w:val="FDDE09C2"/>
    <w:lvl w:ilvl="0" w:tentative="0">
      <w:start w:val="1"/>
      <w:numFmt w:val="bullet"/>
      <w:lvlText w:val=""/>
      <w:lvlJc w:val="left"/>
      <w:pPr>
        <w:ind w:left="720" w:hanging="360"/>
      </w:pPr>
      <w:rPr>
        <w:rFonts w:hint="default" w:ascii="Symbol" w:hAnsi="Symbol" w:cs="Symbol"/>
        <w:sz w:val="20"/>
      </w:rPr>
    </w:lvl>
  </w:abstractNum>
  <w:abstractNum w:abstractNumId="24">
    <w:nsid w:val="FE7E55C3"/>
    <w:multiLevelType w:val="singleLevel"/>
    <w:tmpl w:val="FE7E55C3"/>
    <w:lvl w:ilvl="0" w:tentative="0">
      <w:start w:val="1"/>
      <w:numFmt w:val="bullet"/>
      <w:lvlText w:val=""/>
      <w:lvlJc w:val="left"/>
      <w:pPr>
        <w:ind w:left="720" w:hanging="360"/>
      </w:pPr>
      <w:rPr>
        <w:rFonts w:hint="default" w:ascii="Symbol" w:hAnsi="Symbol" w:cs="Symbol"/>
        <w:sz w:val="20"/>
      </w:rPr>
    </w:lvl>
  </w:abstractNum>
  <w:abstractNum w:abstractNumId="25">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6">
    <w:nsid w:val="FEFC73F6"/>
    <w:multiLevelType w:val="singleLevel"/>
    <w:tmpl w:val="FEFC73F6"/>
    <w:lvl w:ilvl="0" w:tentative="0">
      <w:start w:val="1"/>
      <w:numFmt w:val="bullet"/>
      <w:lvlText w:val=""/>
      <w:lvlJc w:val="left"/>
      <w:pPr>
        <w:ind w:left="720" w:hanging="360"/>
      </w:pPr>
      <w:rPr>
        <w:rFonts w:hint="default" w:ascii="Symbol" w:hAnsi="Symbol" w:cs="Symbol"/>
        <w:sz w:val="20"/>
      </w:rPr>
    </w:lvl>
  </w:abstractNum>
  <w:abstractNum w:abstractNumId="27">
    <w:nsid w:val="FF7B7252"/>
    <w:multiLevelType w:val="singleLevel"/>
    <w:tmpl w:val="FF7B7252"/>
    <w:lvl w:ilvl="0" w:tentative="0">
      <w:start w:val="1"/>
      <w:numFmt w:val="bullet"/>
      <w:lvlText w:val=""/>
      <w:lvlJc w:val="left"/>
      <w:pPr>
        <w:ind w:left="720" w:hanging="360"/>
      </w:pPr>
      <w:rPr>
        <w:rFonts w:hint="default" w:ascii="Symbol" w:hAnsi="Symbol" w:cs="Symbol"/>
        <w:sz w:val="20"/>
      </w:rPr>
    </w:lvl>
  </w:abstractNum>
  <w:abstractNum w:abstractNumId="28">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9">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0">
    <w:nsid w:val="FFBA834C"/>
    <w:multiLevelType w:val="singleLevel"/>
    <w:tmpl w:val="FFBA834C"/>
    <w:lvl w:ilvl="0" w:tentative="0">
      <w:start w:val="1"/>
      <w:numFmt w:val="bullet"/>
      <w:lvlText w:val=""/>
      <w:lvlJc w:val="left"/>
      <w:pPr>
        <w:ind w:left="720" w:hanging="360"/>
      </w:pPr>
      <w:rPr>
        <w:rFonts w:hint="default" w:ascii="Symbol" w:hAnsi="Symbol" w:cs="Symbol"/>
        <w:sz w:val="20"/>
      </w:rPr>
    </w:lvl>
  </w:abstractNum>
  <w:abstractNum w:abstractNumId="31">
    <w:nsid w:val="FFFF625E"/>
    <w:multiLevelType w:val="singleLevel"/>
    <w:tmpl w:val="FFFF625E"/>
    <w:lvl w:ilvl="0" w:tentative="0">
      <w:start w:val="1"/>
      <w:numFmt w:val="bullet"/>
      <w:lvlText w:val=""/>
      <w:lvlJc w:val="left"/>
      <w:pPr>
        <w:ind w:left="720" w:hanging="360"/>
      </w:pPr>
      <w:rPr>
        <w:rFonts w:hint="default" w:ascii="Symbol" w:hAnsi="Symbol" w:cs="Symbol"/>
        <w:sz w:val="20"/>
      </w:rPr>
    </w:lvl>
  </w:abstractNum>
  <w:abstractNum w:abstractNumId="32">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3">
    <w:nsid w:val="1B5EC56F"/>
    <w:multiLevelType w:val="singleLevel"/>
    <w:tmpl w:val="1B5EC56F"/>
    <w:lvl w:ilvl="0" w:tentative="0">
      <w:start w:val="1"/>
      <w:numFmt w:val="bullet"/>
      <w:lvlText w:val=""/>
      <w:lvlJc w:val="left"/>
      <w:pPr>
        <w:ind w:left="720" w:hanging="360"/>
      </w:pPr>
      <w:rPr>
        <w:rFonts w:hint="default" w:ascii="Symbol" w:hAnsi="Symbol" w:cs="Symbol"/>
        <w:sz w:val="20"/>
      </w:rPr>
    </w:lvl>
  </w:abstractNum>
  <w:abstractNum w:abstractNumId="3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6">
    <w:nsid w:val="2FFBFDA8"/>
    <w:multiLevelType w:val="singleLevel"/>
    <w:tmpl w:val="2FFBFDA8"/>
    <w:lvl w:ilvl="0" w:tentative="0">
      <w:start w:val="1"/>
      <w:numFmt w:val="bullet"/>
      <w:lvlText w:val=""/>
      <w:lvlJc w:val="left"/>
      <w:pPr>
        <w:ind w:left="720" w:hanging="360"/>
      </w:pPr>
      <w:rPr>
        <w:rFonts w:hint="default" w:ascii="Symbol" w:hAnsi="Symbol" w:cs="Symbol"/>
        <w:sz w:val="20"/>
      </w:rPr>
    </w:lvl>
  </w:abstractNum>
  <w:abstractNum w:abstractNumId="3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8">
    <w:nsid w:val="74F551E6"/>
    <w:multiLevelType w:val="singleLevel"/>
    <w:tmpl w:val="74F551E6"/>
    <w:lvl w:ilvl="0" w:tentative="0">
      <w:start w:val="1"/>
      <w:numFmt w:val="bullet"/>
      <w:lvlText w:val=""/>
      <w:lvlJc w:val="left"/>
      <w:pPr>
        <w:ind w:left="720" w:hanging="360"/>
      </w:pPr>
      <w:rPr>
        <w:rFonts w:hint="default" w:ascii="Symbol" w:hAnsi="Symbol" w:cs="Symbol"/>
        <w:sz w:val="20"/>
      </w:rPr>
    </w:lvl>
  </w:abstractNum>
  <w:abstractNum w:abstractNumId="39">
    <w:nsid w:val="77BA7B76"/>
    <w:multiLevelType w:val="singleLevel"/>
    <w:tmpl w:val="77BA7B76"/>
    <w:lvl w:ilvl="0" w:tentative="0">
      <w:start w:val="1"/>
      <w:numFmt w:val="bullet"/>
      <w:lvlText w:val=""/>
      <w:lvlJc w:val="left"/>
      <w:pPr>
        <w:ind w:left="720" w:hanging="360"/>
      </w:pPr>
      <w:rPr>
        <w:rFonts w:hint="default" w:ascii="Symbol" w:hAnsi="Symbol" w:cs="Symbol"/>
        <w:sz w:val="20"/>
      </w:rPr>
    </w:lvl>
  </w:abstractNum>
  <w:abstractNum w:abstractNumId="4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1">
    <w:nsid w:val="7F3569D2"/>
    <w:multiLevelType w:val="singleLevel"/>
    <w:tmpl w:val="7F3569D2"/>
    <w:lvl w:ilvl="0" w:tentative="0">
      <w:start w:val="1"/>
      <w:numFmt w:val="bullet"/>
      <w:lvlText w:val=""/>
      <w:lvlJc w:val="left"/>
      <w:pPr>
        <w:ind w:left="720" w:hanging="360"/>
      </w:pPr>
      <w:rPr>
        <w:rFonts w:hint="default" w:ascii="Symbol" w:hAnsi="Symbol" w:cs="Symbol"/>
        <w:sz w:val="20"/>
      </w:rPr>
    </w:lvl>
  </w:abstractNum>
  <w:num w:numId="1">
    <w:abstractNumId w:val="35"/>
  </w:num>
  <w:num w:numId="2">
    <w:abstractNumId w:val="40"/>
  </w:num>
  <w:num w:numId="3">
    <w:abstractNumId w:val="1"/>
  </w:num>
  <w:num w:numId="4">
    <w:abstractNumId w:val="32"/>
  </w:num>
  <w:num w:numId="5">
    <w:abstractNumId w:val="25"/>
  </w:num>
  <w:num w:numId="6">
    <w:abstractNumId w:val="37"/>
  </w:num>
  <w:num w:numId="7">
    <w:abstractNumId w:val="15"/>
  </w:num>
  <w:num w:numId="8">
    <w:abstractNumId w:val="34"/>
  </w:num>
  <w:num w:numId="9">
    <w:abstractNumId w:val="28"/>
  </w:num>
  <w:num w:numId="10">
    <w:abstractNumId w:val="29"/>
  </w:num>
  <w:num w:numId="11">
    <w:abstractNumId w:val="4"/>
  </w:num>
  <w:num w:numId="12">
    <w:abstractNumId w:val="0"/>
  </w:num>
  <w:num w:numId="13">
    <w:abstractNumId w:val="5"/>
  </w:num>
  <w:num w:numId="14">
    <w:abstractNumId w:val="19"/>
  </w:num>
  <w:num w:numId="15">
    <w:abstractNumId w:val="30"/>
  </w:num>
  <w:num w:numId="16">
    <w:abstractNumId w:val="14"/>
  </w:num>
  <w:num w:numId="17">
    <w:abstractNumId w:val="7"/>
  </w:num>
  <w:num w:numId="18">
    <w:abstractNumId w:val="20"/>
  </w:num>
  <w:num w:numId="19">
    <w:abstractNumId w:val="31"/>
  </w:num>
  <w:num w:numId="20">
    <w:abstractNumId w:val="22"/>
  </w:num>
  <w:num w:numId="21">
    <w:abstractNumId w:val="38"/>
  </w:num>
  <w:num w:numId="22">
    <w:abstractNumId w:val="8"/>
  </w:num>
  <w:num w:numId="23">
    <w:abstractNumId w:val="36"/>
  </w:num>
  <w:num w:numId="24">
    <w:abstractNumId w:val="21"/>
  </w:num>
  <w:num w:numId="25">
    <w:abstractNumId w:val="10"/>
  </w:num>
  <w:num w:numId="26">
    <w:abstractNumId w:val="26"/>
  </w:num>
  <w:num w:numId="27">
    <w:abstractNumId w:val="3"/>
  </w:num>
  <w:num w:numId="28">
    <w:abstractNumId w:val="11"/>
  </w:num>
  <w:num w:numId="29">
    <w:abstractNumId w:val="33"/>
  </w:num>
  <w:num w:numId="30">
    <w:abstractNumId w:val="39"/>
  </w:num>
  <w:num w:numId="31">
    <w:abstractNumId w:val="9"/>
  </w:num>
  <w:num w:numId="32">
    <w:abstractNumId w:val="6"/>
  </w:num>
  <w:num w:numId="33">
    <w:abstractNumId w:val="16"/>
  </w:num>
  <w:num w:numId="34">
    <w:abstractNumId w:val="18"/>
  </w:num>
  <w:num w:numId="35">
    <w:abstractNumId w:val="17"/>
  </w:num>
  <w:num w:numId="36">
    <w:abstractNumId w:val="41"/>
  </w:num>
  <w:num w:numId="37">
    <w:abstractNumId w:val="23"/>
  </w:num>
  <w:num w:numId="38">
    <w:abstractNumId w:val="2"/>
  </w:num>
  <w:num w:numId="39">
    <w:abstractNumId w:val="12"/>
  </w:num>
  <w:num w:numId="40">
    <w:abstractNumId w:val="27"/>
  </w:num>
  <w:num w:numId="41">
    <w:abstractNumId w:val="24"/>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7FFAC27"/>
    <w:rsid w:val="7B77B008"/>
    <w:rsid w:val="7FF6C12C"/>
    <w:rsid w:val="BCB98261"/>
    <w:rsid w:val="BFAFDEB3"/>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2025-10-06T20:20:34Z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5EA447F5322C87E712B4E36802C1D812_43</vt:lpwstr>
  </property>
  <property fmtid="{D5CDD505-2E9C-101B-9397-08002B2CF9AE}" pid="4" name="KSOTemplateDocerSaveRecord">
    <vt:lpwstr>eyJoZGlkIjoiNzI4YmNmYThhZjA0NTVhODllNDhjMGZiNmFkMDJjN2YiLCJ1c2VySWQiOiIxNjA5OTI0MDI0In0=</vt:lpwstr>
  </property>
</Properties>
</file>