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0A84EE">
      <w:pPr>
        <w:pStyle w:val="2"/>
      </w:pPr>
    </w:p>
    <w:p w14:paraId="0DDD9D16">
      <w:pPr>
        <w:pStyle w:val="2"/>
      </w:pPr>
      <w:r>
        <w:t>干变浇注车间真空浇注设备罗氏泵技术手册</w:t>
      </w:r>
    </w:p>
    <w:p w14:paraId="3AFD387C">
      <w:pPr>
        <w:pStyle w:val="3"/>
      </w:pPr>
      <w:r>
        <w:t>一、罗氏泵概述与应用场景</w:t>
      </w:r>
    </w:p>
    <w:p w14:paraId="4DC8C102">
      <w:pPr>
        <w:pStyle w:val="4"/>
      </w:pPr>
      <w:r>
        <w:t>1.1 罗氏泵在真空浇注系统中的功能定位</w:t>
      </w:r>
    </w:p>
    <w:p w14:paraId="4244242F">
      <w:r>
        <w:t>罗氏泵（又称罗茨泵或转子泵）是干变浇注车间真空浇注设备的核心真空获得部件，其主要功能是与前级泵（如水环泵、旋片泵）串联形成二级真空系统，通过“容积输送”机制快速构建并维持环氧树脂混合脱气及模具浇注所需的高真空环境。在干变浇注工艺中，环氧树脂需经过终混罐脱气（去除气泡）和模具浇注（防止气孔产生）两个关键环节，罗氏泵通过周期性改变工作容积实现气体高效输送，确保真空罐内压力在规定时间内降至工艺要求的1.33Pa以下，直接影响产品绝缘性能和机械强度。</w:t>
      </w:r>
    </w:p>
    <w:p w14:paraId="19ADF566">
      <w:r>
        <w:t>在混合脱气阶段，罗氏泵需配合时间继电器实现定时抽真空，促进剂加入后的树脂在真空环境下释放溶解气体，此时泵的抽速稳定性（压力1Pa至1kPa区间衰减≤10%）是保证脱气效果的关键；在模具浇注阶段，泵需维持持续稳定的真空度，避免浇注过程中因压力波动导致树脂填充不均。此外，罗氏泵的无内压缩特性使其在低压环境下仍能保持较高抽速，与前级泵协同工作可覆盖从粗真空到高真空的宽压力范围，满足不同工艺环节的真空需求，是实现干变浇注自动化、高精度生产的核心保障。</w:t>
      </w:r>
    </w:p>
    <w:p w14:paraId="443B8333">
      <w:pPr>
        <w:pStyle w:val="4"/>
      </w:pPr>
      <w:r>
        <w:t>1.2 设备工作环境与技术要求</w:t>
      </w:r>
    </w:p>
    <w:p w14:paraId="27258470">
      <w:r>
        <w:t>干变浇注车间的工作环境具有环氧树脂蒸汽多、粉尘浓度高、温度波动大（通常15~40℃）等特点，对罗氏泵的结构设计和性能参数提出特定要求：</w:t>
      </w:r>
    </w:p>
    <w:p w14:paraId="6538B0D0">
      <w:r>
        <w:rPr>
          <w:b/>
        </w:rPr>
        <w:t>环境适应性要求</w:t>
      </w:r>
      <w:r>
        <w:t>：泵体需采用铸铁材质以耐受环氧树脂蒸汽腐蚀，转子与泵壳间保持0.1~0.8mm精密间隙，避免因温度变化导致热膨胀卡滞；进气口需配置≥3μm精度的过滤器，防止粉尘进入泵腔造成转子磨损；密封件需选用耐油橡胶（如丁腈橡胶），防止润滑油泄漏污染车间环境。</w:t>
      </w:r>
    </w:p>
    <w:p w14:paraId="70E031A6">
      <w:r>
        <w:rPr>
          <w:b/>
        </w:rPr>
        <w:t>核心技术参数要求</w:t>
      </w:r>
      <w:r>
        <w:t>：</w:t>
      </w:r>
    </w:p>
    <w:p w14:paraId="5E883FAD">
      <w:pPr>
        <w:numPr>
          <w:ilvl w:val="0"/>
          <w:numId w:val="13"/>
        </w:numPr>
        <w:spacing w:before="0" w:beforeAutospacing="1" w:after="0" w:afterAutospacing="1"/>
        <w:ind w:left="720" w:hanging="360"/>
      </w:pPr>
      <w:r>
        <w:rPr>
          <w:b/>
        </w:rPr>
        <w:t>真空度</w:t>
      </w:r>
      <w:r>
        <w:t>：极限真空度需达1.33Pa以下（单级泵约6.5×10⁻²Pa，双级泵可达1×10⁻³Pa），满足环氧树脂深度脱气需求；</w:t>
      </w:r>
    </w:p>
    <w:p w14:paraId="7B4D6881">
      <w:pPr>
        <w:numPr>
          <w:ilvl w:val="0"/>
          <w:numId w:val="13"/>
        </w:numPr>
        <w:spacing w:before="0" w:beforeAutospacing="1" w:after="0" w:afterAutospacing="1"/>
        <w:ind w:left="720" w:hanging="360"/>
      </w:pPr>
      <w:r>
        <w:rPr>
          <w:b/>
        </w:rPr>
        <w:t>抽速</w:t>
      </w:r>
      <w:r>
        <w:t>：根据真空罐容积计算，中小型浇注系统常用30~200L/s（如150L真空罐需匹配抽速≥50L/s的泵），大型系统可选用200~500L/s；</w:t>
      </w:r>
    </w:p>
    <w:p w14:paraId="01048827">
      <w:pPr>
        <w:numPr>
          <w:ilvl w:val="0"/>
          <w:numId w:val="13"/>
        </w:numPr>
        <w:spacing w:before="0" w:beforeAutospacing="1" w:after="0" w:afterAutospacing="1"/>
        <w:ind w:left="720" w:hanging="360"/>
      </w:pPr>
      <w:r>
        <w:rPr>
          <w:b/>
        </w:rPr>
        <w:t>转速</w:t>
      </w:r>
      <w:r>
        <w:t>：通常1000~3000r/min，需通过流体力学优化平衡抽气效率与振动噪声；</w:t>
      </w:r>
    </w:p>
    <w:p w14:paraId="1DD0B9CB">
      <w:pPr>
        <w:numPr>
          <w:ilvl w:val="0"/>
          <w:numId w:val="13"/>
        </w:numPr>
        <w:spacing w:before="0" w:beforeAutospacing="1" w:after="0" w:afterAutospacing="1"/>
        <w:ind w:left="720" w:hanging="360"/>
      </w:pPr>
      <w:r>
        <w:rPr>
          <w:b/>
        </w:rPr>
        <w:t>温升控制</w:t>
      </w:r>
      <w:r>
        <w:t>：泵体运行温度不超过环境温度+40℃（绝对温度≤80℃），防止润滑油碳化或转子热变形。</w:t>
      </w:r>
    </w:p>
    <w:p w14:paraId="25B7CB20">
      <w:r>
        <w:rPr>
          <w:b/>
        </w:rPr>
        <w:t>典型型号技术参数对比</w:t>
      </w:r>
      <w:r>
        <w:t>（表1）：</w:t>
      </w:r>
    </w:p>
    <w:tbl>
      <w:tblPr>
        <w:tblStyle w:val="50"/>
        <w:tblW w:w="0" w:type="auto"/>
        <w:tblInd w:w="0" w:type="dxa"/>
        <w:tblLayout w:type="fixed"/>
        <w:tblCellMar>
          <w:top w:w="0" w:type="dxa"/>
          <w:left w:w="0" w:type="dxa"/>
          <w:bottom w:w="0" w:type="dxa"/>
          <w:right w:w="0" w:type="dxa"/>
        </w:tblCellMar>
      </w:tblPr>
      <w:tblGrid>
        <w:gridCol w:w="1440"/>
        <w:gridCol w:w="1440"/>
        <w:gridCol w:w="1440"/>
        <w:gridCol w:w="1440"/>
        <w:gridCol w:w="1440"/>
        <w:gridCol w:w="1440"/>
      </w:tblGrid>
      <w:tr w14:paraId="19EE6AC6">
        <w:tblPrEx>
          <w:tblCellMar>
            <w:top w:w="0" w:type="dxa"/>
            <w:left w:w="0" w:type="dxa"/>
            <w:bottom w:w="0" w:type="dxa"/>
            <w:right w:w="0" w:type="dxa"/>
          </w:tblCellMar>
        </w:tblPrEx>
        <w:tc>
          <w:tcPr>
            <w:tcW w:w="0" w:type="auto"/>
            <w:vAlign w:val="center"/>
          </w:tcPr>
          <w:p w14:paraId="6B802F6F">
            <w:pPr>
              <w:jc w:val="center"/>
              <w:rPr>
                <w:b/>
              </w:rPr>
            </w:pPr>
            <w:r>
              <w:rPr>
                <w:b/>
              </w:rPr>
              <w:t>型号</w:t>
            </w:r>
          </w:p>
        </w:tc>
        <w:tc>
          <w:tcPr>
            <w:tcW w:w="0" w:type="auto"/>
            <w:vAlign w:val="center"/>
          </w:tcPr>
          <w:p w14:paraId="75374001">
            <w:pPr>
              <w:jc w:val="center"/>
              <w:rPr>
                <w:b/>
              </w:rPr>
            </w:pPr>
            <w:r>
              <w:rPr>
                <w:b/>
              </w:rPr>
              <w:t>极限真空度（Pa）</w:t>
            </w:r>
          </w:p>
        </w:tc>
        <w:tc>
          <w:tcPr>
            <w:tcW w:w="0" w:type="auto"/>
            <w:vAlign w:val="center"/>
          </w:tcPr>
          <w:p w14:paraId="2DCE5379">
            <w:pPr>
              <w:jc w:val="center"/>
              <w:rPr>
                <w:b/>
              </w:rPr>
            </w:pPr>
            <w:r>
              <w:rPr>
                <w:b/>
              </w:rPr>
              <w:t>抽速（L/s）</w:t>
            </w:r>
          </w:p>
        </w:tc>
        <w:tc>
          <w:tcPr>
            <w:tcW w:w="0" w:type="auto"/>
            <w:vAlign w:val="center"/>
          </w:tcPr>
          <w:p w14:paraId="364D2E67">
            <w:pPr>
              <w:jc w:val="center"/>
              <w:rPr>
                <w:b/>
              </w:rPr>
            </w:pPr>
            <w:r>
              <w:rPr>
                <w:b/>
              </w:rPr>
              <w:t>配用功率（kW）</w:t>
            </w:r>
          </w:p>
        </w:tc>
        <w:tc>
          <w:tcPr>
            <w:tcW w:w="0" w:type="auto"/>
            <w:vAlign w:val="center"/>
          </w:tcPr>
          <w:p w14:paraId="122D5EA5">
            <w:pPr>
              <w:jc w:val="center"/>
              <w:rPr>
                <w:b/>
              </w:rPr>
            </w:pPr>
            <w:r>
              <w:rPr>
                <w:b/>
              </w:rPr>
              <w:t>转速（r/min）</w:t>
            </w:r>
          </w:p>
        </w:tc>
        <w:tc>
          <w:tcPr>
            <w:tcW w:w="0" w:type="auto"/>
            <w:vAlign w:val="center"/>
          </w:tcPr>
          <w:p w14:paraId="7BED1C76">
            <w:pPr>
              <w:jc w:val="center"/>
              <w:rPr>
                <w:b/>
              </w:rPr>
            </w:pPr>
            <w:r>
              <w:rPr>
                <w:b/>
              </w:rPr>
              <w:t>适用场景</w:t>
            </w:r>
          </w:p>
        </w:tc>
      </w:tr>
      <w:tr w14:paraId="7AAC0218">
        <w:tblPrEx>
          <w:tblCellMar>
            <w:top w:w="0" w:type="dxa"/>
            <w:left w:w="0" w:type="dxa"/>
            <w:bottom w:w="0" w:type="dxa"/>
            <w:right w:w="0" w:type="dxa"/>
          </w:tblCellMar>
        </w:tblPrEx>
        <w:tc>
          <w:tcPr>
            <w:tcW w:w="0" w:type="auto"/>
            <w:vAlign w:val="center"/>
          </w:tcPr>
          <w:p w14:paraId="1D6A6E08">
            <w:r>
              <w:t>LCW-18/0.6</w:t>
            </w:r>
          </w:p>
        </w:tc>
        <w:tc>
          <w:tcPr>
            <w:tcW w:w="0" w:type="auto"/>
            <w:vAlign w:val="center"/>
          </w:tcPr>
          <w:p w14:paraId="54F31473">
            <w:r>
              <w:t>≤1.33</w:t>
            </w:r>
          </w:p>
        </w:tc>
        <w:tc>
          <w:tcPr>
            <w:tcW w:w="0" w:type="auto"/>
            <w:vAlign w:val="center"/>
          </w:tcPr>
          <w:p w14:paraId="36AA224F">
            <w:r>
              <w:t>18</w:t>
            </w:r>
          </w:p>
        </w:tc>
        <w:tc>
          <w:tcPr>
            <w:tcW w:w="0" w:type="auto"/>
            <w:vAlign w:val="center"/>
          </w:tcPr>
          <w:p w14:paraId="4044F14D">
            <w:r>
              <w:t>4.0~5.5</w:t>
            </w:r>
          </w:p>
        </w:tc>
        <w:tc>
          <w:tcPr>
            <w:tcW w:w="0" w:type="auto"/>
            <w:vAlign w:val="center"/>
          </w:tcPr>
          <w:p w14:paraId="29478F98">
            <w:r>
              <w:t>400</w:t>
            </w:r>
          </w:p>
        </w:tc>
        <w:tc>
          <w:tcPr>
            <w:tcW w:w="0" w:type="auto"/>
            <w:vAlign w:val="center"/>
          </w:tcPr>
          <w:p w14:paraId="625CF987">
            <w:r>
              <w:t>小型终混罐脱气</w:t>
            </w:r>
          </w:p>
        </w:tc>
      </w:tr>
      <w:tr w14:paraId="2096CB89">
        <w:tblPrEx>
          <w:tblCellMar>
            <w:top w:w="0" w:type="dxa"/>
            <w:left w:w="0" w:type="dxa"/>
            <w:bottom w:w="0" w:type="dxa"/>
            <w:right w:w="0" w:type="dxa"/>
          </w:tblCellMar>
        </w:tblPrEx>
        <w:tc>
          <w:tcPr>
            <w:tcW w:w="0" w:type="auto"/>
            <w:vAlign w:val="center"/>
          </w:tcPr>
          <w:p w14:paraId="013CEC52">
            <w:r>
              <w:t>MH-2/150</w:t>
            </w:r>
          </w:p>
        </w:tc>
        <w:tc>
          <w:tcPr>
            <w:tcW w:w="0" w:type="auto"/>
            <w:vAlign w:val="center"/>
          </w:tcPr>
          <w:p w14:paraId="62033750">
            <w:r>
              <w:t>≤1.33</w:t>
            </w:r>
          </w:p>
        </w:tc>
        <w:tc>
          <w:tcPr>
            <w:tcW w:w="0" w:type="auto"/>
            <w:vAlign w:val="center"/>
          </w:tcPr>
          <w:p w14:paraId="02F50F43">
            <w:r>
              <w:t>150</w:t>
            </w:r>
          </w:p>
        </w:tc>
        <w:tc>
          <w:tcPr>
            <w:tcW w:w="0" w:type="auto"/>
            <w:vAlign w:val="center"/>
          </w:tcPr>
          <w:p w14:paraId="19A62EB0">
            <w:r>
              <w:t>7.5</w:t>
            </w:r>
          </w:p>
        </w:tc>
        <w:tc>
          <w:tcPr>
            <w:tcW w:w="0" w:type="auto"/>
            <w:vAlign w:val="center"/>
          </w:tcPr>
          <w:p w14:paraId="2A187E15">
            <w:r>
              <w:t>1450</w:t>
            </w:r>
          </w:p>
        </w:tc>
        <w:tc>
          <w:tcPr>
            <w:tcW w:w="0" w:type="auto"/>
            <w:vAlign w:val="center"/>
          </w:tcPr>
          <w:p w14:paraId="6268E816">
            <w:r>
              <w:t>中型真空浇注罐</w:t>
            </w:r>
          </w:p>
        </w:tc>
      </w:tr>
      <w:tr w14:paraId="31A51DDA">
        <w:tc>
          <w:tcPr>
            <w:tcW w:w="0" w:type="auto"/>
            <w:vAlign w:val="center"/>
          </w:tcPr>
          <w:p w14:paraId="43B1F312">
            <w:r>
              <w:t>RP50-8</w:t>
            </w:r>
          </w:p>
        </w:tc>
        <w:tc>
          <w:tcPr>
            <w:tcW w:w="0" w:type="auto"/>
            <w:vAlign w:val="center"/>
          </w:tcPr>
          <w:p w14:paraId="480BE12F">
            <w:r>
              <w:t>≤0.1</w:t>
            </w:r>
          </w:p>
        </w:tc>
        <w:tc>
          <w:tcPr>
            <w:tcW w:w="0" w:type="auto"/>
            <w:vAlign w:val="center"/>
          </w:tcPr>
          <w:p w14:paraId="723C056D">
            <w:r>
              <w:t>50</w:t>
            </w:r>
          </w:p>
        </w:tc>
        <w:tc>
          <w:tcPr>
            <w:tcW w:w="0" w:type="auto"/>
            <w:vAlign w:val="center"/>
          </w:tcPr>
          <w:p w14:paraId="287BF05F">
            <w:r>
              <w:t>4.0</w:t>
            </w:r>
          </w:p>
        </w:tc>
        <w:tc>
          <w:tcPr>
            <w:tcW w:w="0" w:type="auto"/>
            <w:vAlign w:val="center"/>
          </w:tcPr>
          <w:p w14:paraId="2FD7E0AC">
            <w:r>
              <w:t>1500</w:t>
            </w:r>
          </w:p>
        </w:tc>
        <w:tc>
          <w:tcPr>
            <w:tcW w:w="0" w:type="auto"/>
            <w:vAlign w:val="center"/>
          </w:tcPr>
          <w:p w14:paraId="292CAA8C">
            <w:r>
              <w:t>高精度环氧树脂脱气</w:t>
            </w:r>
          </w:p>
        </w:tc>
      </w:tr>
    </w:tbl>
    <w:p w14:paraId="42525205">
      <w:pPr>
        <w:pStyle w:val="3"/>
      </w:pPr>
      <w:r>
        <w:t>二、罗氏泵结构组成与核心部件</w:t>
      </w:r>
    </w:p>
    <w:p w14:paraId="23E7B14B">
      <w:pPr>
        <w:pStyle w:val="4"/>
      </w:pPr>
      <w:r>
        <w:t>2.1 泵体与转子系统</w:t>
      </w:r>
    </w:p>
    <w:p w14:paraId="069DB74E">
      <w:r>
        <w:t>泵体与转子系统是实现气体输送的核心，其结构设计直接决定容积效率和运行稳定性。</w:t>
      </w:r>
    </w:p>
    <w:p w14:paraId="77BDF717">
      <w:r>
        <w:rPr>
          <w:b/>
        </w:rPr>
        <w:t>泵体结构</w:t>
      </w:r>
      <w:r>
        <w:t>：分为卧式和立式两种形式。卧式泵采用水平轴线布置，进出口管道位于同一水平面，检修时无需拆卸整体设备，适合车间地面安装（需混凝土基础，水平度误差≤0.1mm/m）；立式泵电机与泵体垂直同轴安装，占地面积仅为卧式泵的1/3~1/2，适合设备密集区域，但长轴结构易产生径向跳动（需控制轴跳动≤0.05mm）。泵体材质为HT250灰铸铁，内壁经精密加工确保表面粗糙度Ra≤1.6μm，减少气体流动阻力。</w:t>
      </w:r>
    </w:p>
    <w:p w14:paraId="7271B53D">
      <w:r>
        <w:rPr>
          <w:b/>
        </w:rPr>
        <w:t>转子系统</w:t>
      </w:r>
      <w:r>
        <w:t>：采用三叶流线型或渐开线型设计，材质为HT300铸铁或ZL108铝合金（轻量化场景）。三叶型转子通过流体力学模拟优化，容积利用率比传统双叶型提高15%~20%，且气体脉动小、噪声低（比双叶型降低5~8dB）。转子与泵壳间隙需严格控制：径向间隙0.2~0.4mm（小型泵）、0.4~0.8mm（大型泵），轴向间隙0.15~0.25mm，通过端盖垫片厚度调整，确保转子旋转时无接触摩擦，同时减少气体返流。</w:t>
      </w:r>
    </w:p>
    <w:p w14:paraId="196AEDFD">
      <w:r>
        <w:rPr>
          <w:b/>
        </w:rPr>
        <w:t>关键技术参数</w:t>
      </w:r>
      <w:r>
        <w:t>：以RP50-8型三叶转子泵为例，转子直径120mm，长度200mm，叶型曲率半径15mm，旋转一周形成4个密封容积（单个V0=0.25L），理论抽速S=4nV0（n为转速，r/s），当转速1500r/min时，抽速约50L/s，与实际测试值偏差≤5%。</w:t>
      </w:r>
    </w:p>
    <w:p w14:paraId="3ECCE868">
      <w:pPr>
        <w:pStyle w:val="4"/>
      </w:pPr>
      <w:r>
        <w:t>2.2 传动系统与密封结构</w:t>
      </w:r>
    </w:p>
    <w:p w14:paraId="1494BCFA">
      <w:r>
        <w:t>传动系统实现转子同步反向旋转，密封结构防止气体泄漏和润滑油污染，两者共同保障泵的运行效率和真空性能。</w:t>
      </w:r>
    </w:p>
    <w:p w14:paraId="22050AAA">
      <w:r>
        <w:rPr>
          <w:b/>
        </w:rPr>
        <w:t>传动系统</w:t>
      </w:r>
      <w:r>
        <w:t>：由齿轮箱、联轴器和电机组成。齿轮箱内装一对同步直齿或斜齿圆柱齿轮（模数2~5，精度等级GB/T 10095.2 6级），传动比严格1:1，通过键连接驱动两根转子轴反向旋转。斜齿齿轮较直齿齿轮啮合更平稳，冲击噪音降低10%~15%，但轴向力较大，需配套角接触球轴承平衡；直齿齿轮结构简单，适合中小型泵。联轴器分为刚性（无缓冲，适合同轴度高的场景）和弹性（含橡胶缓冲垫，补偿安装偏差≤0.2mm）两种，大型泵推荐弹性联轴器，减少振动传递至电机。</w:t>
      </w:r>
    </w:p>
    <w:p w14:paraId="4B042BDB">
      <w:r>
        <w:rPr>
          <w:b/>
        </w:rPr>
        <w:t>密封结构</w:t>
      </w:r>
      <w:r>
        <w:t>：</w:t>
      </w:r>
    </w:p>
    <w:p w14:paraId="4BC9FA02">
      <w:pPr>
        <w:numPr>
          <w:ilvl w:val="0"/>
          <w:numId w:val="14"/>
        </w:numPr>
        <w:spacing w:before="0" w:beforeAutospacing="1" w:after="0" w:afterAutospacing="1"/>
        <w:ind w:left="720" w:hanging="360"/>
      </w:pPr>
      <w:r>
        <w:rPr>
          <w:b/>
        </w:rPr>
        <w:t>轴端密封</w:t>
      </w:r>
      <w:r>
        <w:t>：主动轴外伸端采用机械密封或骨架真空橡胶密封。机械密封由动环（碳化硅）、静环（氧化铝）、弹性元件（弹簧）组成，允许线速度≤15m/s，适合高真空场景；骨架密封采用丁腈橡胶+金属骨架结构，成本低、拆装方便，适合真空度要求≤10Pa的工况，轴端装有回油装置防止润滑油泄漏。</w:t>
      </w:r>
    </w:p>
    <w:p w14:paraId="518CBA62">
      <w:pPr>
        <w:numPr>
          <w:ilvl w:val="0"/>
          <w:numId w:val="14"/>
        </w:numPr>
        <w:spacing w:before="0" w:beforeAutospacing="1" w:after="0" w:afterAutospacing="1"/>
        <w:ind w:left="720" w:hanging="360"/>
      </w:pPr>
      <w:r>
        <w:rPr>
          <w:b/>
        </w:rPr>
        <w:t>内部密封</w:t>
      </w:r>
      <w:r>
        <w:t>：齿轮箱与泵腔之间设迷宫式密封，通过多道环形沟槽形成节流间隙（0.1~0.3mm），利用气体阻力阻止润滑油进入泵腔；转子端面与泵盖之间采用真空橡胶圈密封，压缩量控制在20%~30%，确保真空度稳定。</w:t>
      </w:r>
    </w:p>
    <w:p w14:paraId="23152613">
      <w:pPr>
        <w:pStyle w:val="4"/>
      </w:pPr>
      <w:r>
        <w:t>2.3 润滑与冷却系统</w:t>
      </w:r>
    </w:p>
    <w:p w14:paraId="21E59F2C">
      <w:r>
        <w:t>润滑与冷却系统是保障泵长期稳定运行的关键，直接影响部件寿命和运行温度。</w:t>
      </w:r>
    </w:p>
    <w:p w14:paraId="5034B53B">
      <w:r>
        <w:rPr>
          <w:b/>
        </w:rPr>
        <w:t>润滑系统</w:t>
      </w:r>
      <w:r>
        <w:t>：齿轮箱和轴承采用一体化润滑，中小型泵（功率≤7.5kW）采用飞溅润滑——齿轮旋转时将润滑油甩至箱壁，通过油道流入轴承；大型泵（功率＞7.5kW）采用强制供油润滑，由齿轮泵将润滑油加压（0.2~0.3MPa）输送至轴承和齿轮啮合面，确保高转速下润滑充分。润滑油需选用专用真空泵油，黏度等级ISO VG68（常温）或VG100（高温环境），具有良好的抗氧化性和抗乳化性，换油周期：连续运行时2000小时，间歇运行时每季度一次，换油前需用同型号油冲洗油腔，避免新旧油混合导致性能下降。</w:t>
      </w:r>
    </w:p>
    <w:p w14:paraId="2EBBA937">
      <w:r>
        <w:rPr>
          <w:b/>
        </w:rPr>
        <w:t>冷却系统</w:t>
      </w:r>
      <w:r>
        <w:t>：根据功率和环境温度选用空气冷却或水冷却。空气冷却型在泵壳外装散热片（片距5~8mm），通过风扇强制通风，适合环境温度≤30℃、功率≤15kW的泵；水冷却型在泵壳和齿轮箱设冷却水套，进口水温≤30℃，流量≥0.5m³/h，进出水温差控制在5~10℃，防止冷却过度导致水蒸气凝结。冷却系统需定期清理：空气冷却型每月用压缩空气吹扫散热片积尘，水冷却型每半年酸洗去除水垢，确保冷却效率。</w:t>
      </w:r>
    </w:p>
    <w:p w14:paraId="5B25D9CC">
      <w:pPr>
        <w:pStyle w:val="3"/>
      </w:pPr>
      <w:r>
        <w:t>三、工作原理与气体输送机制</w:t>
      </w:r>
    </w:p>
    <w:p w14:paraId="5E299E13">
      <w:pPr>
        <w:pStyle w:val="4"/>
      </w:pPr>
      <w:r>
        <w:t>3.1 容积变化与气体输送原理</w:t>
      </w:r>
    </w:p>
    <w:p w14:paraId="6C070185">
      <w:r>
        <w:t>罗氏泵通过转子旋转形成周期性变化的密封容积实现气体输送，其核心是“无内压缩”的容积迁移机制。</w:t>
      </w:r>
    </w:p>
    <w:p w14:paraId="057B595B">
      <w:r>
        <w:rPr>
          <w:b/>
        </w:rPr>
        <w:t>动态容积区域</w:t>
      </w:r>
      <w:r>
        <w:t>：转子旋转一周形成四个连续变化的容积区域（图1）：</w:t>
      </w:r>
    </w:p>
    <w:p w14:paraId="7280EC13">
      <w:pPr>
        <w:numPr>
          <w:ilvl w:val="0"/>
          <w:numId w:val="15"/>
        </w:numPr>
        <w:spacing w:before="0" w:beforeAutospacing="1" w:after="0" w:afterAutospacing="1"/>
        <w:ind w:left="720" w:hanging="360"/>
      </w:pPr>
      <w:r>
        <w:rPr>
          <w:b/>
        </w:rPr>
        <w:t>进气阶段</w:t>
      </w:r>
      <w:r>
        <w:t>：转子旋转至进气口一侧，与泵腔形成的月牙形空间容积逐渐增大，内部压力降至被抽容器压力以下，气体通过进气口流入并充满该空间；</w:t>
      </w:r>
    </w:p>
    <w:p w14:paraId="4D99AC90">
      <w:pPr>
        <w:numPr>
          <w:ilvl w:val="0"/>
          <w:numId w:val="15"/>
        </w:numPr>
        <w:spacing w:before="0" w:beforeAutospacing="1" w:after="0" w:afterAutospacing="1"/>
        <w:ind w:left="720" w:hanging="360"/>
      </w:pPr>
      <w:r>
        <w:rPr>
          <w:b/>
        </w:rPr>
        <w:t>隔离阶段</w:t>
      </w:r>
      <w:r>
        <w:t>：转子继续旋转，密封容积与进气口完全隔离，形成独立的封闭空间；</w:t>
      </w:r>
    </w:p>
    <w:p w14:paraId="7AD347D2">
      <w:pPr>
        <w:numPr>
          <w:ilvl w:val="0"/>
          <w:numId w:val="15"/>
        </w:numPr>
        <w:spacing w:before="0" w:beforeAutospacing="1" w:after="0" w:afterAutospacing="1"/>
        <w:ind w:left="720" w:hanging="360"/>
      </w:pPr>
      <w:r>
        <w:rPr>
          <w:b/>
        </w:rPr>
        <w:t>输送阶段</w:t>
      </w:r>
      <w:r>
        <w:t>：封闭容积随转子旋转向排气口移动，此过程容积大小不变，仅实现气体物理迁移；</w:t>
      </w:r>
    </w:p>
    <w:p w14:paraId="185D887F">
      <w:pPr>
        <w:numPr>
          <w:ilvl w:val="0"/>
          <w:numId w:val="15"/>
        </w:numPr>
        <w:spacing w:before="0" w:beforeAutospacing="1" w:after="0" w:afterAutospacing="1"/>
        <w:ind w:left="720" w:hanging="360"/>
      </w:pPr>
      <w:r>
        <w:rPr>
          <w:b/>
        </w:rPr>
        <w:t>排气阶段</w:t>
      </w:r>
      <w:r>
        <w:t>：封闭容积旋转至排气口，与排气侧连通，气体在压力差（前级泵已降低排气侧压力）作用下快速排出。</w:t>
      </w:r>
    </w:p>
    <w:p w14:paraId="7FBD1B53">
      <w:r>
        <w:rPr>
          <w:b/>
        </w:rPr>
        <w:t>抽速计算公式</w:t>
      </w:r>
      <w:r>
        <w:t>：转子旋转一周共排出4个V0（单个密封容积）的气体，抽速S（L/s）=4nV0×10⁻³（n为转速，r/s；V0为单个密封容积，L）。例如，三叶转子泵V0=0.25L，转速1500r/min（25r/s），则S=4×25×0.25=25L/s，与实际测试值偏差≤5%。</w:t>
      </w:r>
    </w:p>
    <w:p w14:paraId="5456A070">
      <w:r>
        <w:rPr>
          <w:b/>
        </w:rPr>
        <w:t>无内压缩特性</w:t>
      </w:r>
      <w:r>
        <w:t>：气体在输送过程中不被压缩，仅通过容积转移实现迁移，因此在工作压力范围（1Pa至1kPa）内抽速稳定。实验表明，当入口压力从1kPa降至10Pa时，抽速衰减≤10%，这一特性使其特别适合干变浇注中需持续维持低压力的场景。</w:t>
      </w:r>
    </w:p>
    <w:p w14:paraId="504238ED">
      <w:pPr>
        <w:pStyle w:val="4"/>
      </w:pPr>
      <w:r>
        <w:t>3.2 与前级泵的协同工作原理</w:t>
      </w:r>
    </w:p>
    <w:p w14:paraId="4F1FF59F">
      <w:r>
        <w:t>罗氏泵压缩比低（通常2~10），无法直接向大气排气，必须串联前级泵形成真空机组，其协同工作原理如下：</w:t>
      </w:r>
    </w:p>
    <w:p w14:paraId="7A183EBE">
      <w:r>
        <w:rPr>
          <w:b/>
        </w:rPr>
        <w:t>串联必要性</w:t>
      </w:r>
      <w:r>
        <w:t>：罗氏泵排气压力需由前级泵降至工作压力范围（通常≤1kPa），否则排气侧高压气体将返流至泵腔，导致抽速骤降甚至转子卡死。例如，当入口压力100Pa、排气压力100kPa时，压缩比达1000，远超允许值，需前级泵将排气压力降至1kPa，压缩比降至10，确保安全运行。</w:t>
      </w:r>
    </w:p>
    <w:p w14:paraId="2A4D2C72">
      <w:r>
        <w:rPr>
          <w:b/>
        </w:rPr>
        <w:t>抽速比配置</w:t>
      </w:r>
      <w:r>
        <w:t>：根据真空度要求选择抽速比（罗氏泵抽速S1/前级泵抽速S2）：</w:t>
      </w:r>
    </w:p>
    <w:p w14:paraId="3AA76DBA">
      <w:pPr>
        <w:numPr>
          <w:ilvl w:val="0"/>
          <w:numId w:val="16"/>
        </w:numPr>
        <w:spacing w:before="0" w:beforeAutospacing="1" w:after="0" w:afterAutospacing="1"/>
        <w:ind w:left="720" w:hanging="360"/>
      </w:pPr>
      <w:r>
        <w:t>常规真空（1~100Pa）：S1:S2=10:1，兼顾效率与成本；</w:t>
      </w:r>
    </w:p>
    <w:p w14:paraId="28538060">
      <w:pPr>
        <w:numPr>
          <w:ilvl w:val="0"/>
          <w:numId w:val="16"/>
        </w:numPr>
        <w:spacing w:before="0" w:beforeAutospacing="1" w:after="0" w:afterAutospacing="1"/>
        <w:ind w:left="720" w:hanging="360"/>
      </w:pPr>
      <w:r>
        <w:t>高真空（≤1Pa）：S1:S2=5:1，减少前级泵返流影响；</w:t>
      </w:r>
    </w:p>
    <w:p w14:paraId="77CE7875">
      <w:pPr>
        <w:numPr>
          <w:ilvl w:val="0"/>
          <w:numId w:val="16"/>
        </w:numPr>
        <w:spacing w:before="0" w:beforeAutospacing="1" w:after="0" w:afterAutospacing="1"/>
        <w:ind w:left="720" w:hanging="360"/>
      </w:pPr>
      <w:r>
        <w:t>粗真空（100~1000Pa）：S1:S2=20:1，缩短抽气时间。</w:t>
      </w:r>
    </w:p>
    <w:p w14:paraId="01378CE2">
      <w:r>
        <w:rPr>
          <w:b/>
        </w:rPr>
        <w:t>前级泵选型</w:t>
      </w:r>
      <w:r>
        <w:t>：</w:t>
      </w:r>
    </w:p>
    <w:p w14:paraId="4EB7BDF6">
      <w:pPr>
        <w:numPr>
          <w:ilvl w:val="0"/>
          <w:numId w:val="17"/>
        </w:numPr>
        <w:spacing w:before="0" w:beforeAutospacing="1" w:after="0" w:afterAutospacing="1"/>
        <w:ind w:left="720" w:hanging="360"/>
      </w:pPr>
      <w:r>
        <w:t>真空度≤1×10⁻²Pa：选双级旋片泵（如2XZ-4型，极限真空6.5×10⁻²Pa）；</w:t>
      </w:r>
    </w:p>
    <w:p w14:paraId="1FE23A7D">
      <w:pPr>
        <w:numPr>
          <w:ilvl w:val="0"/>
          <w:numId w:val="17"/>
        </w:numPr>
        <w:spacing w:before="0" w:beforeAutospacing="1" w:after="0" w:afterAutospacing="1"/>
        <w:ind w:left="720" w:hanging="360"/>
      </w:pPr>
      <w:r>
        <w:t>含可凝性蒸汽（环氧树脂蒸汽）：选水环泵（如2BV5131型）+冷凝器，防止蒸汽进入泵腔凝结；</w:t>
      </w:r>
    </w:p>
    <w:p w14:paraId="60BD86A6">
      <w:pPr>
        <w:numPr>
          <w:ilvl w:val="0"/>
          <w:numId w:val="17"/>
        </w:numPr>
        <w:spacing w:before="0" w:beforeAutospacing="1" w:after="0" w:afterAutospacing="1"/>
        <w:ind w:left="720" w:hanging="360"/>
      </w:pPr>
      <w:r>
        <w:t>大抽速场景：选滑阀泵（如H-150型，抽速150L/s），适合连续运行。</w:t>
      </w:r>
    </w:p>
    <w:p w14:paraId="16D0530A">
      <w:r>
        <w:rPr>
          <w:b/>
        </w:rPr>
        <w:t>压力协调控制</w:t>
      </w:r>
      <w:r>
        <w:t>：系统设压力传感器监测入口压力，当前级泵将压力降至启动阈值（通常100~500Pa）时，PLC自动启动罗氏泵；运行中若压力超过上限（如800Pa），溢流阀自动开启旁路回流，避免过载。某案例显示，带溢流阀的机组可缩短粗真空阶段抽气时间30%~50%。</w:t>
      </w:r>
    </w:p>
    <w:p w14:paraId="65C4BDFC">
      <w:pPr>
        <w:pStyle w:val="4"/>
      </w:pPr>
      <w:r>
        <w:t>3.3 真空度形成与维持机制</w:t>
      </w:r>
    </w:p>
    <w:p w14:paraId="14F4A601">
      <w:r>
        <w:t>真空度的形成与维持受转子间隙、密封性能、前级泵性能等多因素影响，需通过结构设计和工艺控制实现稳定。</w:t>
      </w:r>
    </w:p>
    <w:p w14:paraId="4F8F20F1">
      <w:r>
        <w:rPr>
          <w:b/>
        </w:rPr>
        <w:t>影响因素分析</w:t>
      </w:r>
      <w:r>
        <w:t>：</w:t>
      </w:r>
    </w:p>
    <w:p w14:paraId="1255A190">
      <w:pPr>
        <w:numPr>
          <w:ilvl w:val="0"/>
          <w:numId w:val="18"/>
        </w:numPr>
        <w:spacing w:before="0" w:beforeAutospacing="1" w:after="0" w:afterAutospacing="1"/>
        <w:ind w:left="720" w:hanging="360"/>
      </w:pPr>
      <w:r>
        <w:rPr>
          <w:b/>
        </w:rPr>
        <w:t>转子间隙</w:t>
      </w:r>
      <w:r>
        <w:t>：间隙过大（＞0.8mm）导致气体返流增加，真空度下降；过小（＜0.1mm）易因热膨胀卡滞，需根据材质热膨胀系数（铸铁α=11.7×10⁻⁶/℃）计算常温装配间隙，确保高温运行时间隙≥0.1mm。</w:t>
      </w:r>
    </w:p>
    <w:p w14:paraId="060BFD6E">
      <w:pPr>
        <w:numPr>
          <w:ilvl w:val="0"/>
          <w:numId w:val="18"/>
        </w:numPr>
        <w:spacing w:before="0" w:beforeAutospacing="1" w:after="0" w:afterAutospacing="1"/>
        <w:ind w:left="720" w:hanging="360"/>
      </w:pPr>
      <w:r>
        <w:rPr>
          <w:b/>
        </w:rPr>
        <w:t>密封性能</w:t>
      </w:r>
      <w:r>
        <w:t>：轴端密封泄漏是主要漏源，机械密封需保证端面贴合压力均匀（弹簧压缩量5~8mm），骨架密封唇口无裂纹；管道法兰密封采用真空橡胶垫，螺栓预紧力控制在20~30N·m，防止过紧导致垫片失效。</w:t>
      </w:r>
    </w:p>
    <w:p w14:paraId="6AB8582A">
      <w:pPr>
        <w:numPr>
          <w:ilvl w:val="0"/>
          <w:numId w:val="18"/>
        </w:numPr>
        <w:spacing w:before="0" w:beforeAutospacing="1" w:after="0" w:afterAutospacing="1"/>
        <w:ind w:left="720" w:hanging="360"/>
      </w:pPr>
      <w:r>
        <w:rPr>
          <w:b/>
        </w:rPr>
        <w:t>前级泵性能</w:t>
      </w:r>
      <w:r>
        <w:t>：前级泵极限真空度需比罗氏泵低一个数量级，如罗氏泵极限真空1×10⁻³Pa，前级泵需达≤1×10⁻⁴Pa，否则系统真空度受前级泵限制。</w:t>
      </w:r>
    </w:p>
    <w:p w14:paraId="7A5C24FD">
      <w:r>
        <w:rPr>
          <w:b/>
        </w:rPr>
        <w:t>环氧树脂蒸汽应对措施</w:t>
      </w:r>
      <w:r>
        <w:t>：浇注过程中释放的树脂蒸汽易在泵腔凝结，导致转子黏连或密封件老化。需在进气口加装-15℃冷媒冷凝器，将蒸汽冷凝成液体回收；泵腔内壁涂覆聚四氟乙烯涂层（厚度50~100μm），减少树脂残留；定期（每班次）通入氮气吹扫泵腔，清除残留蒸汽。</w:t>
      </w:r>
    </w:p>
    <w:p w14:paraId="43DCAA43">
      <w:pPr>
        <w:pStyle w:val="3"/>
      </w:pPr>
      <w:r>
        <w:t>四、机械原理与传动系统设计</w:t>
      </w:r>
    </w:p>
    <w:p w14:paraId="220A9B7C">
      <w:pPr>
        <w:pStyle w:val="4"/>
      </w:pPr>
      <w:r>
        <w:t>4.1 齿轮传动系统</w:t>
      </w:r>
    </w:p>
    <w:p w14:paraId="6C84D05A">
      <w:r>
        <w:t>齿轮传动系统实现转子反向同步旋转，其设计直接影响运行平稳性和噪声水平。</w:t>
      </w:r>
    </w:p>
    <w:p w14:paraId="40076BA0">
      <w:r>
        <w:rPr>
          <w:b/>
        </w:rPr>
        <w:t>齿轮结构与参数</w:t>
      </w:r>
      <w:r>
        <w:t>：采用直齿或斜齿圆柱齿轮，材料为20CrMnTi（渗碳淬火，硬度HRC58~62），齿面精度GB/T 10095.2 6级，确保传动误差≤0.02mm。斜齿齿轮螺旋角β=8°~15°，重合度ε=1.8~2.5（直齿ε=1.2~1.5），啮合更平稳，噪声比直齿低3~5dB，但产生轴向力（F=2Ttanβ/d，T为扭矩，d为分度圆直径），需配套角接触球轴承（如7206AC）承受轴向力；直齿齿轮无轴向力，适合小型泵（功率≤5.5kW）。</w:t>
      </w:r>
    </w:p>
    <w:p w14:paraId="09C3F399">
      <w:r>
        <w:rPr>
          <w:b/>
        </w:rPr>
        <w:t>安装形式对比</w:t>
      </w:r>
      <w:r>
        <w:t>：</w:t>
      </w:r>
    </w:p>
    <w:p w14:paraId="4EFD74F1">
      <w:pPr>
        <w:numPr>
          <w:ilvl w:val="0"/>
          <w:numId w:val="19"/>
        </w:numPr>
        <w:spacing w:before="0" w:beforeAutospacing="1" w:after="0" w:afterAutospacing="1"/>
        <w:ind w:left="720" w:hanging="360"/>
      </w:pPr>
      <w:r>
        <w:rPr>
          <w:b/>
        </w:rPr>
        <w:t>同侧布置</w:t>
      </w:r>
      <w:r>
        <w:t>：电机与齿轮箱位于转子同一侧，结构紧凑，但主动轴受扭矩和弯矩复合作用，易产生扭转变形（≤0.1mm/m），需加粗轴径（≥30mm）；</w:t>
      </w:r>
    </w:p>
    <w:p w14:paraId="5EA59B77">
      <w:pPr>
        <w:numPr>
          <w:ilvl w:val="0"/>
          <w:numId w:val="19"/>
        </w:numPr>
        <w:spacing w:before="0" w:beforeAutospacing="1" w:after="0" w:afterAutospacing="1"/>
        <w:ind w:left="720" w:hanging="360"/>
      </w:pPr>
      <w:r>
        <w:rPr>
          <w:b/>
        </w:rPr>
        <w:t>分置布置</w:t>
      </w:r>
      <w:r>
        <w:t>：电机与齿轮箱分置转子两侧，轴受力均匀，振动值≤2.8mm/s，维护方便（无需拆卸电机即可检修齿轮），适合大中型泵。</w:t>
      </w:r>
    </w:p>
    <w:p w14:paraId="22CE1417">
      <w:r>
        <w:rPr>
          <w:b/>
        </w:rPr>
        <w:t>润滑与维护</w:t>
      </w:r>
      <w:r>
        <w:t>：齿轮啮合面润滑采用齿轮油（ISO VG100），油位需浸没齿轮1/3齿高，每运行100小时检查油位，2000小时更换新油；定期（每季度）用塞尺测量齿侧间隙，标准值0.15~0.3mm，超过0.5mm需更换齿轮，防止转子相位偏移导致碰撞。</w:t>
      </w:r>
    </w:p>
    <w:p w14:paraId="41FBD534">
      <w:pPr>
        <w:pStyle w:val="4"/>
      </w:pPr>
      <w:r>
        <w:t>4.2 轴承配置与载荷分布</w:t>
      </w:r>
    </w:p>
    <w:p w14:paraId="6F1A8F55">
      <w:r>
        <w:t>轴承支撑转子轴，需同时承受径向力和轴向力，其选型与配置直接影响运行寿命。</w:t>
      </w:r>
    </w:p>
    <w:p w14:paraId="4F019688">
      <w:r>
        <w:rPr>
          <w:b/>
        </w:rPr>
        <w:t>轴承选型</w:t>
      </w:r>
      <w:r>
        <w:t>：</w:t>
      </w:r>
    </w:p>
    <w:p w14:paraId="608CD437">
      <w:pPr>
        <w:numPr>
          <w:ilvl w:val="0"/>
          <w:numId w:val="20"/>
        </w:numPr>
        <w:spacing w:before="0" w:beforeAutospacing="1" w:after="0" w:afterAutospacing="1"/>
        <w:ind w:left="720" w:hanging="360"/>
      </w:pPr>
      <w:r>
        <w:rPr>
          <w:b/>
        </w:rPr>
        <w:t>径向力主导</w:t>
      </w:r>
      <w:r>
        <w:t>：深沟球轴承（如6206），结构简单，适合转速≤2000r/min、径向力≤5kN的场景；</w:t>
      </w:r>
    </w:p>
    <w:p w14:paraId="0E331731">
      <w:pPr>
        <w:numPr>
          <w:ilvl w:val="0"/>
          <w:numId w:val="20"/>
        </w:numPr>
        <w:spacing w:before="0" w:beforeAutospacing="1" w:after="0" w:afterAutospacing="1"/>
        <w:ind w:left="720" w:hanging="360"/>
      </w:pPr>
      <w:r>
        <w:rPr>
          <w:b/>
        </w:rPr>
        <w:t>复合载荷</w:t>
      </w:r>
      <w:r>
        <w:t>：角接触球轴承（如7206AC），可同时承受径向力和轴向力，接触角15°~25°，适合高转速（2000~3000r/min）；</w:t>
      </w:r>
    </w:p>
    <w:p w14:paraId="7EC0A6CF">
      <w:pPr>
        <w:numPr>
          <w:ilvl w:val="0"/>
          <w:numId w:val="20"/>
        </w:numPr>
        <w:spacing w:before="0" w:beforeAutospacing="1" w:after="0" w:afterAutospacing="1"/>
        <w:ind w:left="720" w:hanging="360"/>
      </w:pPr>
      <w:r>
        <w:rPr>
          <w:b/>
        </w:rPr>
        <w:t>重载场景</w:t>
      </w:r>
      <w:r>
        <w:t>：圆柱滚子轴承（如NU206），径向承载能力比深沟球轴承高50%，适合大型泵（功率≥15kW）。</w:t>
      </w:r>
    </w:p>
    <w:p w14:paraId="5AA770AC">
      <w:r>
        <w:rPr>
          <w:b/>
        </w:rPr>
        <w:t>双端支撑结构</w:t>
      </w:r>
      <w:r>
        <w:t>：转子轴采用双端支撑，前端（靠近转子）轴承间距L1=100~150mm，后端（靠近齿轮）间距L2=80~120mm，支撑跨距L=L1+L2，轴的最大挠度需≤0.05mm，防止转子与泵壳摩擦。轴承间隙：径向间隙0.02~0.05mm（小型泵）、0.05~0.1mm（大型泵），通过轴肩和锁紧螺母定位，确保轴向窜动量≤0.1mm。</w:t>
      </w:r>
    </w:p>
    <w:p w14:paraId="4BD82D4A">
      <w:r>
        <w:rPr>
          <w:b/>
        </w:rPr>
        <w:t>载荷分布</w:t>
      </w:r>
      <w:r>
        <w:t>：转子运行时受气体压力产生径向力Fr=P×A（P为压差，A为转子投影面积），例如压差100kPa、转子直径120mm时，Fr≈1130N，由前后轴承按1:1.5比例分担（前端受力大）；齿轮传动产生的轴向力由角接触轴承承受，通过轴承组合（面对面或背对背安装）抵消。</w:t>
      </w:r>
    </w:p>
    <w:p w14:paraId="4FC235CC">
      <w:pPr>
        <w:pStyle w:val="4"/>
      </w:pPr>
      <w:r>
        <w:t>4.3 轴系与转子平衡技术</w:t>
      </w:r>
    </w:p>
    <w:p w14:paraId="6CD1470C">
      <w:r>
        <w:t>轴系与转子的平衡精度直接影响振动和噪声，需通过严格设计和工艺控制实现。</w:t>
      </w:r>
    </w:p>
    <w:p w14:paraId="6CF86148">
      <w:r>
        <w:rPr>
          <w:b/>
        </w:rPr>
        <w:t>轴系设计</w:t>
      </w:r>
      <w:r>
        <w:t>：轴材料选用45#钢（调质处理，硬度HB220~250），直径根据扭矩计算（d≥16×(P/n)^(1/3)，P为功率kW，n为转速r/min），例如7.5kW、1500r/min时，d≥16×(7.5/1500)^(1/3)≈32mm。轴的直线度要求≤0.2mm/m，加工后需经校直处理，确保运行时挠度≤0.05mm。</w:t>
      </w:r>
    </w:p>
    <w:p w14:paraId="76F03D47">
      <w:r>
        <w:rPr>
          <w:b/>
        </w:rPr>
        <w:t>转子平衡等级</w:t>
      </w:r>
      <w:r>
        <w:t>：采用G2.5级动平衡（ISO 1940），允许不平衡量U=m×e（m为转子质量kg，e为许用偏心距mm），例如转子质量50kg、转速1500r/min时，e=2.5mm/s×1000/(2πn)=2.5×1000/(2×3.14×25)≈16μm，U=50×0.016=0.8kg·mm。平衡工艺：先进行静平衡（消除质心偏移），再进行动平衡（消除偶不平衡），平衡后在转子端面标注平衡块位置，避免后续拆装时破坏平衡。</w:t>
      </w:r>
    </w:p>
    <w:p w14:paraId="1E4B9FEB">
      <w:r>
        <w:rPr>
          <w:b/>
        </w:rPr>
        <w:t>现场平衡校正</w:t>
      </w:r>
      <w:r>
        <w:t>：运行中若振动速度＞4.5mm/s，需进行现场动平衡，步骤如下：</w:t>
      </w:r>
    </w:p>
    <w:p w14:paraId="43508C6D">
      <w:pPr>
        <w:numPr>
          <w:ilvl w:val="0"/>
          <w:numId w:val="21"/>
        </w:numPr>
        <w:spacing w:before="0" w:beforeAutospacing="1" w:after="0" w:afterAutospacing="1"/>
        <w:ind w:left="720" w:hanging="360"/>
      </w:pPr>
      <w:r>
        <w:t>用振动传感器采集轴承水平、垂直方向振动频谱，确定1倍频（转速频率）幅值占比＞70%（不平衡特征）；</w:t>
      </w:r>
    </w:p>
    <w:p w14:paraId="6E4A9B09">
      <w:pPr>
        <w:numPr>
          <w:ilvl w:val="0"/>
          <w:numId w:val="21"/>
        </w:numPr>
        <w:spacing w:before="0" w:beforeAutospacing="1" w:after="0" w:afterAutospacing="1"/>
        <w:ind w:left="720" w:hanging="360"/>
      </w:pPr>
      <w:r>
        <w:t>在转子指定位置（厂家标记）加装试重块，测量振动变化；</w:t>
      </w:r>
    </w:p>
    <w:p w14:paraId="71C18345">
      <w:pPr>
        <w:numPr>
          <w:ilvl w:val="0"/>
          <w:numId w:val="21"/>
        </w:numPr>
        <w:spacing w:before="0" w:beforeAutospacing="1" w:after="0" w:afterAutospacing="1"/>
        <w:ind w:left="720" w:hanging="360"/>
      </w:pPr>
      <w:r>
        <w:t>计算平衡块质量和角度，通过加重或去重（钻孔）实现平衡，最终振动速度≤2.8mm/s。</w:t>
      </w:r>
    </w:p>
    <w:p w14:paraId="67230507">
      <w:pPr>
        <w:pStyle w:val="3"/>
      </w:pPr>
      <w:r>
        <w:t>五、控制系统与安全保护</w:t>
      </w:r>
    </w:p>
    <w:p w14:paraId="7286EEFE">
      <w:pPr>
        <w:pStyle w:val="4"/>
      </w:pPr>
      <w:r>
        <w:t>5.1 PLC控制系统构成</w:t>
      </w:r>
    </w:p>
    <w:p w14:paraId="091CC1EA">
      <w:r>
        <w:t>PLC控制系统是罗氏泵自动化运行的核心，实现泵组启停、参数监测和联锁保护，其构成如下：</w:t>
      </w:r>
    </w:p>
    <w:p w14:paraId="05C5A2F4">
      <w:r>
        <w:rPr>
          <w:b/>
        </w:rPr>
        <w:t>硬件组成</w:t>
      </w:r>
      <w:r>
        <w:t>：</w:t>
      </w:r>
    </w:p>
    <w:p w14:paraId="56E2B62D">
      <w:pPr>
        <w:numPr>
          <w:ilvl w:val="0"/>
          <w:numId w:val="22"/>
        </w:numPr>
        <w:spacing w:before="0" w:beforeAutospacing="1" w:after="0" w:afterAutospacing="1"/>
        <w:ind w:left="720" w:hanging="360"/>
      </w:pPr>
      <w:r>
        <w:rPr>
          <w:b/>
        </w:rPr>
        <w:t>CPU模块</w:t>
      </w:r>
      <w:r>
        <w:t>：选用西门子S7-1200或三菱FX5U系列，处理速度≥0.1μs/指令，支持数字量I/O（≥32点）和模拟量I/O（≥8点），满足多传感器信号采集和多执行器控制需求；</w:t>
      </w:r>
    </w:p>
    <w:p w14:paraId="070FBDFC">
      <w:pPr>
        <w:numPr>
          <w:ilvl w:val="0"/>
          <w:numId w:val="22"/>
        </w:numPr>
        <w:spacing w:before="0" w:beforeAutospacing="1" w:after="0" w:afterAutospacing="1"/>
        <w:ind w:left="720" w:hanging="360"/>
      </w:pPr>
      <w:r>
        <w:rPr>
          <w:b/>
        </w:rPr>
        <w:t>电源模块</w:t>
      </w:r>
      <w:r>
        <w:t>：输入AC 220V，输出DC 24V/5A，为CPU、I/O模块和传感器供电，需配置浪涌保护器（防雷击）和隔离变压器（抗干扰）；</w:t>
      </w:r>
    </w:p>
    <w:p w14:paraId="7866FEA0">
      <w:pPr>
        <w:numPr>
          <w:ilvl w:val="0"/>
          <w:numId w:val="22"/>
        </w:numPr>
        <w:spacing w:before="0" w:beforeAutospacing="1" w:after="0" w:afterAutospacing="1"/>
        <w:ind w:left="720" w:hanging="360"/>
      </w:pPr>
      <w:r>
        <w:rPr>
          <w:b/>
        </w:rPr>
        <w:t>I/O模块</w:t>
      </w:r>
      <w:r>
        <w:t>：数字量输入（DI）采集压力开关、限位开关信号，数字量输出（DO）控制接触器、继电器；模拟量输入（AI）接收温度、压力传感器4~20mA信号，模拟量输出（AO）控制调节阀开度；</w:t>
      </w:r>
    </w:p>
    <w:p w14:paraId="0F105517">
      <w:pPr>
        <w:numPr>
          <w:ilvl w:val="0"/>
          <w:numId w:val="22"/>
        </w:numPr>
        <w:spacing w:before="0" w:beforeAutospacing="1" w:after="0" w:afterAutospacing="1"/>
        <w:ind w:left="720" w:hanging="360"/>
      </w:pPr>
      <w:r>
        <w:rPr>
          <w:b/>
        </w:rPr>
        <w:t>人机界面（HMI）</w:t>
      </w:r>
      <w:r>
        <w:t>：10寸触摸屏，显示真空度、温度、转速等参数，支持手动/自动切换、参数设置和故障报警查询。</w:t>
      </w:r>
    </w:p>
    <w:p w14:paraId="239E7AE3">
      <w:r>
        <w:rPr>
          <w:b/>
        </w:rPr>
        <w:t>软件逻辑</w:t>
      </w:r>
      <w:r>
        <w:t>：采用循环扫描工作方式（扫描周期50~200ms），流程为“输入采样→程序执行→输出刷新”。核心控制程序包括：</w:t>
      </w:r>
    </w:p>
    <w:p w14:paraId="461DA8B1">
      <w:pPr>
        <w:numPr>
          <w:ilvl w:val="0"/>
          <w:numId w:val="23"/>
        </w:numPr>
        <w:spacing w:before="0" w:beforeAutospacing="1" w:after="0" w:afterAutospacing="1"/>
        <w:ind w:left="720" w:hanging="360"/>
      </w:pPr>
      <w:r>
        <w:rPr>
          <w:b/>
        </w:rPr>
        <w:t>泵组启停逻辑</w:t>
      </w:r>
      <w:r>
        <w:t>：按“前级泵启动→压力达标→罗氏泵启动”顺序执行，通过定时器（TON）和计数器（CTU）实现延时控制；</w:t>
      </w:r>
    </w:p>
    <w:p w14:paraId="2AFEB2EE">
      <w:pPr>
        <w:numPr>
          <w:ilvl w:val="0"/>
          <w:numId w:val="23"/>
        </w:numPr>
        <w:spacing w:before="0" w:beforeAutospacing="1" w:after="0" w:afterAutospacing="1"/>
        <w:ind w:left="720" w:hanging="360"/>
      </w:pPr>
      <w:r>
        <w:rPr>
          <w:b/>
        </w:rPr>
        <w:t>参数调节逻辑</w:t>
      </w:r>
      <w:r>
        <w:t>：对温度、压力采用PID调节，如当真空度低于设定值时，增大前级泵频率（变频控制）；</w:t>
      </w:r>
    </w:p>
    <w:p w14:paraId="397616EB">
      <w:pPr>
        <w:numPr>
          <w:ilvl w:val="0"/>
          <w:numId w:val="23"/>
        </w:numPr>
        <w:spacing w:before="0" w:beforeAutospacing="1" w:after="0" w:afterAutospacing="1"/>
        <w:ind w:left="720" w:hanging="360"/>
      </w:pPr>
      <w:r>
        <w:rPr>
          <w:b/>
        </w:rPr>
        <w:t>故障处理逻辑</w:t>
      </w:r>
      <w:r>
        <w:t>：采用梯形图（LD）或结构化文本（ST）编写故障诊断程序，当检测到超温、过载等信号时，触发停机并记录故障代码。</w:t>
      </w:r>
    </w:p>
    <w:p w14:paraId="507FA7A1">
      <w:pPr>
        <w:pStyle w:val="4"/>
      </w:pPr>
      <w:r>
        <w:t>5.2 传感器与监测系统</w:t>
      </w:r>
    </w:p>
    <w:p w14:paraId="2044CF12">
      <w:r>
        <w:t>传感器实时监测泵组运行参数，为控制和保护提供依据，其选型与安装直接影响监测精度。</w:t>
      </w:r>
    </w:p>
    <w:p w14:paraId="6DA1DF24">
      <w:r>
        <w:rPr>
          <w:b/>
        </w:rPr>
        <w:t>温度传感器</w:t>
      </w:r>
      <w:r>
        <w:t>：</w:t>
      </w:r>
    </w:p>
    <w:p w14:paraId="0DE43194">
      <w:pPr>
        <w:numPr>
          <w:ilvl w:val="0"/>
          <w:numId w:val="24"/>
        </w:numPr>
        <w:spacing w:before="0" w:beforeAutospacing="1" w:after="0" w:afterAutospacing="1"/>
        <w:ind w:left="720" w:hanging="360"/>
      </w:pPr>
      <w:r>
        <w:rPr>
          <w:b/>
        </w:rPr>
        <w:t>轴承温度</w:t>
      </w:r>
      <w:r>
        <w:t>：采用PT100铂电阻（精度A级，-50~200℃），安装于轴承箱预留孔（深度≥20mm，与轴承外圈接触），测量值通过隔离变送器转换为4~20mA信号接入PLC，正常温度≤70℃，超80℃触发停机；</w:t>
      </w:r>
    </w:p>
    <w:p w14:paraId="1241EE11">
      <w:pPr>
        <w:numPr>
          <w:ilvl w:val="0"/>
          <w:numId w:val="24"/>
        </w:numPr>
        <w:spacing w:before="0" w:beforeAutospacing="1" w:after="0" w:afterAutospacing="1"/>
        <w:ind w:left="720" w:hanging="360"/>
      </w:pPr>
      <w:r>
        <w:rPr>
          <w:b/>
        </w:rPr>
        <w:t>泵体温度</w:t>
      </w:r>
      <w:r>
        <w:t>：红外温度传感器（测量范围0~200℃，精度±1℃）非接触式监测泵壳表面温度，避免安装孔泄漏风险；</w:t>
      </w:r>
    </w:p>
    <w:p w14:paraId="2AEBF36F">
      <w:pPr>
        <w:numPr>
          <w:ilvl w:val="0"/>
          <w:numId w:val="24"/>
        </w:numPr>
        <w:spacing w:before="0" w:beforeAutospacing="1" w:after="0" w:afterAutospacing="1"/>
        <w:ind w:left="720" w:hanging="360"/>
      </w:pPr>
      <w:r>
        <w:rPr>
          <w:b/>
        </w:rPr>
        <w:t>油温</w:t>
      </w:r>
      <w:r>
        <w:t>：插入式热电阻（安装于齿轮箱油腔），监测润滑油温度，超60℃时启动冷却风扇（空气冷却型）或增大冷却水流量（水冷却型）。</w:t>
      </w:r>
    </w:p>
    <w:p w14:paraId="34B64476">
      <w:r>
        <w:rPr>
          <w:b/>
        </w:rPr>
        <w:t>压力传感器</w:t>
      </w:r>
      <w:r>
        <w:t>：</w:t>
      </w:r>
    </w:p>
    <w:p w14:paraId="5CDEAE5C">
      <w:pPr>
        <w:numPr>
          <w:ilvl w:val="0"/>
          <w:numId w:val="25"/>
        </w:numPr>
        <w:spacing w:before="0" w:beforeAutospacing="1" w:after="0" w:afterAutospacing="1"/>
        <w:ind w:left="720" w:hanging="360"/>
      </w:pPr>
      <w:r>
        <w:rPr>
          <w:b/>
        </w:rPr>
        <w:t>入口真空度</w:t>
      </w:r>
      <w:r>
        <w:t>：皮拉尼电阻真空计（测量范围10⁻³~10⁵Pa，精度±5%FS），安装于进气口管道（距泵入口≥3倍管径），避免气流扰动影响测量；</w:t>
      </w:r>
    </w:p>
    <w:p w14:paraId="4E7363BE">
      <w:pPr>
        <w:numPr>
          <w:ilvl w:val="0"/>
          <w:numId w:val="25"/>
        </w:numPr>
        <w:spacing w:before="0" w:beforeAutospacing="1" w:after="0" w:afterAutospacing="1"/>
        <w:ind w:left="720" w:hanging="360"/>
      </w:pPr>
      <w:r>
        <w:rPr>
          <w:b/>
        </w:rPr>
        <w:t>出口压力</w:t>
      </w:r>
      <w:r>
        <w:t>：扩散硅压力变送器（测量范围0~100kPa，精度±0.5%FS），监测排气侧压力，超1kPa时触发溢流阀动作；</w:t>
      </w:r>
    </w:p>
    <w:p w14:paraId="2A996566">
      <w:pPr>
        <w:numPr>
          <w:ilvl w:val="0"/>
          <w:numId w:val="25"/>
        </w:numPr>
        <w:spacing w:before="0" w:beforeAutospacing="1" w:after="0" w:afterAutospacing="1"/>
        <w:ind w:left="720" w:hanging="360"/>
      </w:pPr>
      <w:r>
        <w:rPr>
          <w:b/>
        </w:rPr>
        <w:t>冷却水压力</w:t>
      </w:r>
      <w:r>
        <w:t>：压力开关（设定值0.2MPa），监测冷却水进口压力，欠压时报警（不停机）。</w:t>
      </w:r>
    </w:p>
    <w:p w14:paraId="2FC96752">
      <w:r>
        <w:rPr>
          <w:b/>
        </w:rPr>
        <w:t>传感器校准</w:t>
      </w:r>
      <w:r>
        <w:t>：每半年进行一次校准，温度传感器用恒温油槽比对（误差≤0.5℃），压力传感器用标准压力源校准（误差≤0.2%FS），校准数据记录存档，超差传感器需更换或维修。</w:t>
      </w:r>
    </w:p>
    <w:p w14:paraId="403C7F67">
      <w:pPr>
        <w:pStyle w:val="4"/>
      </w:pPr>
      <w:r>
        <w:t>5.3 启停控制与联锁保护</w:t>
      </w:r>
    </w:p>
    <w:p w14:paraId="3400E719">
      <w:r>
        <w:t>罗氏泵的启停需严格遵循时序逻辑，配合联锁保护功能确保设备安全运行。</w:t>
      </w:r>
    </w:p>
    <w:p w14:paraId="610DAF5C">
      <w:r>
        <w:rPr>
          <w:b/>
        </w:rPr>
        <w:t>启动流程</w:t>
      </w:r>
      <w:r>
        <w:t>（自动模式）：</w:t>
      </w:r>
    </w:p>
    <w:p w14:paraId="6D2E026D">
      <w:pPr>
        <w:numPr>
          <w:ilvl w:val="0"/>
          <w:numId w:val="26"/>
        </w:numPr>
        <w:spacing w:before="0" w:beforeAutospacing="1" w:after="0" w:afterAutospacing="1"/>
        <w:ind w:left="720" w:hanging="360"/>
      </w:pPr>
      <w:r>
        <w:t>系统上电，PLC自检（传感器、执行器状态），无故障时HMI显示“就绪”；</w:t>
      </w:r>
    </w:p>
    <w:p w14:paraId="6350842B">
      <w:pPr>
        <w:numPr>
          <w:ilvl w:val="0"/>
          <w:numId w:val="26"/>
        </w:numPr>
        <w:spacing w:before="0" w:beforeAutospacing="1" w:after="0" w:afterAutospacing="1"/>
        <w:ind w:left="720" w:hanging="360"/>
      </w:pPr>
      <w:r>
        <w:t>操作人员按下“启动”按钮，PLC输出信号启动前级泵（KM1吸合），同时打开前级泵进气阀；</w:t>
      </w:r>
    </w:p>
    <w:p w14:paraId="1CDFBC37">
      <w:pPr>
        <w:numPr>
          <w:ilvl w:val="0"/>
          <w:numId w:val="26"/>
        </w:numPr>
        <w:spacing w:before="0" w:beforeAutospacing="1" w:after="0" w:afterAutospacing="1"/>
        <w:ind w:left="720" w:hanging="360"/>
      </w:pPr>
      <w:r>
        <w:t>压力传感器监测系统压力，降至启动阈值（通常100~500Pa）时，PLC延时5s后启动罗氏泵（KM2吸合），同时关闭旁通阀；</w:t>
      </w:r>
    </w:p>
    <w:p w14:paraId="05AA7A3B">
      <w:pPr>
        <w:numPr>
          <w:ilvl w:val="0"/>
          <w:numId w:val="26"/>
        </w:numPr>
        <w:spacing w:before="0" w:beforeAutospacing="1" w:after="0" w:afterAutospacing="1"/>
        <w:ind w:left="720" w:hanging="360"/>
      </w:pPr>
      <w:r>
        <w:t>系统进入稳定运行，HMI显示实时真空度、温度等参数，真空度达工艺值（如1.33Pa）后，PLC发出“就绪”信号，允许进行浇注工艺。</w:t>
      </w:r>
    </w:p>
    <w:p w14:paraId="3BE55518">
      <w:r>
        <w:rPr>
          <w:b/>
        </w:rPr>
        <w:t>运行监控</w:t>
      </w:r>
      <w:r>
        <w:t>：PLC持续监测以下参数：</w:t>
      </w:r>
    </w:p>
    <w:p w14:paraId="35EFE0D7">
      <w:pPr>
        <w:numPr>
          <w:ilvl w:val="0"/>
          <w:numId w:val="27"/>
        </w:numPr>
        <w:spacing w:before="0" w:beforeAutospacing="1" w:after="0" w:afterAutospacing="1"/>
        <w:ind w:left="720" w:hanging="360"/>
      </w:pPr>
      <w:r>
        <w:t>真空度：低于设定下限（如0.1Pa）时，减小前级泵抽速；高于上限（如10Pa）时，增大前级泵抽速；</w:t>
      </w:r>
    </w:p>
    <w:p w14:paraId="4A50E4FE">
      <w:pPr>
        <w:numPr>
          <w:ilvl w:val="0"/>
          <w:numId w:val="27"/>
        </w:numPr>
        <w:spacing w:before="0" w:beforeAutospacing="1" w:after="0" w:afterAutospacing="1"/>
        <w:ind w:left="720" w:hanging="360"/>
      </w:pPr>
      <w:r>
        <w:t>温度：轴承温度超80℃或泵体温度超100℃时，触发声光报警并停机；</w:t>
      </w:r>
    </w:p>
    <w:p w14:paraId="4CDE04F8">
      <w:pPr>
        <w:numPr>
          <w:ilvl w:val="0"/>
          <w:numId w:val="27"/>
        </w:numPr>
        <w:spacing w:before="0" w:beforeAutospacing="1" w:after="0" w:afterAutospacing="1"/>
        <w:ind w:left="720" w:hanging="360"/>
      </w:pPr>
      <w:r>
        <w:t>电流：电机电流超额定值1.2倍时，延时3s停机，防止过载烧毁。</w:t>
      </w:r>
    </w:p>
    <w:p w14:paraId="27020142">
      <w:r>
        <w:rPr>
          <w:b/>
        </w:rPr>
        <w:t>停止流程</w:t>
      </w:r>
      <w:r>
        <w:t>（正常停机）：</w:t>
      </w:r>
    </w:p>
    <w:p w14:paraId="03BA9293">
      <w:pPr>
        <w:numPr>
          <w:ilvl w:val="0"/>
          <w:numId w:val="28"/>
        </w:numPr>
        <w:spacing w:before="0" w:beforeAutospacing="1" w:after="0" w:afterAutospacing="1"/>
        <w:ind w:left="720" w:hanging="360"/>
      </w:pPr>
      <w:r>
        <w:t>工艺结束后，操作人员按下“停止”按钮，PLC打开旁通阀泄压；</w:t>
      </w:r>
    </w:p>
    <w:p w14:paraId="1A7CEFB2">
      <w:pPr>
        <w:numPr>
          <w:ilvl w:val="0"/>
          <w:numId w:val="28"/>
        </w:numPr>
        <w:spacing w:before="0" w:beforeAutospacing="1" w:after="0" w:afterAutospacing="1"/>
        <w:ind w:left="720" w:hanging="360"/>
      </w:pPr>
      <w:r>
        <w:t>系统压力升至1000Pa后，停止罗氏泵（KM2断开），延时10s后停止前级泵（KM1断开）；</w:t>
      </w:r>
    </w:p>
    <w:p w14:paraId="7F2E3D8B">
      <w:pPr>
        <w:numPr>
          <w:ilvl w:val="0"/>
          <w:numId w:val="28"/>
        </w:numPr>
        <w:spacing w:before="0" w:beforeAutospacing="1" w:after="0" w:afterAutospacing="1"/>
        <w:ind w:left="720" w:hanging="360"/>
      </w:pPr>
      <w:r>
        <w:t>关闭冷却水阀门，HMI显示“已停机”，完成停止流程。</w:t>
      </w:r>
    </w:p>
    <w:p w14:paraId="593F293C">
      <w:r>
        <w:rPr>
          <w:b/>
        </w:rPr>
        <w:t>紧急停机</w:t>
      </w:r>
      <w:r>
        <w:t>：出现以下情况时触发急停：</w:t>
      </w:r>
    </w:p>
    <w:p w14:paraId="3EF5E7A1">
      <w:pPr>
        <w:numPr>
          <w:ilvl w:val="0"/>
          <w:numId w:val="29"/>
        </w:numPr>
        <w:spacing w:before="0" w:beforeAutospacing="1" w:after="0" w:afterAutospacing="1"/>
        <w:ind w:left="720" w:hanging="360"/>
      </w:pPr>
      <w:r>
        <w:t>转子卡死（电机电流突增≥2倍额定值）；</w:t>
      </w:r>
    </w:p>
    <w:p w14:paraId="14239904">
      <w:pPr>
        <w:numPr>
          <w:ilvl w:val="0"/>
          <w:numId w:val="29"/>
        </w:numPr>
        <w:spacing w:before="0" w:beforeAutospacing="1" w:after="0" w:afterAutospacing="1"/>
        <w:ind w:left="720" w:hanging="360"/>
      </w:pPr>
      <w:r>
        <w:t>机械密封大量泄漏（油位5分钟内下降＞10%）；</w:t>
      </w:r>
    </w:p>
    <w:p w14:paraId="0386E9DD">
      <w:pPr>
        <w:numPr>
          <w:ilvl w:val="0"/>
          <w:numId w:val="29"/>
        </w:numPr>
        <w:spacing w:before="0" w:beforeAutospacing="1" w:after="0" w:afterAutospacing="1"/>
        <w:ind w:left="720" w:hanging="360"/>
      </w:pPr>
      <w:r>
        <w:t>振动速度＞11.2mm/s（破坏性振动）。急停时PLC立即切断所有泵电源，同时打开泄压阀，防止泵腔负压损坏部件。</w:t>
      </w:r>
    </w:p>
    <w:p w14:paraId="099ADBD3">
      <w:pPr>
        <w:pStyle w:val="3"/>
      </w:pPr>
      <w:r>
        <w:t>六、常见故障分析与处理对策</w:t>
      </w:r>
    </w:p>
    <w:p w14:paraId="513D8C74">
      <w:pPr>
        <w:pStyle w:val="4"/>
      </w:pPr>
      <w:r>
        <w:t>6.1 极限压力不达标故障</w:t>
      </w:r>
    </w:p>
    <w:p w14:paraId="3B0E3363">
      <w:r>
        <w:t>极限压力不达标（实测值＞1.33Pa）是影响产品质量的常见故障，需从系统、泵体、前级泵三方面排查：</w:t>
      </w:r>
    </w:p>
    <w:p w14:paraId="25D0D91E">
      <w:r>
        <w:rPr>
          <w:b/>
        </w:rPr>
        <w:t>故障成因与定位</w:t>
      </w:r>
      <w:r>
        <w:t>：</w:t>
      </w:r>
    </w:p>
    <w:p w14:paraId="78E3F6B9">
      <w:pPr>
        <w:numPr>
          <w:ilvl w:val="0"/>
          <w:numId w:val="30"/>
        </w:numPr>
        <w:spacing w:before="0" w:beforeAutospacing="1" w:after="0" w:afterAutospacing="1"/>
        <w:ind w:left="720" w:hanging="360"/>
      </w:pPr>
      <w:r>
        <w:rPr>
          <w:b/>
        </w:rPr>
        <w:t>系统泄漏</w:t>
      </w:r>
      <w:r>
        <w:t>：管道法兰密封不良、阀门内漏、真空计接口漏气等，占故障总数的60%。可用氦质谱检漏仪检测，喷氦气于可疑点，真空计示值突增处即为漏点；</w:t>
      </w:r>
    </w:p>
    <w:p w14:paraId="54D4C2E7">
      <w:pPr>
        <w:numPr>
          <w:ilvl w:val="0"/>
          <w:numId w:val="30"/>
        </w:numPr>
        <w:spacing w:before="0" w:beforeAutospacing="1" w:after="0" w:afterAutospacing="1"/>
        <w:ind w:left="720" w:hanging="360"/>
      </w:pPr>
      <w:r>
        <w:rPr>
          <w:b/>
        </w:rPr>
        <w:t>前级泵性能不足</w:t>
      </w:r>
      <w:r>
        <w:t>：旋片泵叶片磨损（间隙＞0.3mm）、油位不足或油质劣化，导致前级极限压力升高（如从10⁻²Pa升至10⁻¹Pa）；</w:t>
      </w:r>
    </w:p>
    <w:p w14:paraId="462F3F24">
      <w:pPr>
        <w:numPr>
          <w:ilvl w:val="0"/>
          <w:numId w:val="30"/>
        </w:numPr>
        <w:spacing w:before="0" w:beforeAutospacing="1" w:after="0" w:afterAutospacing="1"/>
        <w:ind w:left="720" w:hanging="360"/>
      </w:pPr>
      <w:r>
        <w:rPr>
          <w:b/>
        </w:rPr>
        <w:t>泵体内部问题</w:t>
      </w:r>
      <w:r>
        <w:t>：转子间隙过大（＞0.8mm）、机械密封泄漏、润滑油污染（含水分或杂质），导致气体返流增加。</w:t>
      </w:r>
    </w:p>
    <w:p w14:paraId="4671D0EC">
      <w:r>
        <w:rPr>
          <w:b/>
        </w:rPr>
        <w:t>处理对策</w:t>
      </w:r>
      <w:r>
        <w:t>：</w:t>
      </w:r>
    </w:p>
    <w:p w14:paraId="13A47E3A">
      <w:pPr>
        <w:numPr>
          <w:ilvl w:val="0"/>
          <w:numId w:val="31"/>
        </w:numPr>
        <w:spacing w:before="0" w:beforeAutospacing="1" w:after="0" w:afterAutospacing="1"/>
        <w:ind w:left="720" w:hanging="360"/>
      </w:pPr>
      <w:r>
        <w:rPr>
          <w:b/>
        </w:rPr>
        <w:t>泄漏处理</w:t>
      </w:r>
      <w:r>
        <w:t>：拆卸泄漏法兰，更换老化橡胶垫（压缩量20%~30%），螺栓对角均匀紧固（力矩25~30N·m）；阀门内漏需研磨阀座或更换阀芯；</w:t>
      </w:r>
    </w:p>
    <w:p w14:paraId="4757D7EC">
      <w:pPr>
        <w:numPr>
          <w:ilvl w:val="0"/>
          <w:numId w:val="31"/>
        </w:numPr>
        <w:spacing w:before="0" w:beforeAutospacing="1" w:after="0" w:afterAutospacing="1"/>
        <w:ind w:left="720" w:hanging="360"/>
      </w:pPr>
      <w:r>
        <w:rPr>
          <w:b/>
        </w:rPr>
        <w:t>前级泵维修</w:t>
      </w:r>
      <w:r>
        <w:t>：拆解旋片泵，更换磨损叶片（厚度偏差≤0.05mm）和弹簧，清洗油腔后加注新油（ISO VG68），确保油位至油镜2/3；</w:t>
      </w:r>
    </w:p>
    <w:p w14:paraId="04AD6E48">
      <w:pPr>
        <w:numPr>
          <w:ilvl w:val="0"/>
          <w:numId w:val="31"/>
        </w:numPr>
        <w:spacing w:before="0" w:beforeAutospacing="1" w:after="0" w:afterAutospacing="1"/>
        <w:ind w:left="720" w:hanging="360"/>
      </w:pPr>
      <w:r>
        <w:rPr>
          <w:b/>
        </w:rPr>
        <w:t>泵体修复</w:t>
      </w:r>
      <w:r>
        <w:t>：测量转子间隙，超差时返厂研磨泵壳或更换转子；更换机械密封（动环、静环平面度≤0.005mm）；彻底更换润滑油，并用热油（60℃）冲洗油腔去除杂质。</w:t>
      </w:r>
    </w:p>
    <w:p w14:paraId="1B536D6E">
      <w:r>
        <w:rPr>
          <w:b/>
        </w:rPr>
        <w:t>案例</w:t>
      </w:r>
      <w:r>
        <w:t>：某车间LCW-18/0.6型泵极限压力升至5Pa，检漏发现进气口法兰垫片老化，更换丁腈橡胶垫并紧固后，压力恢复至1.2Pa，故障排除。</w:t>
      </w:r>
    </w:p>
    <w:p w14:paraId="7F79706C">
      <w:pPr>
        <w:pStyle w:val="4"/>
      </w:pPr>
      <w:r>
        <w:t>6.2 抽速不足故障</w:t>
      </w:r>
    </w:p>
    <w:p w14:paraId="4B05B778">
      <w:r>
        <w:t>抽速不足（实测抽速＜额定值80%）导致脱气时间延长，影响生产效率，主要成因及对策如下：</w:t>
      </w:r>
    </w:p>
    <w:p w14:paraId="419CAE2D">
      <w:r>
        <w:rPr>
          <w:b/>
        </w:rPr>
        <w:t>故障成因</w:t>
      </w:r>
      <w:r>
        <w:t>：</w:t>
      </w:r>
    </w:p>
    <w:p w14:paraId="2AA8E5B8">
      <w:pPr>
        <w:numPr>
          <w:ilvl w:val="0"/>
          <w:numId w:val="32"/>
        </w:numPr>
        <w:spacing w:before="0" w:beforeAutospacing="1" w:after="0" w:afterAutospacing="1"/>
        <w:ind w:left="720" w:hanging="360"/>
      </w:pPr>
      <w:r>
        <w:rPr>
          <w:b/>
        </w:rPr>
        <w:t>管道流阻过大</w:t>
      </w:r>
      <w:r>
        <w:t>：管径过小（如Φ50mm管道用于150L/s抽速场景）、弯头过多（≥3个90°弯头），导致有效抽速下降30%~50%；</w:t>
      </w:r>
    </w:p>
    <w:p w14:paraId="26912548">
      <w:pPr>
        <w:numPr>
          <w:ilvl w:val="0"/>
          <w:numId w:val="32"/>
        </w:numPr>
        <w:spacing w:before="0" w:beforeAutospacing="1" w:after="0" w:afterAutospacing="1"/>
        <w:ind w:left="720" w:hanging="360"/>
      </w:pPr>
      <w:r>
        <w:rPr>
          <w:b/>
        </w:rPr>
        <w:t>过滤器堵塞</w:t>
      </w:r>
      <w:r>
        <w:t>：进气口过滤器滤芯积尘厚度＞2mm，或树脂蒸汽凝结堵塞滤孔，气流阻力增大；</w:t>
      </w:r>
    </w:p>
    <w:p w14:paraId="513C3689">
      <w:pPr>
        <w:numPr>
          <w:ilvl w:val="0"/>
          <w:numId w:val="32"/>
        </w:numPr>
        <w:spacing w:before="0" w:beforeAutospacing="1" w:after="0" w:afterAutospacing="1"/>
        <w:ind w:left="720" w:hanging="360"/>
      </w:pPr>
      <w:r>
        <w:rPr>
          <w:b/>
        </w:rPr>
        <w:t>前级泵抽速不匹配</w:t>
      </w:r>
      <w:r>
        <w:t>：前级泵抽速不足（如S2=10L/s匹配S1=150L/s，抽速比15:1＞推荐值10:1），导致罗氏泵入口压力＞1kPa，抽速衰减；</w:t>
      </w:r>
    </w:p>
    <w:p w14:paraId="07C091EE">
      <w:pPr>
        <w:numPr>
          <w:ilvl w:val="0"/>
          <w:numId w:val="32"/>
        </w:numPr>
        <w:spacing w:before="0" w:beforeAutospacing="1" w:after="0" w:afterAutospacing="1"/>
        <w:ind w:left="720" w:hanging="360"/>
      </w:pPr>
      <w:r>
        <w:rPr>
          <w:b/>
        </w:rPr>
        <w:t>转子与泵壳摩擦</w:t>
      </w:r>
      <w:r>
        <w:t>：热膨胀或异物进入导致转子与泵壳接触，容积效率下降。</w:t>
      </w:r>
    </w:p>
    <w:p w14:paraId="77DD0641">
      <w:r>
        <w:rPr>
          <w:b/>
        </w:rPr>
        <w:t>处理对策</w:t>
      </w:r>
      <w:r>
        <w:t>：</w:t>
      </w:r>
    </w:p>
    <w:p w14:paraId="6FB27E84">
      <w:pPr>
        <w:numPr>
          <w:ilvl w:val="0"/>
          <w:numId w:val="33"/>
        </w:numPr>
        <w:spacing w:before="0" w:beforeAutospacing="1" w:after="0" w:afterAutospacing="1"/>
        <w:ind w:left="720" w:hanging="360"/>
      </w:pPr>
      <w:r>
        <w:rPr>
          <w:b/>
        </w:rPr>
        <w:t>管道改造</w:t>
      </w:r>
      <w:r>
        <w:t>：根据流导公式（C=3.14×d⁴/(128μL)，d为管径m，L为管长m，μ为气体黏度Pa·s）计算，将Φ50mm管道（流导C1）更换为Φ80mm（C2≈(80/50)⁴C1≈6.5C1），抽速可提升30%；</w:t>
      </w:r>
    </w:p>
    <w:p w14:paraId="6294E550">
      <w:pPr>
        <w:numPr>
          <w:ilvl w:val="0"/>
          <w:numId w:val="33"/>
        </w:numPr>
        <w:spacing w:before="0" w:beforeAutospacing="1" w:after="0" w:afterAutospacing="1"/>
        <w:ind w:left="720" w:hanging="360"/>
      </w:pPr>
      <w:r>
        <w:rPr>
          <w:b/>
        </w:rPr>
        <w:t>过滤器清洁</w:t>
      </w:r>
      <w:r>
        <w:t>：拆卸过滤器，用压缩空气（0.4MPa）反向吹扫滤芯，顽固污渍用中性洗涤剂超声清洗（40kHz，30min），积尘严重时直接更换滤芯；</w:t>
      </w:r>
    </w:p>
    <w:p w14:paraId="0C8CD4EC">
      <w:pPr>
        <w:numPr>
          <w:ilvl w:val="0"/>
          <w:numId w:val="33"/>
        </w:numPr>
        <w:spacing w:before="0" w:beforeAutospacing="1" w:after="0" w:afterAutospacing="1"/>
        <w:ind w:left="720" w:hanging="360"/>
      </w:pPr>
      <w:r>
        <w:rPr>
          <w:b/>
        </w:rPr>
        <w:t>前级泵匹配</w:t>
      </w:r>
      <w:r>
        <w:t>：用皂膜流量计实测前级泵抽速，如S2=10L/s，需更换为S2=15L/s的前级泵（S1:S2=10:1）；</w:t>
      </w:r>
    </w:p>
    <w:p w14:paraId="139C793E">
      <w:pPr>
        <w:numPr>
          <w:ilvl w:val="0"/>
          <w:numId w:val="33"/>
        </w:numPr>
        <w:spacing w:before="0" w:beforeAutospacing="1" w:after="0" w:afterAutospacing="1"/>
        <w:ind w:left="720" w:hanging="360"/>
      </w:pPr>
      <w:r>
        <w:rPr>
          <w:b/>
        </w:rPr>
        <w:t>摩擦处理</w:t>
      </w:r>
      <w:r>
        <w:t>：拆解泵体，清除异物（如树脂颗粒），测量转子间隙，超差时调整泵盖垫片厚度，确保间隙0.1~0.8mm。</w:t>
      </w:r>
    </w:p>
    <w:p w14:paraId="7994CBEB">
      <w:r>
        <w:rPr>
          <w:b/>
        </w:rPr>
        <w:t>验证方法</w:t>
      </w:r>
      <w:r>
        <w:t>：采用节流法测量抽速，在进气口安装标准孔板，测量孔板前后压差，通过公式S=Q/(P1-P2)（Q为标准流量，P1/P2为孔板前后压力）计算实际抽速，应≥额定值90%。</w:t>
      </w:r>
    </w:p>
    <w:p w14:paraId="01F424F7">
      <w:pPr>
        <w:pStyle w:val="4"/>
      </w:pPr>
      <w:r>
        <w:t>6.3 异常噪音与振动故障</w:t>
      </w:r>
    </w:p>
    <w:p w14:paraId="1BD679A8">
      <w:r>
        <w:t>异常噪音（声压级＞85dB）和振动（速度＞4.5mm/s）不仅影响操作环境，还可能导致部件疲劳损坏，需分类处理：</w:t>
      </w:r>
    </w:p>
    <w:p w14:paraId="02EA1BC0">
      <w:r>
        <w:rPr>
          <w:b/>
        </w:rPr>
        <w:t>故障分类与特征</w:t>
      </w:r>
      <w:r>
        <w:t>：</w:t>
      </w:r>
    </w:p>
    <w:p w14:paraId="79B089D8">
      <w:pPr>
        <w:numPr>
          <w:ilvl w:val="0"/>
          <w:numId w:val="34"/>
        </w:numPr>
        <w:spacing w:before="0" w:beforeAutospacing="1" w:after="0" w:afterAutospacing="1"/>
        <w:ind w:left="720" w:hanging="360"/>
      </w:pPr>
      <w:r>
        <w:rPr>
          <w:b/>
        </w:rPr>
        <w:t>机械碰撞声</w:t>
      </w:r>
      <w:r>
        <w:t>：“咔咔”声，周期性出现（与转速同步），多因泵腔进入异物（金属碎屑、密封残渣）或转子相位偏移；</w:t>
      </w:r>
    </w:p>
    <w:p w14:paraId="1E509AD8">
      <w:pPr>
        <w:numPr>
          <w:ilvl w:val="0"/>
          <w:numId w:val="34"/>
        </w:numPr>
        <w:spacing w:before="0" w:beforeAutospacing="1" w:after="0" w:afterAutospacing="1"/>
        <w:ind w:left="720" w:hanging="360"/>
      </w:pPr>
      <w:r>
        <w:rPr>
          <w:b/>
        </w:rPr>
        <w:t>轴承噪音</w:t>
      </w:r>
      <w:r>
        <w:t>：“嗡嗡”高频声，频谱图中出现轴承特征频率（如外圈故障频率f=0.3×n），因轴承滚道点蚀、滚珠磨损；</w:t>
      </w:r>
    </w:p>
    <w:p w14:paraId="216A1F04">
      <w:pPr>
        <w:numPr>
          <w:ilvl w:val="0"/>
          <w:numId w:val="34"/>
        </w:numPr>
        <w:spacing w:before="0" w:beforeAutospacing="1" w:after="0" w:afterAutospacing="1"/>
        <w:ind w:left="720" w:hanging="360"/>
      </w:pPr>
      <w:r>
        <w:rPr>
          <w:b/>
        </w:rPr>
        <w:t>齿轮噪音</w:t>
      </w:r>
      <w:r>
        <w:t>：“啸叫”声，伴随1倍频谐波，因齿轮啮合间隙过大（＞0.5mm）或齿面磨损；</w:t>
      </w:r>
    </w:p>
    <w:p w14:paraId="1356E2A5">
      <w:pPr>
        <w:numPr>
          <w:ilvl w:val="0"/>
          <w:numId w:val="34"/>
        </w:numPr>
        <w:spacing w:before="0" w:beforeAutospacing="1" w:after="0" w:afterAutospacing="1"/>
        <w:ind w:left="720" w:hanging="360"/>
      </w:pPr>
      <w:r>
        <w:rPr>
          <w:b/>
        </w:rPr>
        <w:t>气蚀噪音</w:t>
      </w:r>
      <w:r>
        <w:t>：“噼啪”声，无明显周期，因入口压力过低（＜1Pa）导致气体在泵腔汽化。</w:t>
      </w:r>
    </w:p>
    <w:p w14:paraId="6D0ACD58">
      <w:r>
        <w:rPr>
          <w:b/>
        </w:rPr>
        <w:t>处理对策</w:t>
      </w:r>
      <w:r>
        <w:t>：</w:t>
      </w:r>
    </w:p>
    <w:p w14:paraId="348236E5">
      <w:pPr>
        <w:numPr>
          <w:ilvl w:val="0"/>
          <w:numId w:val="35"/>
        </w:numPr>
        <w:spacing w:before="0" w:beforeAutospacing="1" w:after="0" w:afterAutospacing="1"/>
        <w:ind w:left="720" w:hanging="360"/>
      </w:pPr>
      <w:r>
        <w:rPr>
          <w:b/>
        </w:rPr>
        <w:t>异物清理</w:t>
      </w:r>
      <w:r>
        <w:t>：停机后拆卸泵盖，用内窥镜检查泵腔，取出异物（如金属屑用磁铁吸附），清理后测量转子间隙，必要时重新平衡转子；</w:t>
      </w:r>
    </w:p>
    <w:p w14:paraId="5136E2D2">
      <w:pPr>
        <w:numPr>
          <w:ilvl w:val="0"/>
          <w:numId w:val="35"/>
        </w:numPr>
        <w:spacing w:before="0" w:beforeAutospacing="1" w:after="0" w:afterAutospacing="1"/>
        <w:ind w:left="720" w:hanging="360"/>
      </w:pPr>
      <w:r>
        <w:rPr>
          <w:b/>
        </w:rPr>
        <w:t>轴承更换</w:t>
      </w:r>
      <w:r>
        <w:t>：拆卸轴承箱，用拉马工具取出旧轴承，检查轴颈有无磨损（表面粗糙度Ra≤1.6μm），安装新轴承（型号与原厂一致），填充润滑脂（锂基脂，量为轴承空间30%~40%），试运转振动速度应≤2.8mm/s；</w:t>
      </w:r>
    </w:p>
    <w:p w14:paraId="2C3A95FA">
      <w:pPr>
        <w:numPr>
          <w:ilvl w:val="0"/>
          <w:numId w:val="35"/>
        </w:numPr>
        <w:spacing w:before="0" w:beforeAutospacing="1" w:after="0" w:afterAutospacing="1"/>
        <w:ind w:left="720" w:hanging="360"/>
      </w:pPr>
      <w:r>
        <w:rPr>
          <w:b/>
        </w:rPr>
        <w:t>齿轮调整</w:t>
      </w:r>
      <w:r>
        <w:t>：用塞尺测量齿轮啮合间隙，超差时更换齿轮或调整齿轮箱垫片，确保间隙0.15~0.3mm，同时检查齿轮箱油位，不足时补充润滑油；</w:t>
      </w:r>
    </w:p>
    <w:p w14:paraId="62ECFFDA">
      <w:pPr>
        <w:numPr>
          <w:ilvl w:val="0"/>
          <w:numId w:val="35"/>
        </w:numPr>
        <w:spacing w:before="0" w:beforeAutospacing="1" w:after="0" w:afterAutospacing="1"/>
        <w:ind w:left="720" w:hanging="360"/>
      </w:pPr>
      <w:r>
        <w:rPr>
          <w:b/>
        </w:rPr>
        <w:t>气蚀处理</w:t>
      </w:r>
      <w:r>
        <w:t>：增大前级泵抽速（如S2从10L/s增至15L/s），或提高入口压力（通过旁通阀微量补气），使入口压力维持在1~10Pa。</w:t>
      </w:r>
    </w:p>
    <w:p w14:paraId="2B843981">
      <w:r>
        <w:rPr>
          <w:b/>
        </w:rPr>
        <w:t>案例</w:t>
      </w:r>
      <w:r>
        <w:t>：某泵运行中出现“嗡嗡”噪音，振动频谱显示外圈故障频率f=0.3×25=7.5Hz（转速1500r/min=25r/s），更换轴承（7206AC）后噪音降至75dB，振动速度2.2mm/s，恢复正常。</w:t>
      </w:r>
    </w:p>
    <w:p w14:paraId="35764D6C">
      <w:pPr>
        <w:pStyle w:val="4"/>
      </w:pPr>
      <w:r>
        <w:t>6.4 过热故障</w:t>
      </w:r>
    </w:p>
    <w:p w14:paraId="0EA96DEB">
      <w:r>
        <w:t>泵体温度超80℃（轴承）或100℃（泵壳）称为过热故障，长期运行会导致润滑油碳化、密封件老化，需及时处理：</w:t>
      </w:r>
    </w:p>
    <w:p w14:paraId="34F4A055">
      <w:r>
        <w:rPr>
          <w:b/>
        </w:rPr>
        <w:t>故障成因</w:t>
      </w:r>
      <w:r>
        <w:t>：</w:t>
      </w:r>
    </w:p>
    <w:p w14:paraId="5E741433">
      <w:pPr>
        <w:numPr>
          <w:ilvl w:val="0"/>
          <w:numId w:val="36"/>
        </w:numPr>
        <w:spacing w:before="0" w:beforeAutospacing="1" w:after="0" w:afterAutospacing="1"/>
        <w:ind w:left="720" w:hanging="360"/>
      </w:pPr>
      <w:r>
        <w:rPr>
          <w:b/>
        </w:rPr>
        <w:t>压缩比过高</w:t>
      </w:r>
      <w:r>
        <w:t>：入口压力＞500Pa（如前级泵故障导致排气压力升高），气体在泵腔绝热压缩，温度骤升（压缩比10时温升≈80℃）；</w:t>
      </w:r>
    </w:p>
    <w:p w14:paraId="4BCF490A">
      <w:pPr>
        <w:numPr>
          <w:ilvl w:val="0"/>
          <w:numId w:val="36"/>
        </w:numPr>
        <w:spacing w:before="0" w:beforeAutospacing="1" w:after="0" w:afterAutospacing="1"/>
        <w:ind w:left="720" w:hanging="360"/>
      </w:pPr>
      <w:r>
        <w:rPr>
          <w:b/>
        </w:rPr>
        <w:t>冷却失效</w:t>
      </w:r>
      <w:r>
        <w:t>：空气冷却型散热片积尘（厚度＞1mm）、风扇损坏，或水冷却型冷却水流量不足（＜0.5m³/h）、水温过高（＞35℃）；</w:t>
      </w:r>
    </w:p>
    <w:p w14:paraId="732A9504">
      <w:pPr>
        <w:numPr>
          <w:ilvl w:val="0"/>
          <w:numId w:val="36"/>
        </w:numPr>
        <w:spacing w:before="0" w:beforeAutospacing="1" w:after="0" w:afterAutospacing="1"/>
        <w:ind w:left="720" w:hanging="360"/>
      </w:pPr>
      <w:r>
        <w:rPr>
          <w:b/>
        </w:rPr>
        <w:t>润滑不良</w:t>
      </w:r>
      <w:r>
        <w:t>：润滑油量不足（油位＜油镜1/2）、油质劣化（黏度降低＞20%）或牌号错误（用液压油代替真空泵油），摩擦热无法散发；</w:t>
      </w:r>
    </w:p>
    <w:p w14:paraId="042007A3">
      <w:pPr>
        <w:numPr>
          <w:ilvl w:val="0"/>
          <w:numId w:val="36"/>
        </w:numPr>
        <w:spacing w:before="0" w:beforeAutospacing="1" w:after="0" w:afterAutospacing="1"/>
        <w:ind w:left="720" w:hanging="360"/>
      </w:pPr>
      <w:r>
        <w:rPr>
          <w:b/>
        </w:rPr>
        <w:t>转子摩擦</w:t>
      </w:r>
      <w:r>
        <w:t>：转子与泵壳间隙过小（＜0.1mm），或轴承卡滞导致摩擦加剧。</w:t>
      </w:r>
    </w:p>
    <w:p w14:paraId="177F73B9">
      <w:r>
        <w:rPr>
          <w:b/>
        </w:rPr>
        <w:t>处理对策</w:t>
      </w:r>
      <w:r>
        <w:t>：</w:t>
      </w:r>
    </w:p>
    <w:p w14:paraId="416F5D24">
      <w:pPr>
        <w:numPr>
          <w:ilvl w:val="0"/>
          <w:numId w:val="37"/>
        </w:numPr>
        <w:spacing w:before="0" w:beforeAutospacing="1" w:after="0" w:afterAutospacing="1"/>
        <w:ind w:left="720" w:hanging="360"/>
      </w:pPr>
      <w:r>
        <w:rPr>
          <w:b/>
        </w:rPr>
        <w:t>压缩比控制</w:t>
      </w:r>
      <w:r>
        <w:t>：检查前级泵性能，修复或更换前级泵，确保入口压力≤500Pa；若工艺允许，打开旁通阀微量泄压，降低压缩比至≤10；</w:t>
      </w:r>
    </w:p>
    <w:p w14:paraId="19B1004A">
      <w:pPr>
        <w:numPr>
          <w:ilvl w:val="0"/>
          <w:numId w:val="37"/>
        </w:numPr>
        <w:spacing w:before="0" w:beforeAutospacing="1" w:after="0" w:afterAutospacing="1"/>
        <w:ind w:left="720" w:hanging="360"/>
      </w:pPr>
      <w:r>
        <w:rPr>
          <w:b/>
        </w:rPr>
        <w:t>冷却系统修复</w:t>
      </w:r>
      <w:r>
        <w:t>：空气冷却型用压缩空气吹扫散热片（沿散热方向），更换损坏风扇（转速≥1500r/min）；水冷却型清洗管道水垢（用柠檬酸溶液循环冲洗），确保冷却水流量≥0.5m³/h、进口温度≤30℃；</w:t>
      </w:r>
    </w:p>
    <w:p w14:paraId="1E75DDC3">
      <w:pPr>
        <w:numPr>
          <w:ilvl w:val="0"/>
          <w:numId w:val="37"/>
        </w:numPr>
        <w:spacing w:before="0" w:beforeAutospacing="1" w:after="0" w:afterAutospacing="1"/>
        <w:ind w:left="720" w:hanging="360"/>
      </w:pPr>
      <w:r>
        <w:rPr>
          <w:b/>
        </w:rPr>
        <w:t>润滑优化</w:t>
      </w:r>
      <w:r>
        <w:t>：补充或更换润滑油（ISO VG68真空泵油），换油前用热油冲洗油腔，清除碳化残渣；检查润滑系统，飞溅润滑需确保齿轮浸入油位1/3齿高，强制供油需确保油压0.2~0.3MPa；</w:t>
      </w:r>
    </w:p>
    <w:p w14:paraId="55298194">
      <w:pPr>
        <w:numPr>
          <w:ilvl w:val="0"/>
          <w:numId w:val="37"/>
        </w:numPr>
        <w:spacing w:before="0" w:beforeAutospacing="1" w:after="0" w:afterAutospacing="1"/>
        <w:ind w:left="720" w:hanging="360"/>
      </w:pPr>
      <w:r>
        <w:rPr>
          <w:b/>
        </w:rPr>
        <w:t>间隙调整</w:t>
      </w:r>
      <w:r>
        <w:t>：拆解泵体，测量转子间隙，通过研磨泵盖或更换转子调整至0.1~0.8mm，轴承卡滞时更换轴承并检查轴颈配合间隙（过盈量0~0.01mm）。</w:t>
      </w:r>
    </w:p>
    <w:p w14:paraId="4F90D10D">
      <w:r>
        <w:rPr>
          <w:b/>
        </w:rPr>
        <w:t>预防措施</w:t>
      </w:r>
      <w:r>
        <w:t>：在泵壳安装温度传感器，与PLC联动，当温度超70℃时提前启动冷却增强模式（如增大风扇转速、提高冷却水流量），避免过热故障发生。</w:t>
      </w:r>
    </w:p>
    <w:p w14:paraId="501A235B">
      <w:pPr>
        <w:pStyle w:val="3"/>
      </w:pPr>
      <w:r>
        <w:t>七、维护保养与预防性维修</w:t>
      </w:r>
    </w:p>
    <w:p w14:paraId="31959C5F">
      <w:pPr>
        <w:pStyle w:val="4"/>
      </w:pPr>
      <w:r>
        <w:t>7.1 日常检查与记录</w:t>
      </w:r>
    </w:p>
    <w:p w14:paraId="129D2DA0">
      <w:r>
        <w:t>日常检查是及时发现潜在故障的基础，需制定标准化检查流程并记录：</w:t>
      </w:r>
    </w:p>
    <w:p w14:paraId="35CAC4B3">
      <w:r>
        <w:rPr>
          <w:b/>
        </w:rPr>
        <w:t>开机前检查</w:t>
      </w:r>
      <w:r>
        <w:t>（每班）：</w:t>
      </w:r>
    </w:p>
    <w:p w14:paraId="03D213D9">
      <w:pPr>
        <w:numPr>
          <w:ilvl w:val="0"/>
          <w:numId w:val="38"/>
        </w:numPr>
        <w:spacing w:before="0" w:beforeAutospacing="1" w:after="0" w:afterAutospacing="1"/>
        <w:ind w:left="720" w:hanging="360"/>
      </w:pPr>
      <w:r>
        <w:rPr>
          <w:b/>
        </w:rPr>
        <w:t>油位与油质</w:t>
      </w:r>
      <w:r>
        <w:t>：齿轮箱油位应在油镜1/2~2/3处，油质透明（无乳化、发黑、杂质），乳化时需检查冷却系统是否漏水，发黑时需立即换油；</w:t>
      </w:r>
    </w:p>
    <w:p w14:paraId="4097D7AE">
      <w:pPr>
        <w:numPr>
          <w:ilvl w:val="0"/>
          <w:numId w:val="38"/>
        </w:numPr>
        <w:spacing w:before="0" w:beforeAutospacing="1" w:after="0" w:afterAutospacing="1"/>
        <w:ind w:left="720" w:hanging="360"/>
      </w:pPr>
      <w:r>
        <w:rPr>
          <w:b/>
        </w:rPr>
        <w:t>地脚螺栓</w:t>
      </w:r>
      <w:r>
        <w:t>：用扳手检查泵体、电机地脚螺栓，确保无松动（扭矩25~30N·m），防松螺母无脱落；</w:t>
      </w:r>
    </w:p>
    <w:p w14:paraId="40B9E922">
      <w:pPr>
        <w:numPr>
          <w:ilvl w:val="0"/>
          <w:numId w:val="38"/>
        </w:numPr>
        <w:spacing w:before="0" w:beforeAutospacing="1" w:after="0" w:afterAutospacing="1"/>
        <w:ind w:left="720" w:hanging="360"/>
      </w:pPr>
      <w:r>
        <w:rPr>
          <w:b/>
        </w:rPr>
        <w:t>过滤器</w:t>
      </w:r>
      <w:r>
        <w:t>：进气口过滤器滤芯表面无明显积尘，压差表指示＜0.05MPa（正常），超0.1MPa需清洁；</w:t>
      </w:r>
    </w:p>
    <w:p w14:paraId="6F8082EB">
      <w:pPr>
        <w:numPr>
          <w:ilvl w:val="0"/>
          <w:numId w:val="38"/>
        </w:numPr>
        <w:spacing w:before="0" w:beforeAutospacing="1" w:after="0" w:afterAutospacing="1"/>
        <w:ind w:left="720" w:hanging="360"/>
      </w:pPr>
      <w:r>
        <w:rPr>
          <w:b/>
        </w:rPr>
        <w:t>阀门状态</w:t>
      </w:r>
      <w:r>
        <w:t>：旁通阀关闭，进气阀、排气阀全开，冷却水阀门开度≥1/2（水冷却型）。</w:t>
      </w:r>
    </w:p>
    <w:p w14:paraId="1005C82C">
      <w:r>
        <w:rPr>
          <w:b/>
        </w:rPr>
        <w:t>运行中检查</w:t>
      </w:r>
      <w:r>
        <w:t>（每小时）：</w:t>
      </w:r>
    </w:p>
    <w:p w14:paraId="11B207FB">
      <w:pPr>
        <w:numPr>
          <w:ilvl w:val="0"/>
          <w:numId w:val="39"/>
        </w:numPr>
        <w:spacing w:before="0" w:beforeAutospacing="1" w:after="0" w:afterAutospacing="1"/>
        <w:ind w:left="720" w:hanging="360"/>
      </w:pPr>
      <w:r>
        <w:rPr>
          <w:b/>
        </w:rPr>
        <w:t>真空度</w:t>
      </w:r>
      <w:r>
        <w:t>：记录真空计读数，波动应≤±0.1Pa，突然升高可能是泄漏或前级泵故障；</w:t>
      </w:r>
    </w:p>
    <w:p w14:paraId="4D9B5770">
      <w:pPr>
        <w:numPr>
          <w:ilvl w:val="0"/>
          <w:numId w:val="39"/>
        </w:numPr>
        <w:spacing w:before="0" w:beforeAutospacing="1" w:after="0" w:afterAutospacing="1"/>
        <w:ind w:left="720" w:hanging="360"/>
      </w:pPr>
      <w:r>
        <w:rPr>
          <w:b/>
        </w:rPr>
        <w:t>温度</w:t>
      </w:r>
      <w:r>
        <w:t>：用红外测温仪检测轴承温度（≤70℃）、泵壳温度（≤90℃），温差超过环境温度40℃时需关注；</w:t>
      </w:r>
    </w:p>
    <w:p w14:paraId="4BC85E36">
      <w:pPr>
        <w:numPr>
          <w:ilvl w:val="0"/>
          <w:numId w:val="39"/>
        </w:numPr>
        <w:spacing w:before="0" w:beforeAutospacing="1" w:after="0" w:afterAutospacing="1"/>
        <w:ind w:left="720" w:hanging="360"/>
      </w:pPr>
      <w:r>
        <w:rPr>
          <w:b/>
        </w:rPr>
        <w:t>振动与噪音</w:t>
      </w:r>
      <w:r>
        <w:t>：监听泵体声响（均匀“嗡嗡”声），用手触摸轴承箱，振动应无明显异常（振幅≤0.1mm）；</w:t>
      </w:r>
    </w:p>
    <w:p w14:paraId="27FD8C10">
      <w:pPr>
        <w:numPr>
          <w:ilvl w:val="0"/>
          <w:numId w:val="39"/>
        </w:numPr>
        <w:spacing w:before="0" w:beforeAutospacing="1" w:after="0" w:afterAutospacing="1"/>
        <w:ind w:left="720" w:hanging="360"/>
      </w:pPr>
      <w:r>
        <w:rPr>
          <w:b/>
        </w:rPr>
        <w:t>电流</w:t>
      </w:r>
      <w:r>
        <w:t>：查看电流表，电流应≤额定值，波动≤±5%，突增可能是转子摩擦或过载。</w:t>
      </w:r>
    </w:p>
    <w:p w14:paraId="05C65D67">
      <w:r>
        <w:rPr>
          <w:b/>
        </w:rPr>
        <w:t>停机后检查</w:t>
      </w:r>
      <w:r>
        <w:t>（每班）：</w:t>
      </w:r>
    </w:p>
    <w:p w14:paraId="6732DA56">
      <w:pPr>
        <w:numPr>
          <w:ilvl w:val="0"/>
          <w:numId w:val="40"/>
        </w:numPr>
        <w:spacing w:before="0" w:beforeAutospacing="1" w:after="0" w:afterAutospacing="1"/>
        <w:ind w:left="720" w:hanging="360"/>
      </w:pPr>
      <w:r>
        <w:rPr>
          <w:b/>
        </w:rPr>
        <w:t>清洁</w:t>
      </w:r>
      <w:r>
        <w:t>：用压缩空气吹扫泵体表面粉尘，清理进气口滤网树脂残留；</w:t>
      </w:r>
    </w:p>
    <w:p w14:paraId="0D6774B6">
      <w:pPr>
        <w:numPr>
          <w:ilvl w:val="0"/>
          <w:numId w:val="40"/>
        </w:numPr>
        <w:spacing w:before="0" w:beforeAutospacing="1" w:after="0" w:afterAutospacing="1"/>
        <w:ind w:left="720" w:hanging="360"/>
      </w:pPr>
      <w:r>
        <w:rPr>
          <w:b/>
        </w:rPr>
        <w:t>密封检查</w:t>
      </w:r>
      <w:r>
        <w:t>：检查轴端密封有无渗油（允许轻微渗油，滴油≤1滴/h），严重渗油需更换密封件；</w:t>
      </w:r>
    </w:p>
    <w:p w14:paraId="2B2F96D1">
      <w:pPr>
        <w:numPr>
          <w:ilvl w:val="0"/>
          <w:numId w:val="40"/>
        </w:numPr>
        <w:spacing w:before="0" w:beforeAutospacing="1" w:after="0" w:afterAutospacing="1"/>
        <w:ind w:left="720" w:hanging="360"/>
      </w:pPr>
      <w:r>
        <w:rPr>
          <w:b/>
        </w:rPr>
        <w:t>冷却水排水</w:t>
      </w:r>
      <w:r>
        <w:t>：冬季停机后需排空冷却水管道，防止冻裂（水冷却型）。</w:t>
      </w:r>
    </w:p>
    <w:p w14:paraId="3C5D5169">
      <w:r>
        <w:rPr>
          <w:b/>
        </w:rPr>
        <w:t>检查记录</w:t>
      </w:r>
      <w:r>
        <w:t>：填写《罗氏泵日常检查表》，记录检查时间、项目、数据及异常情况，每月汇总分析，识别趋势性问题（如真空度逐月升高）。</w:t>
      </w:r>
    </w:p>
    <w:p w14:paraId="12B4A077">
      <w:pPr>
        <w:pStyle w:val="4"/>
      </w:pPr>
      <w:r>
        <w:t>7.2 定期维护周期与内容</w:t>
      </w:r>
    </w:p>
    <w:p w14:paraId="2CB44343">
      <w:r>
        <w:t>定期维护需按固定周期执行，确保部件处于良好状态，延长设备寿命：</w:t>
      </w:r>
    </w:p>
    <w:p w14:paraId="03981BE9">
      <w:r>
        <w:rPr>
          <w:b/>
        </w:rPr>
        <w:t>每周维护</w:t>
      </w:r>
      <w:r>
        <w:t>：</w:t>
      </w:r>
    </w:p>
    <w:p w14:paraId="246EBAF1">
      <w:pPr>
        <w:numPr>
          <w:ilvl w:val="0"/>
          <w:numId w:val="41"/>
        </w:numPr>
        <w:spacing w:before="0" w:beforeAutospacing="1" w:after="0" w:afterAutospacing="1"/>
        <w:ind w:left="720" w:hanging="360"/>
      </w:pPr>
      <w:r>
        <w:t>更换齿轮箱润滑油（ISO VG68），用量以油镜1/2~2/3为准，旧油需装入专用废油桶回收；</w:t>
      </w:r>
    </w:p>
    <w:p w14:paraId="6DD36F64">
      <w:pPr>
        <w:numPr>
          <w:ilvl w:val="0"/>
          <w:numId w:val="41"/>
        </w:numPr>
        <w:spacing w:before="0" w:beforeAutospacing="1" w:after="0" w:afterAutospacing="1"/>
        <w:ind w:left="720" w:hanging="360"/>
      </w:pPr>
      <w:r>
        <w:t>清洁进气口过滤器滤芯，用压缩空气反向吹扫（压力0.4MPa），顽固污渍用清水冲洗后晾干；</w:t>
      </w:r>
    </w:p>
    <w:p w14:paraId="2B77D7B0">
      <w:pPr>
        <w:numPr>
          <w:ilvl w:val="0"/>
          <w:numId w:val="41"/>
        </w:numPr>
        <w:spacing w:before="0" w:beforeAutospacing="1" w:after="0" w:afterAutospacing="1"/>
        <w:ind w:left="720" w:hanging="360"/>
      </w:pPr>
      <w:r>
        <w:t>检查皮带张紧度（V带传动型），挠度应为10~15mm（施加10N力），过松时调整电机位置，过紧时更换皮带。</w:t>
      </w:r>
    </w:p>
    <w:p w14:paraId="250D0391">
      <w:r>
        <w:rPr>
          <w:b/>
        </w:rPr>
        <w:t>每月维护</w:t>
      </w:r>
      <w:r>
        <w:t>：</w:t>
      </w:r>
    </w:p>
    <w:p w14:paraId="411A43DD">
      <w:pPr>
        <w:numPr>
          <w:ilvl w:val="0"/>
          <w:numId w:val="42"/>
        </w:numPr>
        <w:spacing w:before="0" w:beforeAutospacing="1" w:after="0" w:afterAutospacing="1"/>
        <w:ind w:left="720" w:hanging="360"/>
      </w:pPr>
      <w:r>
        <w:t>拆检进气阀片，清除阀片积碳（用细砂纸打磨密封面），检查阀片弹簧弹力，自由长度减少＞10%时更换；</w:t>
      </w:r>
    </w:p>
    <w:p w14:paraId="707F173D">
      <w:pPr>
        <w:numPr>
          <w:ilvl w:val="0"/>
          <w:numId w:val="42"/>
        </w:numPr>
        <w:spacing w:before="0" w:beforeAutospacing="1" w:after="0" w:afterAutospacing="1"/>
        <w:ind w:left="720" w:hanging="360"/>
      </w:pPr>
      <w:r>
        <w:t>测量转子间隙，用塞尺测量径向、轴向间隙，径向＞0.8mm或轴向＞0.3mm时记录，纳入年度大修计划；</w:t>
      </w:r>
    </w:p>
    <w:p w14:paraId="1A563DE0">
      <w:pPr>
        <w:numPr>
          <w:ilvl w:val="0"/>
          <w:numId w:val="42"/>
        </w:numPr>
        <w:spacing w:before="0" w:beforeAutospacing="1" w:after="0" w:afterAutospacing="1"/>
        <w:ind w:left="720" w:hanging="360"/>
      </w:pPr>
      <w:r>
        <w:t>校准真空计和温度传感器，用标准真空计比对真空度（误差≤0.1Pa），恒温油槽校准温度（误差≤0.5℃）。</w:t>
      </w:r>
    </w:p>
    <w:p w14:paraId="5E9C62EE">
      <w:r>
        <w:rPr>
          <w:b/>
        </w:rPr>
        <w:t>每季度维护</w:t>
      </w:r>
      <w:r>
        <w:t>：</w:t>
      </w:r>
    </w:p>
    <w:p w14:paraId="44D36F7C">
      <w:pPr>
        <w:numPr>
          <w:ilvl w:val="0"/>
          <w:numId w:val="43"/>
        </w:numPr>
        <w:spacing w:before="0" w:beforeAutospacing="1" w:after="0" w:afterAutospacing="1"/>
        <w:ind w:left="720" w:hanging="360"/>
      </w:pPr>
      <w:r>
        <w:t>检查机械密封，拆卸轴端压盖，查看动环、静环表面有无划痕（深度＞0.01mm需更换），弹簧无断裂、变形；</w:t>
      </w:r>
    </w:p>
    <w:p w14:paraId="6866F3FC">
      <w:pPr>
        <w:numPr>
          <w:ilvl w:val="0"/>
          <w:numId w:val="43"/>
        </w:numPr>
        <w:spacing w:before="0" w:beforeAutospacing="1" w:after="0" w:afterAutospacing="1"/>
        <w:ind w:left="720" w:hanging="360"/>
      </w:pPr>
      <w:r>
        <w:t>清洗冷却系统，空气冷却型散热片用高压水枪冲洗（压力1MPa），水冷却型用柠檬酸溶液（5%浓度）循环清洗30min，去除水垢；</w:t>
      </w:r>
    </w:p>
    <w:p w14:paraId="62509FCB">
      <w:pPr>
        <w:numPr>
          <w:ilvl w:val="0"/>
          <w:numId w:val="43"/>
        </w:numPr>
        <w:spacing w:before="0" w:beforeAutospacing="1" w:after="0" w:afterAutospacing="1"/>
        <w:ind w:left="720" w:hanging="360"/>
      </w:pPr>
      <w:r>
        <w:t>测试联锁保护功能，模拟超温（加热传感器至85℃）、超压（出口压力1.2kPa），验证设备是否自动停机。</w:t>
      </w:r>
    </w:p>
    <w:p w14:paraId="3AF5E22F">
      <w:r>
        <w:rPr>
          <w:b/>
        </w:rPr>
        <w:t>年度大修</w:t>
      </w:r>
      <w:r>
        <w:t>：</w:t>
      </w:r>
    </w:p>
    <w:p w14:paraId="373E305B">
      <w:pPr>
        <w:numPr>
          <w:ilvl w:val="0"/>
          <w:numId w:val="44"/>
        </w:numPr>
        <w:spacing w:before="0" w:beforeAutospacing="1" w:after="0" w:afterAutospacing="1"/>
        <w:ind w:left="720" w:hanging="360"/>
      </w:pPr>
      <w:r>
        <w:t>解体泵体，清洗转子、泵壳、齿轮箱，检查转子表面有无磨损（深度＞0.1mm需修复），泵壳内壁粗糙度Ra≤1.6μm；</w:t>
      </w:r>
    </w:p>
    <w:p w14:paraId="639BD558">
      <w:pPr>
        <w:numPr>
          <w:ilvl w:val="0"/>
          <w:numId w:val="44"/>
        </w:numPr>
        <w:spacing w:before="0" w:beforeAutospacing="1" w:after="0" w:afterAutospacing="1"/>
        <w:ind w:left="720" w:hanging="360"/>
      </w:pPr>
      <w:r>
        <w:t>更换轴承、密封件（机械密封、O型圈）、润滑油，轴承游隙按原厂标准调整（0.02~0.05mm）；</w:t>
      </w:r>
    </w:p>
    <w:p w14:paraId="187291C5">
      <w:pPr>
        <w:numPr>
          <w:ilvl w:val="0"/>
          <w:numId w:val="44"/>
        </w:numPr>
        <w:spacing w:before="0" w:beforeAutospacing="1" w:after="0" w:afterAutospacing="1"/>
        <w:ind w:left="720" w:hanging="360"/>
      </w:pPr>
      <w:r>
        <w:t>重新装配后进行动平衡校验（振动速度≤2.8mm/s），试运行4小时，监测各项参数达标（真空度≤1.33Pa，抽速≥额定值90%）。</w:t>
      </w:r>
    </w:p>
    <w:p w14:paraId="77BE47F8">
      <w:pPr>
        <w:pStyle w:val="4"/>
      </w:pPr>
      <w:r>
        <w:t>7.3 预防性维修技术</w:t>
      </w:r>
    </w:p>
    <w:p w14:paraId="06724FFF">
      <w:r>
        <w:t>预防性维修通过状态监测提前发现潜在故障，减少非计划停机，常用技术如下：</w:t>
      </w:r>
    </w:p>
    <w:p w14:paraId="64C02E70">
      <w:r>
        <w:rPr>
          <w:b/>
        </w:rPr>
        <w:t>振动监测</w:t>
      </w:r>
      <w:r>
        <w:t>：</w:t>
      </w:r>
    </w:p>
    <w:p w14:paraId="364A386A">
      <w:pPr>
        <w:numPr>
          <w:ilvl w:val="0"/>
          <w:numId w:val="45"/>
        </w:numPr>
        <w:spacing w:before="0" w:beforeAutospacing="1" w:after="0" w:afterAutospacing="1"/>
        <w:ind w:left="720" w:hanging="360"/>
      </w:pPr>
      <w:r>
        <w:rPr>
          <w:b/>
        </w:rPr>
        <w:t>传感器安装</w:t>
      </w:r>
      <w:r>
        <w:t>：在轴承箱水平、垂直方向安装加速度传感器（量程0~50g），采样频率2kHz，连续采集振动数据；</w:t>
      </w:r>
    </w:p>
    <w:p w14:paraId="5A169892">
      <w:pPr>
        <w:numPr>
          <w:ilvl w:val="0"/>
          <w:numId w:val="45"/>
        </w:numPr>
        <w:spacing w:before="0" w:beforeAutospacing="1" w:after="0" w:afterAutospacing="1"/>
        <w:ind w:left="720" w:hanging="360"/>
      </w:pPr>
      <w:r>
        <w:rPr>
          <w:b/>
        </w:rPr>
        <w:t>趋势分析</w:t>
      </w:r>
      <w:r>
        <w:t>：通过振动分析软件（如SKF @ptitude）监测1倍频（不平衡）、2倍频（不对中）、轴承特征频率（故障）幅值变化，当1倍频幅值3个月内增长＞50%时，预判转子不平衡；</w:t>
      </w:r>
    </w:p>
    <w:p w14:paraId="4A31060F">
      <w:pPr>
        <w:numPr>
          <w:ilvl w:val="0"/>
          <w:numId w:val="45"/>
        </w:numPr>
        <w:spacing w:before="0" w:beforeAutospacing="1" w:after="0" w:afterAutospacing="1"/>
        <w:ind w:left="720" w:hanging="360"/>
      </w:pPr>
      <w:r>
        <w:rPr>
          <w:b/>
        </w:rPr>
        <w:t>预警阈值</w:t>
      </w:r>
      <w:r>
        <w:t>：正常振动速度≤2.8mm/s，注意区2.8~4.5mm/s（计划维修），危险区＞4.5mm/s（立即停机）。</w:t>
      </w:r>
    </w:p>
    <w:p w14:paraId="3E80EB53">
      <w:r>
        <w:rPr>
          <w:b/>
        </w:rPr>
        <w:t>油液分析</w:t>
      </w:r>
      <w:r>
        <w:t>：</w:t>
      </w:r>
    </w:p>
    <w:p w14:paraId="6F731FDF">
      <w:pPr>
        <w:numPr>
          <w:ilvl w:val="0"/>
          <w:numId w:val="46"/>
        </w:numPr>
        <w:spacing w:before="0" w:beforeAutospacing="1" w:after="0" w:afterAutospacing="1"/>
        <w:ind w:left="720" w:hanging="360"/>
      </w:pPr>
      <w:r>
        <w:rPr>
          <w:b/>
        </w:rPr>
        <w:t>取样</w:t>
      </w:r>
      <w:r>
        <w:t>：从齿轮箱放油口取油样（50mL），使用专用取样瓶，避免污染；</w:t>
      </w:r>
    </w:p>
    <w:p w14:paraId="0EA924B9">
      <w:pPr>
        <w:numPr>
          <w:ilvl w:val="0"/>
          <w:numId w:val="46"/>
        </w:numPr>
        <w:spacing w:before="0" w:beforeAutospacing="1" w:after="0" w:afterAutospacing="1"/>
        <w:ind w:left="720" w:hanging="360"/>
      </w:pPr>
      <w:r>
        <w:rPr>
          <w:b/>
        </w:rPr>
        <w:t>检测项目</w:t>
      </w:r>
      <w:r>
        <w:t>：</w:t>
      </w:r>
    </w:p>
    <w:p w14:paraId="6539FCA7">
      <w:pPr>
        <w:numPr>
          <w:ilvl w:val="1"/>
          <w:numId w:val="46"/>
        </w:numPr>
        <w:spacing w:before="0" w:beforeAutospacing="1" w:after="0" w:afterAutospacing="1"/>
        <w:ind w:left="1440" w:hanging="360"/>
      </w:pPr>
      <w:r>
        <w:t>黏度：40℃运动黏度变化＞±15%（ISO VG68标准40℃黏度61.2~74.8mm²/s），提示油质劣化；</w:t>
      </w:r>
    </w:p>
    <w:p w14:paraId="5BEC101B">
      <w:pPr>
        <w:numPr>
          <w:ilvl w:val="1"/>
          <w:numId w:val="46"/>
        </w:numPr>
        <w:spacing w:before="0" w:beforeAutospacing="1" w:after="0" w:afterAutospacing="1"/>
        <w:ind w:left="1440" w:hanging="360"/>
      </w:pPr>
      <w:r>
        <w:t>水分：卡尔费休法检测水分＞0.1%，可能是冷却系统漏水；</w:t>
      </w:r>
    </w:p>
    <w:p w14:paraId="6EB1DC10">
      <w:pPr>
        <w:numPr>
          <w:ilvl w:val="1"/>
          <w:numId w:val="46"/>
        </w:numPr>
        <w:spacing w:before="0" w:beforeAutospacing="1" w:after="0" w:afterAutospacing="1"/>
        <w:ind w:left="1440" w:hanging="360"/>
      </w:pPr>
      <w:r>
        <w:t>磨损颗粒：铁谱分析发现≥5μm颗粒数＞100个/mL，提示轴承或齿轮磨损。</w:t>
      </w:r>
    </w:p>
    <w:p w14:paraId="7C072AD6">
      <w:r>
        <w:rPr>
          <w:b/>
        </w:rPr>
        <w:t>红外热成像</w:t>
      </w:r>
      <w:r>
        <w:t>：</w:t>
      </w:r>
    </w:p>
    <w:p w14:paraId="2779BF84">
      <w:pPr>
        <w:numPr>
          <w:ilvl w:val="0"/>
          <w:numId w:val="47"/>
        </w:numPr>
        <w:spacing w:before="0" w:beforeAutospacing="1" w:after="0" w:afterAutospacing="1"/>
        <w:ind w:left="720" w:hanging="360"/>
      </w:pPr>
      <w:r>
        <w:rPr>
          <w:b/>
        </w:rPr>
        <w:t>检测时机</w:t>
      </w:r>
      <w:r>
        <w:t>：泵运行1小时后（热稳定状态），用红外热像仪（分辨率640×512）扫描泵体；</w:t>
      </w:r>
    </w:p>
    <w:p w14:paraId="7FD9810D">
      <w:pPr>
        <w:numPr>
          <w:ilvl w:val="0"/>
          <w:numId w:val="47"/>
        </w:numPr>
        <w:spacing w:before="0" w:beforeAutospacing="1" w:after="0" w:afterAutospacing="1"/>
        <w:ind w:left="720" w:hanging="360"/>
      </w:pPr>
      <w:r>
        <w:rPr>
          <w:b/>
        </w:rPr>
        <w:t>异常识别</w:t>
      </w:r>
      <w:r>
        <w:t>：轴承箱局部热点（温度＞90℃）可能是润滑不良，齿轮箱温度分布不均可能是齿轮啮合不良，轴端密封温度过高可能是密封摩擦。</w:t>
      </w:r>
    </w:p>
    <w:p w14:paraId="0FE2E588">
      <w:r>
        <w:rPr>
          <w:b/>
        </w:rPr>
        <w:t>基于状态的维修计划</w:t>
      </w:r>
      <w:r>
        <w:t>：结合振动、油液、温度数据，制定个性化维修计划，例如：</w:t>
      </w:r>
    </w:p>
    <w:p w14:paraId="6641F843">
      <w:pPr>
        <w:numPr>
          <w:ilvl w:val="0"/>
          <w:numId w:val="48"/>
        </w:numPr>
        <w:spacing w:before="0" w:beforeAutospacing="1" w:after="0" w:afterAutospacing="1"/>
        <w:ind w:left="720" w:hanging="360"/>
      </w:pPr>
      <w:r>
        <w:t>轴承振动速度达3.5mm/s且油液铁颗粒增多，提前30天安排轴承更换；</w:t>
      </w:r>
    </w:p>
    <w:p w14:paraId="074FFE6B">
      <w:pPr>
        <w:numPr>
          <w:ilvl w:val="0"/>
          <w:numId w:val="48"/>
        </w:numPr>
        <w:spacing w:before="0" w:beforeAutospacing="1" w:after="0" w:afterAutospacing="1"/>
        <w:ind w:left="720" w:hanging="360"/>
      </w:pPr>
      <w:r>
        <w:t>齿轮箱油温持续升高（每月+5℃），缩短换油周期至1000小时；</w:t>
      </w:r>
    </w:p>
    <w:p w14:paraId="25823137">
      <w:pPr>
        <w:numPr>
          <w:ilvl w:val="0"/>
          <w:numId w:val="48"/>
        </w:numPr>
        <w:spacing w:before="0" w:beforeAutospacing="1" w:after="0" w:afterAutospacing="1"/>
        <w:ind w:left="720" w:hanging="360"/>
      </w:pPr>
      <w:r>
        <w:t>真空度缓慢下降（每月+0.2Pa），安排泄漏检测和密封件更换。</w:t>
      </w:r>
    </w:p>
    <w:p w14:paraId="1D45A18F">
      <w:pPr>
        <w:pStyle w:val="4"/>
      </w:pPr>
      <w:r>
        <w:t>7.4 安全操作规程</w:t>
      </w:r>
    </w:p>
    <w:p w14:paraId="2438F798">
      <w:r>
        <w:t>干变浇注车间存在机械伤害、触电、真空系统爆炸等风险，需严格遵守安全规程：</w:t>
      </w:r>
    </w:p>
    <w:p w14:paraId="50E91EC4">
      <w:r>
        <w:rPr>
          <w:b/>
        </w:rPr>
        <w:t>作业前安全准备</w:t>
      </w:r>
      <w:r>
        <w:t>：</w:t>
      </w:r>
    </w:p>
    <w:p w14:paraId="47C609F5">
      <w:pPr>
        <w:numPr>
          <w:ilvl w:val="0"/>
          <w:numId w:val="49"/>
        </w:numPr>
        <w:spacing w:before="0" w:beforeAutospacing="1" w:after="0" w:afterAutospacing="1"/>
        <w:ind w:left="720" w:hanging="360"/>
      </w:pPr>
      <w:r>
        <w:rPr>
          <w:b/>
        </w:rPr>
        <w:t>断电挂牌</w:t>
      </w:r>
      <w:r>
        <w:t>：进入泵体内部检修前，关闭总电源（断路器分闸），悬挂“禁止合闸，有人工作”警示牌，钥匙由作业人员保管；</w:t>
      </w:r>
    </w:p>
    <w:p w14:paraId="4D77E1B3">
      <w:pPr>
        <w:numPr>
          <w:ilvl w:val="0"/>
          <w:numId w:val="49"/>
        </w:numPr>
        <w:spacing w:before="0" w:beforeAutospacing="1" w:after="0" w:afterAutospacing="1"/>
        <w:ind w:left="720" w:hanging="360"/>
      </w:pPr>
      <w:r>
        <w:rPr>
          <w:b/>
        </w:rPr>
        <w:t>泄压操作</w:t>
      </w:r>
      <w:r>
        <w:t>：打开旁通阀和进气阀，使泵腔与大气连通，压力降至0MPa，防止真空残留导致部件意外移动；</w:t>
      </w:r>
    </w:p>
    <w:p w14:paraId="609D8892">
      <w:pPr>
        <w:numPr>
          <w:ilvl w:val="0"/>
          <w:numId w:val="49"/>
        </w:numPr>
        <w:spacing w:before="0" w:beforeAutospacing="1" w:after="0" w:afterAutospacing="1"/>
        <w:ind w:left="720" w:hanging="360"/>
      </w:pPr>
      <w:r>
        <w:rPr>
          <w:b/>
        </w:rPr>
        <w:t>个人防护</w:t>
      </w:r>
      <w:r>
        <w:t>：佩戴安全帽、防护眼镜、耐油手套，进入受限空间（如泵腔）需系安全绳，配备监护人。</w:t>
      </w:r>
    </w:p>
    <w:p w14:paraId="1C5170BB">
      <w:r>
        <w:rPr>
          <w:b/>
        </w:rPr>
        <w:t>机械作业安全</w:t>
      </w:r>
      <w:r>
        <w:t>：</w:t>
      </w:r>
    </w:p>
    <w:p w14:paraId="634FD78E">
      <w:pPr>
        <w:numPr>
          <w:ilvl w:val="0"/>
          <w:numId w:val="50"/>
        </w:numPr>
        <w:spacing w:before="0" w:beforeAutospacing="1" w:after="0" w:afterAutospacing="1"/>
        <w:ind w:left="720" w:hanging="360"/>
      </w:pPr>
      <w:r>
        <w:rPr>
          <w:b/>
        </w:rPr>
        <w:t>吊装安全</w:t>
      </w:r>
      <w:r>
        <w:t>：拆卸泵盖、转子等重物（＞20kg）时，使用额定载荷≥2倍重物的吊具，吊点选择泵体专用吊耳，禁止用管道、电机作为吊点；</w:t>
      </w:r>
    </w:p>
    <w:p w14:paraId="310BF760">
      <w:pPr>
        <w:numPr>
          <w:ilvl w:val="0"/>
          <w:numId w:val="50"/>
        </w:numPr>
        <w:spacing w:before="0" w:beforeAutospacing="1" w:after="0" w:afterAutospacing="1"/>
        <w:ind w:left="720" w:hanging="360"/>
      </w:pPr>
      <w:r>
        <w:rPr>
          <w:b/>
        </w:rPr>
        <w:t>工具使用</w:t>
      </w:r>
      <w:r>
        <w:t>：使用绝缘扳手（潮湿环境），禁止用锤子直接敲击转子、齿轮等精密部件，需垫铜棒缓冲；</w:t>
      </w:r>
    </w:p>
    <w:p w14:paraId="13D83469">
      <w:pPr>
        <w:numPr>
          <w:ilvl w:val="0"/>
          <w:numId w:val="50"/>
        </w:numPr>
        <w:spacing w:before="0" w:beforeAutospacing="1" w:after="0" w:afterAutospacing="1"/>
        <w:ind w:left="720" w:hanging="360"/>
      </w:pPr>
      <w:r>
        <w:rPr>
          <w:b/>
        </w:rPr>
        <w:t>配合操作</w:t>
      </w:r>
      <w:r>
        <w:t>：两人以上作业时，明确指挥信号（如“起吊”“停止”），避免误操作导致挤压、碰撞。</w:t>
      </w:r>
    </w:p>
    <w:p w14:paraId="3159AC21">
      <w:r>
        <w:rPr>
          <w:b/>
        </w:rPr>
        <w:t>电气安全</w:t>
      </w:r>
      <w:r>
        <w:t>：</w:t>
      </w:r>
    </w:p>
    <w:p w14:paraId="4A411636">
      <w:pPr>
        <w:numPr>
          <w:ilvl w:val="0"/>
          <w:numId w:val="51"/>
        </w:numPr>
        <w:spacing w:before="0" w:beforeAutospacing="1" w:after="0" w:afterAutospacing="1"/>
        <w:ind w:left="720" w:hanging="360"/>
      </w:pPr>
      <w:r>
        <w:rPr>
          <w:b/>
        </w:rPr>
        <w:t>接地检查</w:t>
      </w:r>
      <w:r>
        <w:t>：电机、控制柜接地电阻≤4Ω，用接地电阻测试仪每月检测，松动时紧固接地螺栓；</w:t>
      </w:r>
    </w:p>
    <w:p w14:paraId="4BC043AA">
      <w:pPr>
        <w:numPr>
          <w:ilvl w:val="0"/>
          <w:numId w:val="51"/>
        </w:numPr>
        <w:spacing w:before="0" w:beforeAutospacing="1" w:after="0" w:afterAutospacing="1"/>
        <w:ind w:left="720" w:hanging="360"/>
      </w:pPr>
      <w:r>
        <w:rPr>
          <w:b/>
        </w:rPr>
        <w:t>带电作业禁止</w:t>
      </w:r>
      <w:r>
        <w:t>：禁止在带电状态下插拔PLC模块、传感器接线，测量电压需用万用表（量程AC 600V），单手操作防止触电；</w:t>
      </w:r>
    </w:p>
    <w:p w14:paraId="10D0EDE0">
      <w:pPr>
        <w:numPr>
          <w:ilvl w:val="0"/>
          <w:numId w:val="51"/>
        </w:numPr>
        <w:spacing w:before="0" w:beforeAutospacing="1" w:after="0" w:afterAutospacing="1"/>
        <w:ind w:left="720" w:hanging="360"/>
      </w:pPr>
      <w:r>
        <w:rPr>
          <w:b/>
        </w:rPr>
        <w:t>防雷保护</w:t>
      </w:r>
      <w:r>
        <w:t>：雷雨季节前检查浪涌保护器（SPD）状态指示灯，损坏时立即更换，确保防雷有效。</w:t>
      </w:r>
    </w:p>
    <w:p w14:paraId="0EF07A7E">
      <w:r>
        <w:rPr>
          <w:b/>
        </w:rPr>
        <w:t>应急处置</w:t>
      </w:r>
      <w:r>
        <w:t>：</w:t>
      </w:r>
    </w:p>
    <w:p w14:paraId="1894E017">
      <w:pPr>
        <w:numPr>
          <w:ilvl w:val="0"/>
          <w:numId w:val="52"/>
        </w:numPr>
        <w:spacing w:before="0" w:beforeAutospacing="1" w:after="0" w:afterAutospacing="1"/>
        <w:ind w:left="720" w:hanging="360"/>
      </w:pPr>
      <w:r>
        <w:rPr>
          <w:b/>
        </w:rPr>
        <w:t>机械伤害</w:t>
      </w:r>
      <w:r>
        <w:t>：发生挤压、切割伤时，立即停机，用干净纱布压迫止血，送医治疗；</w:t>
      </w:r>
    </w:p>
    <w:p w14:paraId="72637EAD">
      <w:pPr>
        <w:numPr>
          <w:ilvl w:val="0"/>
          <w:numId w:val="52"/>
        </w:numPr>
        <w:spacing w:before="0" w:beforeAutospacing="1" w:after="0" w:afterAutospacing="1"/>
        <w:ind w:left="720" w:hanging="360"/>
      </w:pPr>
      <w:r>
        <w:rPr>
          <w:b/>
        </w:rPr>
        <w:t>触电事故</w:t>
      </w:r>
      <w:r>
        <w:t>：立即切断电源，对伤者进行心肺复苏（必要时），拨打急救电话；</w:t>
      </w:r>
    </w:p>
    <w:p w14:paraId="7F5117E7">
      <w:pPr>
        <w:numPr>
          <w:ilvl w:val="0"/>
          <w:numId w:val="52"/>
        </w:numPr>
        <w:spacing w:before="0" w:beforeAutospacing="1" w:after="0" w:afterAutospacing="1"/>
        <w:ind w:left="720" w:hanging="360"/>
      </w:pPr>
      <w:r>
        <w:rPr>
          <w:b/>
        </w:rPr>
        <w:t>真空爆炸</w:t>
      </w:r>
      <w:r>
        <w:t>：若泵腔因异物摩擦起火，立即打开泄压阀，用二氧化碳灭火器灭火，禁止用水直接喷射高温部件。</w:t>
      </w:r>
    </w:p>
    <w:p w14:paraId="41F17F8C">
      <w:pPr>
        <w:pStyle w:val="3"/>
      </w:pPr>
      <w:r>
        <w:t>八、附录</w:t>
      </w:r>
    </w:p>
    <w:p w14:paraId="20924F50">
      <w:pPr>
        <w:pStyle w:val="4"/>
      </w:pPr>
      <w:r>
        <w:t>8.1 技术参数汇总表</w:t>
      </w:r>
    </w:p>
    <w:p w14:paraId="59939203">
      <w:r>
        <w:rPr>
          <w:b/>
        </w:rPr>
        <w:t>表2：常用罗氏泵技术参数汇总</w:t>
      </w:r>
    </w:p>
    <w:tbl>
      <w:tblPr>
        <w:tblStyle w:val="50"/>
        <w:tblW w:w="0" w:type="auto"/>
        <w:tblInd w:w="0" w:type="dxa"/>
        <w:tblLayout w:type="fixed"/>
        <w:tblCellMar>
          <w:top w:w="0" w:type="dxa"/>
          <w:left w:w="0" w:type="dxa"/>
          <w:bottom w:w="0" w:type="dxa"/>
          <w:right w:w="0" w:type="dxa"/>
        </w:tblCellMar>
      </w:tblPr>
      <w:tblGrid>
        <w:gridCol w:w="1080"/>
        <w:gridCol w:w="1080"/>
        <w:gridCol w:w="1080"/>
        <w:gridCol w:w="1080"/>
        <w:gridCol w:w="1080"/>
        <w:gridCol w:w="1080"/>
        <w:gridCol w:w="1080"/>
        <w:gridCol w:w="1080"/>
      </w:tblGrid>
      <w:tr w14:paraId="66B27B0F">
        <w:tblPrEx>
          <w:tblCellMar>
            <w:top w:w="0" w:type="dxa"/>
            <w:left w:w="0" w:type="dxa"/>
            <w:bottom w:w="0" w:type="dxa"/>
            <w:right w:w="0" w:type="dxa"/>
          </w:tblCellMar>
        </w:tblPrEx>
        <w:tc>
          <w:tcPr>
            <w:tcW w:w="0" w:type="auto"/>
            <w:vAlign w:val="center"/>
          </w:tcPr>
          <w:p w14:paraId="1328D5DB">
            <w:pPr>
              <w:jc w:val="center"/>
              <w:rPr>
                <w:b/>
              </w:rPr>
            </w:pPr>
            <w:r>
              <w:rPr>
                <w:b/>
              </w:rPr>
              <w:t>型号</w:t>
            </w:r>
          </w:p>
        </w:tc>
        <w:tc>
          <w:tcPr>
            <w:tcW w:w="0" w:type="auto"/>
            <w:vAlign w:val="center"/>
          </w:tcPr>
          <w:p w14:paraId="26C59868">
            <w:pPr>
              <w:jc w:val="center"/>
              <w:rPr>
                <w:b/>
              </w:rPr>
            </w:pPr>
            <w:r>
              <w:rPr>
                <w:b/>
              </w:rPr>
              <w:t>极限真空度（Pa）</w:t>
            </w:r>
          </w:p>
        </w:tc>
        <w:tc>
          <w:tcPr>
            <w:tcW w:w="0" w:type="auto"/>
            <w:vAlign w:val="center"/>
          </w:tcPr>
          <w:p w14:paraId="10721648">
            <w:pPr>
              <w:jc w:val="center"/>
              <w:rPr>
                <w:b/>
              </w:rPr>
            </w:pPr>
            <w:r>
              <w:rPr>
                <w:b/>
              </w:rPr>
              <w:t>抽速（L/s）</w:t>
            </w:r>
          </w:p>
        </w:tc>
        <w:tc>
          <w:tcPr>
            <w:tcW w:w="0" w:type="auto"/>
            <w:vAlign w:val="center"/>
          </w:tcPr>
          <w:p w14:paraId="7939FD90">
            <w:pPr>
              <w:jc w:val="center"/>
              <w:rPr>
                <w:b/>
              </w:rPr>
            </w:pPr>
            <w:r>
              <w:rPr>
                <w:b/>
              </w:rPr>
              <w:t>配用功率（kW）</w:t>
            </w:r>
          </w:p>
        </w:tc>
        <w:tc>
          <w:tcPr>
            <w:tcW w:w="0" w:type="auto"/>
            <w:vAlign w:val="center"/>
          </w:tcPr>
          <w:p w14:paraId="3CE0E9C4">
            <w:pPr>
              <w:jc w:val="center"/>
              <w:rPr>
                <w:b/>
              </w:rPr>
            </w:pPr>
            <w:r>
              <w:rPr>
                <w:b/>
              </w:rPr>
              <w:t>转速（r/min）</w:t>
            </w:r>
          </w:p>
        </w:tc>
        <w:tc>
          <w:tcPr>
            <w:tcW w:w="0" w:type="auto"/>
            <w:vAlign w:val="center"/>
          </w:tcPr>
          <w:p w14:paraId="7717F23C">
            <w:pPr>
              <w:jc w:val="center"/>
              <w:rPr>
                <w:b/>
              </w:rPr>
            </w:pPr>
            <w:r>
              <w:rPr>
                <w:b/>
              </w:rPr>
              <w:t>进出口径（mm）</w:t>
            </w:r>
          </w:p>
        </w:tc>
        <w:tc>
          <w:tcPr>
            <w:tcW w:w="0" w:type="auto"/>
            <w:vAlign w:val="center"/>
          </w:tcPr>
          <w:p w14:paraId="417B9172">
            <w:pPr>
              <w:jc w:val="center"/>
              <w:rPr>
                <w:b/>
              </w:rPr>
            </w:pPr>
            <w:r>
              <w:rPr>
                <w:b/>
              </w:rPr>
              <w:t>重量（kg）</w:t>
            </w:r>
          </w:p>
        </w:tc>
        <w:tc>
          <w:tcPr>
            <w:tcW w:w="0" w:type="auto"/>
            <w:vAlign w:val="center"/>
          </w:tcPr>
          <w:p w14:paraId="021C1C2D">
            <w:pPr>
              <w:jc w:val="center"/>
              <w:rPr>
                <w:b/>
              </w:rPr>
            </w:pPr>
            <w:r>
              <w:rPr>
                <w:b/>
              </w:rPr>
              <w:t>冷却方式</w:t>
            </w:r>
          </w:p>
        </w:tc>
      </w:tr>
      <w:tr w14:paraId="45FDEB5E">
        <w:tblPrEx>
          <w:tblCellMar>
            <w:top w:w="0" w:type="dxa"/>
            <w:left w:w="0" w:type="dxa"/>
            <w:bottom w:w="0" w:type="dxa"/>
            <w:right w:w="0" w:type="dxa"/>
          </w:tblCellMar>
        </w:tblPrEx>
        <w:tc>
          <w:tcPr>
            <w:tcW w:w="0" w:type="auto"/>
            <w:vAlign w:val="center"/>
          </w:tcPr>
          <w:p w14:paraId="681EC831">
            <w:r>
              <w:t>LCW-18/0.6</w:t>
            </w:r>
          </w:p>
        </w:tc>
        <w:tc>
          <w:tcPr>
            <w:tcW w:w="0" w:type="auto"/>
            <w:vAlign w:val="center"/>
          </w:tcPr>
          <w:p w14:paraId="541368A9">
            <w:r>
              <w:t>≤1.33</w:t>
            </w:r>
          </w:p>
        </w:tc>
        <w:tc>
          <w:tcPr>
            <w:tcW w:w="0" w:type="auto"/>
            <w:vAlign w:val="center"/>
          </w:tcPr>
          <w:p w14:paraId="1CDAA626">
            <w:r>
              <w:t>18</w:t>
            </w:r>
          </w:p>
        </w:tc>
        <w:tc>
          <w:tcPr>
            <w:tcW w:w="0" w:type="auto"/>
            <w:vAlign w:val="center"/>
          </w:tcPr>
          <w:p w14:paraId="349411BF">
            <w:r>
              <w:t>4.0~5.5</w:t>
            </w:r>
          </w:p>
        </w:tc>
        <w:tc>
          <w:tcPr>
            <w:tcW w:w="0" w:type="auto"/>
            <w:vAlign w:val="center"/>
          </w:tcPr>
          <w:p w14:paraId="038918F7">
            <w:r>
              <w:t>400</w:t>
            </w:r>
          </w:p>
        </w:tc>
        <w:tc>
          <w:tcPr>
            <w:tcW w:w="0" w:type="auto"/>
            <w:vAlign w:val="center"/>
          </w:tcPr>
          <w:p w14:paraId="65D8453B">
            <w:r>
              <w:t>50</w:t>
            </w:r>
          </w:p>
        </w:tc>
        <w:tc>
          <w:tcPr>
            <w:tcW w:w="0" w:type="auto"/>
            <w:vAlign w:val="center"/>
          </w:tcPr>
          <w:p w14:paraId="6496D50A">
            <w:r>
              <w:t>180</w:t>
            </w:r>
          </w:p>
        </w:tc>
        <w:tc>
          <w:tcPr>
            <w:tcW w:w="0" w:type="auto"/>
            <w:vAlign w:val="center"/>
          </w:tcPr>
          <w:p w14:paraId="73492948">
            <w:r>
              <w:t>空气冷却</w:t>
            </w:r>
          </w:p>
        </w:tc>
      </w:tr>
      <w:tr w14:paraId="6711ABCA">
        <w:tblPrEx>
          <w:tblCellMar>
            <w:top w:w="0" w:type="dxa"/>
            <w:left w:w="0" w:type="dxa"/>
            <w:bottom w:w="0" w:type="dxa"/>
            <w:right w:w="0" w:type="dxa"/>
          </w:tblCellMar>
        </w:tblPrEx>
        <w:tc>
          <w:tcPr>
            <w:tcW w:w="0" w:type="auto"/>
            <w:vAlign w:val="center"/>
          </w:tcPr>
          <w:p w14:paraId="4E0DF542">
            <w:r>
              <w:t>LCW-100/0.6</w:t>
            </w:r>
          </w:p>
        </w:tc>
        <w:tc>
          <w:tcPr>
            <w:tcW w:w="0" w:type="auto"/>
            <w:vAlign w:val="center"/>
          </w:tcPr>
          <w:p w14:paraId="4E2CF6E0">
            <w:r>
              <w:t>≤1.33</w:t>
            </w:r>
          </w:p>
        </w:tc>
        <w:tc>
          <w:tcPr>
            <w:tcW w:w="0" w:type="auto"/>
            <w:vAlign w:val="center"/>
          </w:tcPr>
          <w:p w14:paraId="073FBB6C">
            <w:r>
              <w:t>100</w:t>
            </w:r>
          </w:p>
        </w:tc>
        <w:tc>
          <w:tcPr>
            <w:tcW w:w="0" w:type="auto"/>
            <w:vAlign w:val="center"/>
          </w:tcPr>
          <w:p w14:paraId="4E7F96D3">
            <w:r>
              <w:t>37</w:t>
            </w:r>
          </w:p>
        </w:tc>
        <w:tc>
          <w:tcPr>
            <w:tcW w:w="0" w:type="auto"/>
            <w:vAlign w:val="center"/>
          </w:tcPr>
          <w:p w14:paraId="228D82CA">
            <w:r>
              <w:t>254</w:t>
            </w:r>
          </w:p>
        </w:tc>
        <w:tc>
          <w:tcPr>
            <w:tcW w:w="0" w:type="auto"/>
            <w:vAlign w:val="center"/>
          </w:tcPr>
          <w:p w14:paraId="2C82AA21">
            <w:r>
              <w:t>100</w:t>
            </w:r>
          </w:p>
        </w:tc>
        <w:tc>
          <w:tcPr>
            <w:tcW w:w="0" w:type="auto"/>
            <w:vAlign w:val="center"/>
          </w:tcPr>
          <w:p w14:paraId="552EF84D">
            <w:r>
              <w:t>850</w:t>
            </w:r>
          </w:p>
        </w:tc>
        <w:tc>
          <w:tcPr>
            <w:tcW w:w="0" w:type="auto"/>
            <w:vAlign w:val="center"/>
          </w:tcPr>
          <w:p w14:paraId="1075F067">
            <w:r>
              <w:t>水冷却</w:t>
            </w:r>
          </w:p>
        </w:tc>
      </w:tr>
      <w:tr w14:paraId="2080702D">
        <w:tc>
          <w:tcPr>
            <w:tcW w:w="0" w:type="auto"/>
            <w:vAlign w:val="center"/>
          </w:tcPr>
          <w:p w14:paraId="55712432">
            <w:r>
              <w:t>MH-2/150</w:t>
            </w:r>
          </w:p>
        </w:tc>
        <w:tc>
          <w:tcPr>
            <w:tcW w:w="0" w:type="auto"/>
            <w:vAlign w:val="center"/>
          </w:tcPr>
          <w:p w14:paraId="0211991A">
            <w:r>
              <w:t>≤1.33</w:t>
            </w:r>
          </w:p>
        </w:tc>
        <w:tc>
          <w:tcPr>
            <w:tcW w:w="0" w:type="auto"/>
            <w:vAlign w:val="center"/>
          </w:tcPr>
          <w:p w14:paraId="3FBF4796">
            <w:r>
              <w:t>150</w:t>
            </w:r>
          </w:p>
        </w:tc>
        <w:tc>
          <w:tcPr>
            <w:tcW w:w="0" w:type="auto"/>
            <w:vAlign w:val="center"/>
          </w:tcPr>
          <w:p w14:paraId="06E284FC">
            <w:r>
              <w:t>7.5</w:t>
            </w:r>
          </w:p>
        </w:tc>
        <w:tc>
          <w:tcPr>
            <w:tcW w:w="0" w:type="auto"/>
            <w:vAlign w:val="center"/>
          </w:tcPr>
          <w:p w14:paraId="6548FBBD">
            <w:r>
              <w:t>1450</w:t>
            </w:r>
          </w:p>
        </w:tc>
        <w:tc>
          <w:tcPr>
            <w:tcW w:w="0" w:type="auto"/>
            <w:vAlign w:val="center"/>
          </w:tcPr>
          <w:p w14:paraId="397A68C4">
            <w:r>
              <w:t>80</w:t>
            </w:r>
          </w:p>
        </w:tc>
        <w:tc>
          <w:tcPr>
            <w:tcW w:w="0" w:type="auto"/>
            <w:vAlign w:val="center"/>
          </w:tcPr>
          <w:p w14:paraId="3929DC57">
            <w:r>
              <w:t>320</w:t>
            </w:r>
          </w:p>
        </w:tc>
        <w:tc>
          <w:tcPr>
            <w:tcW w:w="0" w:type="auto"/>
            <w:vAlign w:val="center"/>
          </w:tcPr>
          <w:p w14:paraId="70E3A1C4">
            <w:r>
              <w:t>空气冷却</w:t>
            </w:r>
          </w:p>
        </w:tc>
      </w:tr>
      <w:tr w14:paraId="28FAD899">
        <w:tblPrEx>
          <w:tblCellMar>
            <w:top w:w="0" w:type="dxa"/>
            <w:left w:w="0" w:type="dxa"/>
            <w:bottom w:w="0" w:type="dxa"/>
            <w:right w:w="0" w:type="dxa"/>
          </w:tblCellMar>
        </w:tblPrEx>
        <w:tc>
          <w:tcPr>
            <w:tcW w:w="0" w:type="auto"/>
            <w:vAlign w:val="center"/>
          </w:tcPr>
          <w:p w14:paraId="2411158F">
            <w:r>
              <w:t>RP50-8</w:t>
            </w:r>
          </w:p>
        </w:tc>
        <w:tc>
          <w:tcPr>
            <w:tcW w:w="0" w:type="auto"/>
            <w:vAlign w:val="center"/>
          </w:tcPr>
          <w:p w14:paraId="1CC6E40F">
            <w:r>
              <w:t>≤0.1</w:t>
            </w:r>
          </w:p>
        </w:tc>
        <w:tc>
          <w:tcPr>
            <w:tcW w:w="0" w:type="auto"/>
            <w:vAlign w:val="center"/>
          </w:tcPr>
          <w:p w14:paraId="0B5C0C5A">
            <w:r>
              <w:t>50</w:t>
            </w:r>
          </w:p>
        </w:tc>
        <w:tc>
          <w:tcPr>
            <w:tcW w:w="0" w:type="auto"/>
            <w:vAlign w:val="center"/>
          </w:tcPr>
          <w:p w14:paraId="41579030">
            <w:r>
              <w:t>4.0</w:t>
            </w:r>
          </w:p>
        </w:tc>
        <w:tc>
          <w:tcPr>
            <w:tcW w:w="0" w:type="auto"/>
            <w:vAlign w:val="center"/>
          </w:tcPr>
          <w:p w14:paraId="2DCC2056">
            <w:r>
              <w:t>1500</w:t>
            </w:r>
          </w:p>
        </w:tc>
        <w:tc>
          <w:tcPr>
            <w:tcW w:w="0" w:type="auto"/>
            <w:vAlign w:val="center"/>
          </w:tcPr>
          <w:p w14:paraId="0EB02BA5">
            <w:r>
              <w:t>65</w:t>
            </w:r>
          </w:p>
        </w:tc>
        <w:tc>
          <w:tcPr>
            <w:tcW w:w="0" w:type="auto"/>
            <w:vAlign w:val="center"/>
          </w:tcPr>
          <w:p w14:paraId="172F9C3D">
            <w:r>
              <w:t>210</w:t>
            </w:r>
          </w:p>
        </w:tc>
        <w:tc>
          <w:tcPr>
            <w:tcW w:w="0" w:type="auto"/>
            <w:vAlign w:val="center"/>
          </w:tcPr>
          <w:p w14:paraId="449D2F0B">
            <w:r>
              <w:t>空气+水冷却</w:t>
            </w:r>
          </w:p>
        </w:tc>
      </w:tr>
      <w:tr w14:paraId="1C611D25">
        <w:tblPrEx>
          <w:tblCellMar>
            <w:top w:w="0" w:type="dxa"/>
            <w:left w:w="0" w:type="dxa"/>
            <w:bottom w:w="0" w:type="dxa"/>
            <w:right w:w="0" w:type="dxa"/>
          </w:tblCellMar>
        </w:tblPrEx>
        <w:tc>
          <w:tcPr>
            <w:tcW w:w="0" w:type="auto"/>
            <w:vAlign w:val="center"/>
          </w:tcPr>
          <w:p w14:paraId="1937B7BC">
            <w:r>
              <w:t>ZJ-300</w:t>
            </w:r>
          </w:p>
        </w:tc>
        <w:tc>
          <w:tcPr>
            <w:tcW w:w="0" w:type="auto"/>
            <w:vAlign w:val="center"/>
          </w:tcPr>
          <w:p w14:paraId="480BE654">
            <w:r>
              <w:t>≤6.5×10⁻²</w:t>
            </w:r>
          </w:p>
        </w:tc>
        <w:tc>
          <w:tcPr>
            <w:tcW w:w="0" w:type="auto"/>
            <w:vAlign w:val="center"/>
          </w:tcPr>
          <w:p w14:paraId="10389C96">
            <w:r>
              <w:t>300</w:t>
            </w:r>
          </w:p>
        </w:tc>
        <w:tc>
          <w:tcPr>
            <w:tcW w:w="0" w:type="auto"/>
            <w:vAlign w:val="center"/>
          </w:tcPr>
          <w:p w14:paraId="002D4F25">
            <w:r>
              <w:t>15</w:t>
            </w:r>
          </w:p>
        </w:tc>
        <w:tc>
          <w:tcPr>
            <w:tcW w:w="0" w:type="auto"/>
            <w:vAlign w:val="center"/>
          </w:tcPr>
          <w:p w14:paraId="1A555C16">
            <w:r>
              <w:t>1450</w:t>
            </w:r>
          </w:p>
        </w:tc>
        <w:tc>
          <w:tcPr>
            <w:tcW w:w="0" w:type="auto"/>
            <w:vAlign w:val="center"/>
          </w:tcPr>
          <w:p w14:paraId="018789CD">
            <w:r>
              <w:t>125</w:t>
            </w:r>
          </w:p>
        </w:tc>
        <w:tc>
          <w:tcPr>
            <w:tcW w:w="0" w:type="auto"/>
            <w:vAlign w:val="center"/>
          </w:tcPr>
          <w:p w14:paraId="70E1544B">
            <w:r>
              <w:t>1200</w:t>
            </w:r>
          </w:p>
        </w:tc>
        <w:tc>
          <w:tcPr>
            <w:tcW w:w="0" w:type="auto"/>
            <w:vAlign w:val="center"/>
          </w:tcPr>
          <w:p w14:paraId="61D395FA">
            <w:r>
              <w:t>水冷却</w:t>
            </w:r>
          </w:p>
        </w:tc>
      </w:tr>
    </w:tbl>
    <w:p w14:paraId="213D79D2">
      <w:pPr>
        <w:pStyle w:val="4"/>
      </w:pPr>
      <w:r>
        <w:t>8.2 常见问题FAQ</w:t>
      </w:r>
    </w:p>
    <w:p w14:paraId="6EED49E6">
      <w:r>
        <w:rPr>
          <w:b/>
        </w:rPr>
        <w:t>Q1：润滑油乳化的原因及处理？</w:t>
      </w:r>
    </w:p>
    <w:p w14:paraId="2F72ACE3">
      <w:r>
        <w:t>A1：原因：冷却系统漏水（水进入齿轮箱）、环境湿度高（空气中水分凝结）、换油时混入水分。处理：更换乳化油，用热油（60℃）冲洗油腔，检查冷却系统泄漏点（如密封圈老化）并修复，齿轮箱通气孔加装干燥剂。</w:t>
      </w:r>
    </w:p>
    <w:p w14:paraId="50605AB1">
      <w:r>
        <w:rPr>
          <w:b/>
        </w:rPr>
        <w:t>Q2：转子间隙调整标准是什么？</w:t>
      </w:r>
    </w:p>
    <w:p w14:paraId="2B886575">
      <w:r>
        <w:t>A2：径向间隙：小型泵0.1~0.3mm，中型泵0.3~0.5mm，大型泵0.5~0.8mm；轴向间隙：所有型号0.15~0.25mm，通过泵盖垫片厚度调整（垫片每减薄0.1mm，轴向间隙减小0.1mm）。</w:t>
      </w:r>
    </w:p>
    <w:p w14:paraId="53C4269B">
      <w:r>
        <w:rPr>
          <w:b/>
        </w:rPr>
        <w:t>Q3：前级泵突然停机，罗氏泵如何保护？</w:t>
      </w:r>
    </w:p>
    <w:p w14:paraId="059C5323">
      <w:r>
        <w:t>A3：系统设压力联锁，前级泵停机后，压力传感器检测到排气压力超1kPa，PLC立即打开旁通阀泄压，同时停止罗氏泵，防止高压气体返流导致转子卡死。</w:t>
      </w:r>
    </w:p>
    <w:p w14:paraId="1D786282">
      <w:r>
        <w:rPr>
          <w:b/>
        </w:rPr>
        <w:t>Q4：真空度达标但抽速不足，可能原因？</w:t>
      </w:r>
    </w:p>
    <w:p w14:paraId="515E917C">
      <w:r>
        <w:t>A4：可能是管道流阻过大（管径小、弯头多）、过滤器堵塞、前级泵抽速与罗氏泵不匹配（抽速比＞20:1），需依次检查管道、清洗过滤器、更换前级泵。</w:t>
      </w:r>
    </w:p>
    <w:p w14:paraId="746FB876">
      <w:pPr>
        <w:pStyle w:val="4"/>
      </w:pPr>
      <w:r>
        <w:t>8.3 维护记录表格模板</w:t>
      </w:r>
    </w:p>
    <w:p w14:paraId="367B4DF6">
      <w:r>
        <w:rPr>
          <w:b/>
        </w:rPr>
        <w:t>表3：罗氏泵日常检查表</w:t>
      </w:r>
    </w:p>
    <w:tbl>
      <w:tblPr>
        <w:tblStyle w:val="50"/>
        <w:tblW w:w="0" w:type="auto"/>
        <w:tblInd w:w="0" w:type="dxa"/>
        <w:tblLayout w:type="fixed"/>
        <w:tblCellMar>
          <w:top w:w="0" w:type="dxa"/>
          <w:left w:w="0" w:type="dxa"/>
          <w:bottom w:w="0" w:type="dxa"/>
          <w:right w:w="0" w:type="dxa"/>
        </w:tblCellMar>
      </w:tblPr>
      <w:tblGrid>
        <w:gridCol w:w="1080"/>
        <w:gridCol w:w="1080"/>
        <w:gridCol w:w="1080"/>
        <w:gridCol w:w="1080"/>
        <w:gridCol w:w="1080"/>
        <w:gridCol w:w="1080"/>
        <w:gridCol w:w="1080"/>
        <w:gridCol w:w="1080"/>
      </w:tblGrid>
      <w:tr w14:paraId="002871A3">
        <w:tblPrEx>
          <w:tblCellMar>
            <w:top w:w="0" w:type="dxa"/>
            <w:left w:w="0" w:type="dxa"/>
            <w:bottom w:w="0" w:type="dxa"/>
            <w:right w:w="0" w:type="dxa"/>
          </w:tblCellMar>
        </w:tblPrEx>
        <w:tc>
          <w:tcPr>
            <w:tcW w:w="0" w:type="auto"/>
            <w:vAlign w:val="center"/>
          </w:tcPr>
          <w:p w14:paraId="227C7AEF">
            <w:pPr>
              <w:jc w:val="center"/>
              <w:rPr>
                <w:b/>
              </w:rPr>
            </w:pPr>
            <w:r>
              <w:rPr>
                <w:b/>
              </w:rPr>
              <w:t>日期</w:t>
            </w:r>
          </w:p>
        </w:tc>
        <w:tc>
          <w:tcPr>
            <w:tcW w:w="0" w:type="auto"/>
            <w:vAlign w:val="center"/>
          </w:tcPr>
          <w:p w14:paraId="1F1D26D3">
            <w:pPr>
              <w:jc w:val="center"/>
              <w:rPr>
                <w:b/>
              </w:rPr>
            </w:pPr>
            <w:r>
              <w:rPr>
                <w:b/>
              </w:rPr>
              <w:t>时间</w:t>
            </w:r>
          </w:p>
        </w:tc>
        <w:tc>
          <w:tcPr>
            <w:tcW w:w="0" w:type="auto"/>
            <w:vAlign w:val="center"/>
          </w:tcPr>
          <w:p w14:paraId="162172AF">
            <w:pPr>
              <w:jc w:val="center"/>
              <w:rPr>
                <w:b/>
              </w:rPr>
            </w:pPr>
            <w:r>
              <w:rPr>
                <w:b/>
              </w:rPr>
              <w:t>真空度（Pa）</w:t>
            </w:r>
          </w:p>
        </w:tc>
        <w:tc>
          <w:tcPr>
            <w:tcW w:w="0" w:type="auto"/>
            <w:vAlign w:val="center"/>
          </w:tcPr>
          <w:p w14:paraId="4376DC6C">
            <w:pPr>
              <w:jc w:val="center"/>
              <w:rPr>
                <w:b/>
              </w:rPr>
            </w:pPr>
            <w:r>
              <w:rPr>
                <w:b/>
              </w:rPr>
              <w:t>轴承温度（℃）</w:t>
            </w:r>
          </w:p>
        </w:tc>
        <w:tc>
          <w:tcPr>
            <w:tcW w:w="0" w:type="auto"/>
            <w:vAlign w:val="center"/>
          </w:tcPr>
          <w:p w14:paraId="542D2240">
            <w:pPr>
              <w:jc w:val="center"/>
              <w:rPr>
                <w:b/>
              </w:rPr>
            </w:pPr>
            <w:r>
              <w:rPr>
                <w:b/>
              </w:rPr>
              <w:t>电流（A）</w:t>
            </w:r>
          </w:p>
        </w:tc>
        <w:tc>
          <w:tcPr>
            <w:tcW w:w="0" w:type="auto"/>
            <w:vAlign w:val="center"/>
          </w:tcPr>
          <w:p w14:paraId="31E88A5E">
            <w:pPr>
              <w:jc w:val="center"/>
              <w:rPr>
                <w:b/>
              </w:rPr>
            </w:pPr>
            <w:r>
              <w:rPr>
                <w:b/>
              </w:rPr>
              <w:t>振动情况</w:t>
            </w:r>
          </w:p>
        </w:tc>
        <w:tc>
          <w:tcPr>
            <w:tcW w:w="0" w:type="auto"/>
            <w:vAlign w:val="center"/>
          </w:tcPr>
          <w:p w14:paraId="487640FA">
            <w:pPr>
              <w:jc w:val="center"/>
              <w:rPr>
                <w:b/>
              </w:rPr>
            </w:pPr>
            <w:r>
              <w:rPr>
                <w:b/>
              </w:rPr>
              <w:t>检查人</w:t>
            </w:r>
          </w:p>
        </w:tc>
        <w:tc>
          <w:tcPr>
            <w:tcW w:w="0" w:type="auto"/>
            <w:vAlign w:val="center"/>
          </w:tcPr>
          <w:p w14:paraId="7DF8EAFE">
            <w:pPr>
              <w:jc w:val="center"/>
              <w:rPr>
                <w:b/>
              </w:rPr>
            </w:pPr>
            <w:r>
              <w:rPr>
                <w:b/>
              </w:rPr>
              <w:t>备注（异常及处理）</w:t>
            </w:r>
          </w:p>
        </w:tc>
      </w:tr>
      <w:tr w14:paraId="210B1472">
        <w:tblPrEx>
          <w:tblCellMar>
            <w:top w:w="0" w:type="dxa"/>
            <w:left w:w="0" w:type="dxa"/>
            <w:bottom w:w="0" w:type="dxa"/>
            <w:right w:w="0" w:type="dxa"/>
          </w:tblCellMar>
        </w:tblPrEx>
        <w:tc>
          <w:tcPr>
            <w:tcW w:w="0" w:type="auto"/>
            <w:vAlign w:val="center"/>
          </w:tcPr>
          <w:p w14:paraId="7BEF697A">
            <w:r>
              <w:t>2025-01-01</w:t>
            </w:r>
          </w:p>
        </w:tc>
        <w:tc>
          <w:tcPr>
            <w:tcW w:w="0" w:type="auto"/>
            <w:vAlign w:val="center"/>
          </w:tcPr>
          <w:p w14:paraId="2FD2681D">
            <w:r>
              <w:t>08:00</w:t>
            </w:r>
          </w:p>
        </w:tc>
        <w:tc>
          <w:tcPr>
            <w:tcW w:w="0" w:type="auto"/>
            <w:vAlign w:val="center"/>
          </w:tcPr>
          <w:p w14:paraId="2216F6B4">
            <w:r>
              <w:t>1.2</w:t>
            </w:r>
          </w:p>
        </w:tc>
        <w:tc>
          <w:tcPr>
            <w:tcW w:w="0" w:type="auto"/>
            <w:vAlign w:val="center"/>
          </w:tcPr>
          <w:p w14:paraId="2AE374B3">
            <w:r>
              <w:t>58</w:t>
            </w:r>
          </w:p>
        </w:tc>
        <w:tc>
          <w:tcPr>
            <w:tcW w:w="0" w:type="auto"/>
            <w:vAlign w:val="center"/>
          </w:tcPr>
          <w:p w14:paraId="2852B199">
            <w:r>
              <w:t>12.5</w:t>
            </w:r>
          </w:p>
        </w:tc>
        <w:tc>
          <w:tcPr>
            <w:tcW w:w="0" w:type="auto"/>
            <w:vAlign w:val="center"/>
          </w:tcPr>
          <w:p w14:paraId="4CA2CCA0">
            <w:r>
              <w:t>正常</w:t>
            </w:r>
          </w:p>
        </w:tc>
        <w:tc>
          <w:tcPr>
            <w:tcW w:w="0" w:type="auto"/>
            <w:vAlign w:val="center"/>
          </w:tcPr>
          <w:p w14:paraId="6B8F1575">
            <w:r>
              <w:t>张三</w:t>
            </w:r>
          </w:p>
        </w:tc>
        <w:tc>
          <w:tcPr>
            <w:tcW w:w="0" w:type="auto"/>
            <w:vAlign w:val="center"/>
          </w:tcPr>
          <w:p w14:paraId="40D0576C">
            <w:r>
              <w:t>-</w:t>
            </w:r>
          </w:p>
        </w:tc>
      </w:tr>
      <w:tr w14:paraId="4B7D32B3">
        <w:tblPrEx>
          <w:tblCellMar>
            <w:top w:w="0" w:type="dxa"/>
            <w:left w:w="0" w:type="dxa"/>
            <w:bottom w:w="0" w:type="dxa"/>
            <w:right w:w="0" w:type="dxa"/>
          </w:tblCellMar>
        </w:tblPrEx>
        <w:tc>
          <w:tcPr>
            <w:tcW w:w="0" w:type="auto"/>
            <w:vAlign w:val="center"/>
          </w:tcPr>
          <w:p w14:paraId="1F4844D6">
            <w:r>
              <w:t>2025-01-01</w:t>
            </w:r>
          </w:p>
        </w:tc>
        <w:tc>
          <w:tcPr>
            <w:tcW w:w="0" w:type="auto"/>
            <w:vAlign w:val="center"/>
          </w:tcPr>
          <w:p w14:paraId="00DF4507">
            <w:r>
              <w:t>09:00</w:t>
            </w:r>
          </w:p>
        </w:tc>
        <w:tc>
          <w:tcPr>
            <w:tcW w:w="0" w:type="auto"/>
            <w:vAlign w:val="center"/>
          </w:tcPr>
          <w:p w14:paraId="3F1F1A73">
            <w:r>
              <w:t>1.3</w:t>
            </w:r>
          </w:p>
        </w:tc>
        <w:tc>
          <w:tcPr>
            <w:tcW w:w="0" w:type="auto"/>
            <w:vAlign w:val="center"/>
          </w:tcPr>
          <w:p w14:paraId="0FFE7766">
            <w:r>
              <w:t>60</w:t>
            </w:r>
          </w:p>
        </w:tc>
        <w:tc>
          <w:tcPr>
            <w:tcW w:w="0" w:type="auto"/>
            <w:vAlign w:val="center"/>
          </w:tcPr>
          <w:p w14:paraId="34127D06">
            <w:r>
              <w:t>12.3</w:t>
            </w:r>
          </w:p>
        </w:tc>
        <w:tc>
          <w:tcPr>
            <w:tcW w:w="0" w:type="auto"/>
            <w:vAlign w:val="center"/>
          </w:tcPr>
          <w:p w14:paraId="403922AE">
            <w:r>
              <w:t>正常</w:t>
            </w:r>
          </w:p>
        </w:tc>
        <w:tc>
          <w:tcPr>
            <w:tcW w:w="0" w:type="auto"/>
            <w:vAlign w:val="center"/>
          </w:tcPr>
          <w:p w14:paraId="48BA8E42">
            <w:r>
              <w:t>张三</w:t>
            </w:r>
          </w:p>
        </w:tc>
        <w:tc>
          <w:tcPr>
            <w:tcW w:w="0" w:type="auto"/>
            <w:vAlign w:val="center"/>
          </w:tcPr>
          <w:p w14:paraId="596E85AF">
            <w:r>
              <w:t>-</w:t>
            </w:r>
          </w:p>
        </w:tc>
      </w:tr>
      <w:tr w14:paraId="6390B985">
        <w:tc>
          <w:tcPr>
            <w:tcW w:w="0" w:type="auto"/>
            <w:vAlign w:val="center"/>
          </w:tcPr>
          <w:p w14:paraId="4BFED876">
            <w:r>
              <w:t>...</w:t>
            </w:r>
          </w:p>
        </w:tc>
        <w:tc>
          <w:tcPr>
            <w:tcW w:w="0" w:type="auto"/>
            <w:vAlign w:val="center"/>
          </w:tcPr>
          <w:p w14:paraId="77E7DB48">
            <w:r>
              <w:t>...</w:t>
            </w:r>
          </w:p>
        </w:tc>
        <w:tc>
          <w:tcPr>
            <w:tcW w:w="0" w:type="auto"/>
            <w:vAlign w:val="center"/>
          </w:tcPr>
          <w:p w14:paraId="7888665A">
            <w:r>
              <w:t>...</w:t>
            </w:r>
          </w:p>
        </w:tc>
        <w:tc>
          <w:tcPr>
            <w:tcW w:w="0" w:type="auto"/>
            <w:vAlign w:val="center"/>
          </w:tcPr>
          <w:p w14:paraId="4C763306">
            <w:r>
              <w:t>...</w:t>
            </w:r>
          </w:p>
        </w:tc>
        <w:tc>
          <w:tcPr>
            <w:tcW w:w="0" w:type="auto"/>
            <w:vAlign w:val="center"/>
          </w:tcPr>
          <w:p w14:paraId="7E0F1397">
            <w:r>
              <w:t>...</w:t>
            </w:r>
          </w:p>
        </w:tc>
        <w:tc>
          <w:tcPr>
            <w:tcW w:w="0" w:type="auto"/>
            <w:vAlign w:val="center"/>
          </w:tcPr>
          <w:p w14:paraId="1D76FEEF">
            <w:r>
              <w:t>...</w:t>
            </w:r>
          </w:p>
        </w:tc>
        <w:tc>
          <w:tcPr>
            <w:tcW w:w="0" w:type="auto"/>
            <w:vAlign w:val="center"/>
          </w:tcPr>
          <w:p w14:paraId="11B926A9">
            <w:r>
              <w:t>...</w:t>
            </w:r>
          </w:p>
        </w:tc>
        <w:tc>
          <w:tcPr>
            <w:tcW w:w="0" w:type="auto"/>
            <w:vAlign w:val="center"/>
          </w:tcPr>
          <w:p w14:paraId="1FFB4A21">
            <w:r>
              <w:t>...</w:t>
            </w:r>
          </w:p>
        </w:tc>
      </w:tr>
    </w:tbl>
    <w:p w14:paraId="6B457268">
      <w:r>
        <w:rPr>
          <w:b/>
        </w:rPr>
        <w:t>表4：定期维护记录表</w:t>
      </w:r>
    </w:p>
    <w:tbl>
      <w:tblPr>
        <w:tblStyle w:val="50"/>
        <w:tblW w:w="0" w:type="auto"/>
        <w:tblInd w:w="0" w:type="dxa"/>
        <w:tblLayout w:type="fixed"/>
        <w:tblCellMar>
          <w:top w:w="0" w:type="dxa"/>
          <w:left w:w="0" w:type="dxa"/>
          <w:bottom w:w="0" w:type="dxa"/>
          <w:right w:w="0" w:type="dxa"/>
        </w:tblCellMar>
      </w:tblPr>
      <w:tblGrid>
        <w:gridCol w:w="1440"/>
        <w:gridCol w:w="1440"/>
        <w:gridCol w:w="1440"/>
        <w:gridCol w:w="1440"/>
        <w:gridCol w:w="1440"/>
        <w:gridCol w:w="1440"/>
      </w:tblGrid>
      <w:tr w14:paraId="2521882D">
        <w:tblPrEx>
          <w:tblCellMar>
            <w:top w:w="0" w:type="dxa"/>
            <w:left w:w="0" w:type="dxa"/>
            <w:bottom w:w="0" w:type="dxa"/>
            <w:right w:w="0" w:type="dxa"/>
          </w:tblCellMar>
        </w:tblPrEx>
        <w:tc>
          <w:tcPr>
            <w:tcW w:w="0" w:type="auto"/>
            <w:vAlign w:val="center"/>
          </w:tcPr>
          <w:p w14:paraId="0A058607">
            <w:pPr>
              <w:jc w:val="center"/>
              <w:rPr>
                <w:b/>
              </w:rPr>
            </w:pPr>
            <w:r>
              <w:rPr>
                <w:b/>
              </w:rPr>
              <w:t>维护类型</w:t>
            </w:r>
          </w:p>
        </w:tc>
        <w:tc>
          <w:tcPr>
            <w:tcW w:w="0" w:type="auto"/>
            <w:vAlign w:val="center"/>
          </w:tcPr>
          <w:p w14:paraId="75EB6D74">
            <w:pPr>
              <w:jc w:val="center"/>
              <w:rPr>
                <w:b/>
              </w:rPr>
            </w:pPr>
            <w:r>
              <w:rPr>
                <w:b/>
              </w:rPr>
              <w:t>日期</w:t>
            </w:r>
          </w:p>
        </w:tc>
        <w:tc>
          <w:tcPr>
            <w:tcW w:w="0" w:type="auto"/>
            <w:vAlign w:val="center"/>
          </w:tcPr>
          <w:p w14:paraId="69859BF8">
            <w:pPr>
              <w:jc w:val="center"/>
              <w:rPr>
                <w:b/>
              </w:rPr>
            </w:pPr>
            <w:r>
              <w:rPr>
                <w:b/>
              </w:rPr>
              <w:t>维护项目</w:t>
            </w:r>
          </w:p>
        </w:tc>
        <w:tc>
          <w:tcPr>
            <w:tcW w:w="0" w:type="auto"/>
            <w:vAlign w:val="center"/>
          </w:tcPr>
          <w:p w14:paraId="34FA0478">
            <w:pPr>
              <w:jc w:val="center"/>
              <w:rPr>
                <w:b/>
              </w:rPr>
            </w:pPr>
            <w:r>
              <w:rPr>
                <w:b/>
              </w:rPr>
              <w:t>数据（标准/实测）</w:t>
            </w:r>
          </w:p>
        </w:tc>
        <w:tc>
          <w:tcPr>
            <w:tcW w:w="0" w:type="auto"/>
            <w:vAlign w:val="center"/>
          </w:tcPr>
          <w:p w14:paraId="668C2B81">
            <w:pPr>
              <w:jc w:val="center"/>
              <w:rPr>
                <w:b/>
              </w:rPr>
            </w:pPr>
            <w:r>
              <w:rPr>
                <w:b/>
              </w:rPr>
              <w:t>执行人</w:t>
            </w:r>
          </w:p>
        </w:tc>
        <w:tc>
          <w:tcPr>
            <w:tcW w:w="0" w:type="auto"/>
            <w:vAlign w:val="center"/>
          </w:tcPr>
          <w:p w14:paraId="6376CFB1">
            <w:pPr>
              <w:jc w:val="center"/>
              <w:rPr>
                <w:b/>
              </w:rPr>
            </w:pPr>
            <w:r>
              <w:rPr>
                <w:b/>
              </w:rPr>
              <w:t>验收人</w:t>
            </w:r>
          </w:p>
        </w:tc>
      </w:tr>
      <w:tr w14:paraId="322EEF00">
        <w:tblPrEx>
          <w:tblCellMar>
            <w:top w:w="0" w:type="dxa"/>
            <w:left w:w="0" w:type="dxa"/>
            <w:bottom w:w="0" w:type="dxa"/>
            <w:right w:w="0" w:type="dxa"/>
          </w:tblCellMar>
        </w:tblPrEx>
        <w:tc>
          <w:tcPr>
            <w:tcW w:w="0" w:type="auto"/>
            <w:vAlign w:val="center"/>
          </w:tcPr>
          <w:p w14:paraId="7DE7A02C">
            <w:r>
              <w:t>每周维护</w:t>
            </w:r>
          </w:p>
        </w:tc>
        <w:tc>
          <w:tcPr>
            <w:tcW w:w="0" w:type="auto"/>
            <w:vAlign w:val="center"/>
          </w:tcPr>
          <w:p w14:paraId="3E8A1B95">
            <w:r>
              <w:t>2025-01-05</w:t>
            </w:r>
          </w:p>
        </w:tc>
        <w:tc>
          <w:tcPr>
            <w:tcW w:w="0" w:type="auto"/>
            <w:vAlign w:val="center"/>
          </w:tcPr>
          <w:p w14:paraId="6D84A175">
            <w:r>
              <w:t>更换润滑油</w:t>
            </w:r>
          </w:p>
        </w:tc>
        <w:tc>
          <w:tcPr>
            <w:tcW w:w="0" w:type="auto"/>
            <w:vAlign w:val="center"/>
          </w:tcPr>
          <w:p w14:paraId="6F35A21B">
            <w:r>
              <w:t>油位2/3（标准）</w:t>
            </w:r>
          </w:p>
        </w:tc>
        <w:tc>
          <w:tcPr>
            <w:tcW w:w="0" w:type="auto"/>
            <w:vAlign w:val="center"/>
          </w:tcPr>
          <w:p w14:paraId="7C688DEF">
            <w:r>
              <w:t>李四</w:t>
            </w:r>
          </w:p>
        </w:tc>
        <w:tc>
          <w:tcPr>
            <w:tcW w:w="0" w:type="auto"/>
            <w:vAlign w:val="center"/>
          </w:tcPr>
          <w:p w14:paraId="2AEDEBCD">
            <w:r>
              <w:t>王五</w:t>
            </w:r>
          </w:p>
        </w:tc>
      </w:tr>
      <w:tr w14:paraId="6E27CC25">
        <w:tblPrEx>
          <w:tblCellMar>
            <w:top w:w="0" w:type="dxa"/>
            <w:left w:w="0" w:type="dxa"/>
            <w:bottom w:w="0" w:type="dxa"/>
            <w:right w:w="0" w:type="dxa"/>
          </w:tblCellMar>
        </w:tblPrEx>
        <w:tc>
          <w:tcPr>
            <w:tcW w:w="0" w:type="auto"/>
            <w:vAlign w:val="center"/>
          </w:tcPr>
          <w:p w14:paraId="6C253F8D">
            <w:r>
              <w:t>每月维护</w:t>
            </w:r>
          </w:p>
        </w:tc>
        <w:tc>
          <w:tcPr>
            <w:tcW w:w="0" w:type="auto"/>
            <w:vAlign w:val="center"/>
          </w:tcPr>
          <w:p w14:paraId="74BEA932">
            <w:r>
              <w:t>2025-01-30</w:t>
            </w:r>
          </w:p>
        </w:tc>
        <w:tc>
          <w:tcPr>
            <w:tcW w:w="0" w:type="auto"/>
            <w:vAlign w:val="center"/>
          </w:tcPr>
          <w:p w14:paraId="429F1484">
            <w:r>
              <w:t>转子径向间隙</w:t>
            </w:r>
          </w:p>
        </w:tc>
        <w:tc>
          <w:tcPr>
            <w:tcW w:w="0" w:type="auto"/>
            <w:vAlign w:val="center"/>
          </w:tcPr>
          <w:p w14:paraId="6ACC6915">
            <w:r>
              <w:t>0.3mm（0.1~0.5）</w:t>
            </w:r>
          </w:p>
        </w:tc>
        <w:tc>
          <w:tcPr>
            <w:tcW w:w="0" w:type="auto"/>
            <w:vAlign w:val="center"/>
          </w:tcPr>
          <w:p w14:paraId="509A1138">
            <w:r>
              <w:t>李四</w:t>
            </w:r>
          </w:p>
        </w:tc>
        <w:tc>
          <w:tcPr>
            <w:tcW w:w="0" w:type="auto"/>
            <w:vAlign w:val="center"/>
          </w:tcPr>
          <w:p w14:paraId="77637EE3">
            <w:r>
              <w:t>王五</w:t>
            </w:r>
          </w:p>
        </w:tc>
      </w:tr>
      <w:tr w14:paraId="732B32E0">
        <w:tc>
          <w:tcPr>
            <w:tcW w:w="0" w:type="auto"/>
            <w:vAlign w:val="center"/>
          </w:tcPr>
          <w:p w14:paraId="4106DFCE">
            <w:r>
              <w:t>...</w:t>
            </w:r>
          </w:p>
        </w:tc>
        <w:tc>
          <w:tcPr>
            <w:tcW w:w="0" w:type="auto"/>
            <w:vAlign w:val="center"/>
          </w:tcPr>
          <w:p w14:paraId="315C200D">
            <w:r>
              <w:t>...</w:t>
            </w:r>
          </w:p>
        </w:tc>
        <w:tc>
          <w:tcPr>
            <w:tcW w:w="0" w:type="auto"/>
            <w:vAlign w:val="center"/>
          </w:tcPr>
          <w:p w14:paraId="1BE9DA05">
            <w:r>
              <w:t>...</w:t>
            </w:r>
          </w:p>
        </w:tc>
        <w:tc>
          <w:tcPr>
            <w:tcW w:w="0" w:type="auto"/>
            <w:vAlign w:val="center"/>
          </w:tcPr>
          <w:p w14:paraId="293D2949">
            <w:r>
              <w:t>...</w:t>
            </w:r>
          </w:p>
        </w:tc>
        <w:tc>
          <w:tcPr>
            <w:tcW w:w="0" w:type="auto"/>
            <w:vAlign w:val="center"/>
          </w:tcPr>
          <w:p w14:paraId="08FC7A20">
            <w:r>
              <w:t>...</w:t>
            </w:r>
          </w:p>
        </w:tc>
        <w:tc>
          <w:tcPr>
            <w:tcW w:w="0" w:type="auto"/>
            <w:vAlign w:val="center"/>
          </w:tcPr>
          <w:p w14:paraId="1E1B04E2">
            <w:r>
              <w:t>...</w:t>
            </w:r>
          </w:p>
        </w:tc>
      </w:tr>
    </w:tbl>
    <w:p w14:paraId="0CC3FE3A">
      <w:r>
        <w:rPr>
          <w:b/>
        </w:rPr>
        <w:t>表5：故障处理记录表</w:t>
      </w:r>
    </w:p>
    <w:tbl>
      <w:tblPr>
        <w:tblStyle w:val="50"/>
        <w:tblW w:w="0" w:type="auto"/>
        <w:tblInd w:w="0" w:type="dxa"/>
        <w:tblLayout w:type="fixed"/>
        <w:tblCellMar>
          <w:top w:w="0" w:type="dxa"/>
          <w:left w:w="0" w:type="dxa"/>
          <w:bottom w:w="0" w:type="dxa"/>
          <w:right w:w="0" w:type="dxa"/>
        </w:tblCellMar>
      </w:tblPr>
      <w:tblGrid>
        <w:gridCol w:w="1440"/>
        <w:gridCol w:w="1440"/>
        <w:gridCol w:w="1440"/>
        <w:gridCol w:w="1440"/>
        <w:gridCol w:w="1440"/>
        <w:gridCol w:w="1440"/>
      </w:tblGrid>
      <w:tr w14:paraId="4E0DB244">
        <w:tblPrEx>
          <w:tblCellMar>
            <w:top w:w="0" w:type="dxa"/>
            <w:left w:w="0" w:type="dxa"/>
            <w:bottom w:w="0" w:type="dxa"/>
            <w:right w:w="0" w:type="dxa"/>
          </w:tblCellMar>
        </w:tblPrEx>
        <w:tc>
          <w:tcPr>
            <w:tcW w:w="0" w:type="auto"/>
            <w:vAlign w:val="center"/>
          </w:tcPr>
          <w:p w14:paraId="34307896">
            <w:pPr>
              <w:jc w:val="center"/>
              <w:rPr>
                <w:b/>
              </w:rPr>
            </w:pPr>
            <w:r>
              <w:rPr>
                <w:b/>
              </w:rPr>
              <w:t>故障日期</w:t>
            </w:r>
          </w:p>
        </w:tc>
        <w:tc>
          <w:tcPr>
            <w:tcW w:w="0" w:type="auto"/>
            <w:vAlign w:val="center"/>
          </w:tcPr>
          <w:p w14:paraId="7BE22082">
            <w:pPr>
              <w:jc w:val="center"/>
              <w:rPr>
                <w:b/>
              </w:rPr>
            </w:pPr>
            <w:r>
              <w:rPr>
                <w:b/>
              </w:rPr>
              <w:t>故障现象</w:t>
            </w:r>
          </w:p>
        </w:tc>
        <w:tc>
          <w:tcPr>
            <w:tcW w:w="0" w:type="auto"/>
            <w:vAlign w:val="center"/>
          </w:tcPr>
          <w:p w14:paraId="2B60DB68">
            <w:pPr>
              <w:jc w:val="center"/>
              <w:rPr>
                <w:b/>
              </w:rPr>
            </w:pPr>
            <w:r>
              <w:rPr>
                <w:b/>
              </w:rPr>
              <w:t>原因分析</w:t>
            </w:r>
          </w:p>
        </w:tc>
        <w:tc>
          <w:tcPr>
            <w:tcW w:w="0" w:type="auto"/>
            <w:vAlign w:val="center"/>
          </w:tcPr>
          <w:p w14:paraId="049026E8">
            <w:pPr>
              <w:jc w:val="center"/>
              <w:rPr>
                <w:b/>
              </w:rPr>
            </w:pPr>
            <w:r>
              <w:rPr>
                <w:b/>
              </w:rPr>
              <w:t>处理措施</w:t>
            </w:r>
          </w:p>
        </w:tc>
        <w:tc>
          <w:tcPr>
            <w:tcW w:w="0" w:type="auto"/>
            <w:vAlign w:val="center"/>
          </w:tcPr>
          <w:p w14:paraId="241F16C6">
            <w:pPr>
              <w:jc w:val="center"/>
              <w:rPr>
                <w:b/>
              </w:rPr>
            </w:pPr>
            <w:r>
              <w:rPr>
                <w:b/>
              </w:rPr>
              <w:t>处理结果</w:t>
            </w:r>
          </w:p>
        </w:tc>
        <w:tc>
          <w:tcPr>
            <w:tcW w:w="0" w:type="auto"/>
            <w:vAlign w:val="center"/>
          </w:tcPr>
          <w:p w14:paraId="32F79BA0">
            <w:pPr>
              <w:jc w:val="center"/>
              <w:rPr>
                <w:b/>
              </w:rPr>
            </w:pPr>
            <w:r>
              <w:rPr>
                <w:b/>
              </w:rPr>
              <w:t>处理人</w:t>
            </w:r>
          </w:p>
        </w:tc>
      </w:tr>
      <w:tr w14:paraId="662569B4">
        <w:tblPrEx>
          <w:tblCellMar>
            <w:top w:w="0" w:type="dxa"/>
            <w:left w:w="0" w:type="dxa"/>
            <w:bottom w:w="0" w:type="dxa"/>
            <w:right w:w="0" w:type="dxa"/>
          </w:tblCellMar>
        </w:tblPrEx>
        <w:tc>
          <w:tcPr>
            <w:tcW w:w="0" w:type="auto"/>
            <w:vAlign w:val="center"/>
          </w:tcPr>
          <w:p w14:paraId="09F6ADB0">
            <w:r>
              <w:t>2025-02-10</w:t>
            </w:r>
          </w:p>
        </w:tc>
        <w:tc>
          <w:tcPr>
            <w:tcW w:w="0" w:type="auto"/>
            <w:vAlign w:val="center"/>
          </w:tcPr>
          <w:p w14:paraId="6831B066">
            <w:r>
              <w:t>真空度升至5Pa</w:t>
            </w:r>
          </w:p>
        </w:tc>
        <w:tc>
          <w:tcPr>
            <w:tcW w:w="0" w:type="auto"/>
            <w:vAlign w:val="center"/>
          </w:tcPr>
          <w:p w14:paraId="6F119C24">
            <w:r>
              <w:t>进气法兰垫片老化</w:t>
            </w:r>
          </w:p>
        </w:tc>
        <w:tc>
          <w:tcPr>
            <w:tcW w:w="0" w:type="auto"/>
            <w:vAlign w:val="center"/>
          </w:tcPr>
          <w:p w14:paraId="659B6837">
            <w:r>
              <w:t>更换丁腈橡胶垫，紧固螺栓</w:t>
            </w:r>
          </w:p>
        </w:tc>
        <w:tc>
          <w:tcPr>
            <w:tcW w:w="0" w:type="auto"/>
            <w:vAlign w:val="center"/>
          </w:tcPr>
          <w:p w14:paraId="326FC4AB">
            <w:r>
              <w:t>恢复1.2Pa</w:t>
            </w:r>
          </w:p>
        </w:tc>
        <w:tc>
          <w:tcPr>
            <w:tcW w:w="0" w:type="auto"/>
            <w:vAlign w:val="center"/>
          </w:tcPr>
          <w:p w14:paraId="0382624E">
            <w:r>
              <w:t>赵六</w:t>
            </w:r>
          </w:p>
        </w:tc>
      </w:tr>
      <w:tr w14:paraId="1EC68DFF">
        <w:tblPrEx>
          <w:tblCellMar>
            <w:top w:w="0" w:type="dxa"/>
            <w:left w:w="0" w:type="dxa"/>
            <w:bottom w:w="0" w:type="dxa"/>
            <w:right w:w="0" w:type="dxa"/>
          </w:tblCellMar>
        </w:tblPrEx>
        <w:tc>
          <w:tcPr>
            <w:tcW w:w="0" w:type="auto"/>
            <w:vAlign w:val="center"/>
          </w:tcPr>
          <w:p w14:paraId="19E76CB4">
            <w:r>
              <w:t>...</w:t>
            </w:r>
          </w:p>
        </w:tc>
        <w:tc>
          <w:tcPr>
            <w:tcW w:w="0" w:type="auto"/>
            <w:vAlign w:val="center"/>
          </w:tcPr>
          <w:p w14:paraId="2B6F3900">
            <w:r>
              <w:t>...</w:t>
            </w:r>
          </w:p>
        </w:tc>
        <w:tc>
          <w:tcPr>
            <w:tcW w:w="0" w:type="auto"/>
            <w:vAlign w:val="center"/>
          </w:tcPr>
          <w:p w14:paraId="00F38387">
            <w:r>
              <w:t>...</w:t>
            </w:r>
          </w:p>
        </w:tc>
        <w:tc>
          <w:tcPr>
            <w:tcW w:w="0" w:type="auto"/>
            <w:vAlign w:val="center"/>
          </w:tcPr>
          <w:p w14:paraId="391EA941">
            <w:r>
              <w:t>...</w:t>
            </w:r>
          </w:p>
        </w:tc>
        <w:tc>
          <w:tcPr>
            <w:tcW w:w="0" w:type="auto"/>
            <w:vAlign w:val="center"/>
          </w:tcPr>
          <w:p w14:paraId="78E971B5">
            <w:r>
              <w:t>...</w:t>
            </w:r>
          </w:p>
        </w:tc>
        <w:tc>
          <w:tcPr>
            <w:tcW w:w="0" w:type="auto"/>
            <w:vAlign w:val="center"/>
          </w:tcPr>
          <w:p w14:paraId="5E0CA1C6">
            <w:r>
              <w:t>...</w:t>
            </w:r>
          </w:p>
        </w:tc>
      </w:tr>
    </w:tbl>
    <w:p w14:paraId="3DABAF28">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3A7FC7"/>
    <w:multiLevelType w:val="singleLevel"/>
    <w:tmpl w:val="9B3A7FC7"/>
    <w:lvl w:ilvl="0" w:tentative="0">
      <w:start w:val="1"/>
      <w:numFmt w:val="bullet"/>
      <w:lvlText w:val=""/>
      <w:lvlJc w:val="left"/>
      <w:pPr>
        <w:ind w:left="720" w:hanging="360"/>
      </w:pPr>
      <w:rPr>
        <w:rFonts w:hint="default" w:ascii="Symbol" w:hAnsi="Symbol" w:cs="Symbol"/>
        <w:sz w:val="20"/>
      </w:rPr>
    </w:lvl>
  </w:abstractNum>
  <w:abstractNum w:abstractNumId="1">
    <w:nsid w:val="9FE7D4EB"/>
    <w:multiLevelType w:val="singleLevel"/>
    <w:tmpl w:val="9FE7D4EB"/>
    <w:lvl w:ilvl="0" w:tentative="0">
      <w:start w:val="1"/>
      <w:numFmt w:val="bullet"/>
      <w:lvlText w:val=""/>
      <w:lvlJc w:val="left"/>
      <w:pPr>
        <w:ind w:left="720" w:hanging="360"/>
      </w:pPr>
      <w:rPr>
        <w:rFonts w:hint="default" w:ascii="Symbol" w:hAnsi="Symbol" w:cs="Symbol"/>
        <w:sz w:val="20"/>
      </w:rPr>
    </w:lvl>
  </w:abstractNum>
  <w:abstractNum w:abstractNumId="2">
    <w:nsid w:val="9FFA7697"/>
    <w:multiLevelType w:val="singleLevel"/>
    <w:tmpl w:val="9FFA7697"/>
    <w:lvl w:ilvl="0" w:tentative="0">
      <w:start w:val="1"/>
      <w:numFmt w:val="bullet"/>
      <w:lvlText w:val=""/>
      <w:lvlJc w:val="left"/>
      <w:pPr>
        <w:ind w:left="720" w:hanging="360"/>
      </w:pPr>
      <w:rPr>
        <w:rFonts w:hint="default" w:ascii="Symbol" w:hAnsi="Symbol" w:cs="Symbol"/>
        <w:sz w:val="20"/>
      </w:rPr>
    </w:lvl>
  </w:abstractNum>
  <w:abstractNum w:abstractNumId="3">
    <w:nsid w:val="A1679472"/>
    <w:multiLevelType w:val="singleLevel"/>
    <w:tmpl w:val="A1679472"/>
    <w:lvl w:ilvl="0" w:tentative="0">
      <w:start w:val="1"/>
      <w:numFmt w:val="bullet"/>
      <w:lvlText w:val=""/>
      <w:lvlJc w:val="left"/>
      <w:pPr>
        <w:ind w:left="720" w:hanging="360"/>
      </w:pPr>
      <w:rPr>
        <w:rFonts w:hint="default" w:ascii="Symbol" w:hAnsi="Symbol" w:cs="Symbol"/>
        <w:sz w:val="20"/>
      </w:rPr>
    </w:lvl>
  </w:abstractNum>
  <w:abstractNum w:abstractNumId="4">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5">
    <w:nsid w:val="AF9D50DD"/>
    <w:multiLevelType w:val="singleLevel"/>
    <w:tmpl w:val="AF9D50DD"/>
    <w:lvl w:ilvl="0" w:tentative="0">
      <w:start w:val="1"/>
      <w:numFmt w:val="bullet"/>
      <w:lvlText w:val=""/>
      <w:lvlJc w:val="left"/>
      <w:pPr>
        <w:ind w:left="720" w:hanging="360"/>
      </w:pPr>
      <w:rPr>
        <w:rFonts w:hint="default" w:ascii="Symbol" w:hAnsi="Symbol" w:cs="Symbol"/>
        <w:sz w:val="20"/>
      </w:rPr>
    </w:lvl>
  </w:abstractNum>
  <w:abstractNum w:abstractNumId="6">
    <w:nsid w:val="AFDFAF5C"/>
    <w:multiLevelType w:val="singleLevel"/>
    <w:tmpl w:val="AFDFAF5C"/>
    <w:lvl w:ilvl="0" w:tentative="0">
      <w:start w:val="1"/>
      <w:numFmt w:val="bullet"/>
      <w:lvlText w:val=""/>
      <w:lvlJc w:val="left"/>
      <w:pPr>
        <w:ind w:left="720" w:hanging="360"/>
      </w:pPr>
      <w:rPr>
        <w:rFonts w:hint="default" w:ascii="Symbol" w:hAnsi="Symbol" w:cs="Symbol"/>
        <w:sz w:val="20"/>
      </w:rPr>
    </w:lvl>
  </w:abstractNum>
  <w:abstractNum w:abstractNumId="7">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8">
    <w:nsid w:val="B35F99FC"/>
    <w:multiLevelType w:val="singleLevel"/>
    <w:tmpl w:val="B35F99FC"/>
    <w:lvl w:ilvl="0" w:tentative="0">
      <w:start w:val="1"/>
      <w:numFmt w:val="bullet"/>
      <w:lvlText w:val=""/>
      <w:lvlJc w:val="left"/>
      <w:pPr>
        <w:ind w:left="720" w:hanging="360"/>
      </w:pPr>
      <w:rPr>
        <w:rFonts w:hint="default" w:ascii="Symbol" w:hAnsi="Symbol" w:cs="Symbol"/>
        <w:sz w:val="20"/>
      </w:rPr>
    </w:lvl>
  </w:abstractNum>
  <w:abstractNum w:abstractNumId="9">
    <w:nsid w:val="B776A25B"/>
    <w:multiLevelType w:val="singleLevel"/>
    <w:tmpl w:val="B776A25B"/>
    <w:lvl w:ilvl="0" w:tentative="0">
      <w:start w:val="1"/>
      <w:numFmt w:val="decimal"/>
      <w:lvlText w:val="%1."/>
      <w:lvlJc w:val="left"/>
      <w:pPr>
        <w:ind w:left="720" w:hanging="360"/>
      </w:pPr>
      <w:rPr>
        <w:sz w:val="24"/>
      </w:rPr>
    </w:lvl>
  </w:abstractNum>
  <w:abstractNum w:abstractNumId="10">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11">
    <w:nsid w:val="BDEBA546"/>
    <w:multiLevelType w:val="singleLevel"/>
    <w:tmpl w:val="BDEBA546"/>
    <w:lvl w:ilvl="0" w:tentative="0">
      <w:start w:val="1"/>
      <w:numFmt w:val="bullet"/>
      <w:lvlText w:val=""/>
      <w:lvlJc w:val="left"/>
      <w:pPr>
        <w:ind w:left="720" w:hanging="360"/>
      </w:pPr>
      <w:rPr>
        <w:rFonts w:hint="default" w:ascii="Symbol" w:hAnsi="Symbol" w:cs="Symbol"/>
        <w:sz w:val="20"/>
      </w:rPr>
    </w:lvl>
  </w:abstractNum>
  <w:abstractNum w:abstractNumId="12">
    <w:nsid w:val="BEFF4583"/>
    <w:multiLevelType w:val="singleLevel"/>
    <w:tmpl w:val="BEFF4583"/>
    <w:lvl w:ilvl="0" w:tentative="0">
      <w:start w:val="1"/>
      <w:numFmt w:val="bullet"/>
      <w:lvlText w:val=""/>
      <w:lvlJc w:val="left"/>
      <w:pPr>
        <w:ind w:left="720" w:hanging="360"/>
      </w:pPr>
      <w:rPr>
        <w:rFonts w:hint="default" w:ascii="Symbol" w:hAnsi="Symbol" w:cs="Symbol"/>
        <w:sz w:val="20"/>
      </w:rPr>
    </w:lvl>
  </w:abstractNum>
  <w:abstractNum w:abstractNumId="13">
    <w:nsid w:val="D714F43D"/>
    <w:multiLevelType w:val="singleLevel"/>
    <w:tmpl w:val="D714F43D"/>
    <w:lvl w:ilvl="0" w:tentative="0">
      <w:start w:val="1"/>
      <w:numFmt w:val="bullet"/>
      <w:lvlText w:val=""/>
      <w:lvlJc w:val="left"/>
      <w:pPr>
        <w:ind w:left="720" w:hanging="360"/>
      </w:pPr>
      <w:rPr>
        <w:rFonts w:hint="default" w:ascii="Symbol" w:hAnsi="Symbol" w:cs="Symbol"/>
        <w:sz w:val="20"/>
      </w:rPr>
    </w:lvl>
  </w:abstractNum>
  <w:abstractNum w:abstractNumId="14">
    <w:nsid w:val="DF284698"/>
    <w:multiLevelType w:val="singleLevel"/>
    <w:tmpl w:val="DF284698"/>
    <w:lvl w:ilvl="0" w:tentative="0">
      <w:start w:val="1"/>
      <w:numFmt w:val="bullet"/>
      <w:lvlText w:val=""/>
      <w:lvlJc w:val="left"/>
      <w:pPr>
        <w:ind w:left="720" w:hanging="360"/>
      </w:pPr>
      <w:rPr>
        <w:rFonts w:hint="default" w:ascii="Symbol" w:hAnsi="Symbol" w:cs="Symbol"/>
        <w:sz w:val="20"/>
      </w:rPr>
    </w:lvl>
  </w:abstractNum>
  <w:abstractNum w:abstractNumId="15">
    <w:nsid w:val="DF5C4791"/>
    <w:multiLevelType w:val="singleLevel"/>
    <w:tmpl w:val="DF5C4791"/>
    <w:lvl w:ilvl="0" w:tentative="0">
      <w:start w:val="1"/>
      <w:numFmt w:val="bullet"/>
      <w:lvlText w:val=""/>
      <w:lvlJc w:val="left"/>
      <w:pPr>
        <w:ind w:left="720" w:hanging="360"/>
      </w:pPr>
      <w:rPr>
        <w:rFonts w:hint="default" w:ascii="Symbol" w:hAnsi="Symbol" w:cs="Symbol"/>
        <w:sz w:val="20"/>
      </w:rPr>
    </w:lvl>
  </w:abstractNum>
  <w:abstractNum w:abstractNumId="16">
    <w:nsid w:val="DFB63B54"/>
    <w:multiLevelType w:val="singleLevel"/>
    <w:tmpl w:val="DFB63B54"/>
    <w:lvl w:ilvl="0" w:tentative="0">
      <w:start w:val="1"/>
      <w:numFmt w:val="bullet"/>
      <w:lvlText w:val=""/>
      <w:lvlJc w:val="left"/>
      <w:pPr>
        <w:ind w:left="720" w:hanging="360"/>
      </w:pPr>
      <w:rPr>
        <w:rFonts w:hint="default" w:ascii="Symbol" w:hAnsi="Symbol" w:cs="Symbol"/>
        <w:sz w:val="20"/>
      </w:rPr>
    </w:lvl>
  </w:abstractNum>
  <w:abstractNum w:abstractNumId="17">
    <w:nsid w:val="DFD67E87"/>
    <w:multiLevelType w:val="singleLevel"/>
    <w:tmpl w:val="DFD67E87"/>
    <w:lvl w:ilvl="0" w:tentative="0">
      <w:start w:val="1"/>
      <w:numFmt w:val="decimal"/>
      <w:lvlText w:val="%1."/>
      <w:lvlJc w:val="left"/>
      <w:pPr>
        <w:ind w:left="720" w:hanging="360"/>
      </w:pPr>
      <w:rPr>
        <w:sz w:val="24"/>
      </w:rPr>
    </w:lvl>
  </w:abstractNum>
  <w:abstractNum w:abstractNumId="18">
    <w:nsid w:val="DFF7FBC0"/>
    <w:multiLevelType w:val="singleLevel"/>
    <w:tmpl w:val="DFF7FBC0"/>
    <w:lvl w:ilvl="0" w:tentative="0">
      <w:start w:val="1"/>
      <w:numFmt w:val="bullet"/>
      <w:lvlText w:val=""/>
      <w:lvlJc w:val="left"/>
      <w:pPr>
        <w:ind w:left="720" w:hanging="360"/>
      </w:pPr>
      <w:rPr>
        <w:rFonts w:hint="default" w:ascii="Symbol" w:hAnsi="Symbol" w:cs="Symbol"/>
        <w:sz w:val="20"/>
      </w:rPr>
    </w:lvl>
  </w:abstractNum>
  <w:abstractNum w:abstractNumId="19">
    <w:nsid w:val="DFFD18B8"/>
    <w:multiLevelType w:val="singleLevel"/>
    <w:tmpl w:val="DFFD18B8"/>
    <w:lvl w:ilvl="0" w:tentative="0">
      <w:start w:val="1"/>
      <w:numFmt w:val="bullet"/>
      <w:lvlText w:val=""/>
      <w:lvlJc w:val="left"/>
      <w:pPr>
        <w:ind w:left="720" w:hanging="360"/>
      </w:pPr>
      <w:rPr>
        <w:rFonts w:hint="default" w:ascii="Symbol" w:hAnsi="Symbol" w:cs="Symbol"/>
        <w:sz w:val="20"/>
      </w:rPr>
    </w:lvl>
  </w:abstractNum>
  <w:abstractNum w:abstractNumId="20">
    <w:nsid w:val="EFBE9D29"/>
    <w:multiLevelType w:val="singleLevel"/>
    <w:tmpl w:val="EFBE9D29"/>
    <w:lvl w:ilvl="0" w:tentative="0">
      <w:start w:val="1"/>
      <w:numFmt w:val="bullet"/>
      <w:lvlText w:val=""/>
      <w:lvlJc w:val="left"/>
      <w:pPr>
        <w:ind w:left="720" w:hanging="360"/>
      </w:pPr>
      <w:rPr>
        <w:rFonts w:hint="default" w:ascii="Symbol" w:hAnsi="Symbol" w:cs="Symbol"/>
        <w:sz w:val="20"/>
      </w:rPr>
    </w:lvl>
  </w:abstractNum>
  <w:abstractNum w:abstractNumId="21">
    <w:nsid w:val="EFFC0AC3"/>
    <w:multiLevelType w:val="singleLevel"/>
    <w:tmpl w:val="EFFC0AC3"/>
    <w:lvl w:ilvl="0" w:tentative="0">
      <w:start w:val="1"/>
      <w:numFmt w:val="bullet"/>
      <w:lvlText w:val=""/>
      <w:lvlJc w:val="left"/>
      <w:pPr>
        <w:ind w:left="720" w:hanging="360"/>
      </w:pPr>
      <w:rPr>
        <w:rFonts w:hint="default" w:ascii="Symbol" w:hAnsi="Symbol" w:cs="Symbol"/>
        <w:sz w:val="20"/>
      </w:rPr>
    </w:lvl>
  </w:abstractNum>
  <w:abstractNum w:abstractNumId="22">
    <w:nsid w:val="EFFD5CCD"/>
    <w:multiLevelType w:val="singleLevel"/>
    <w:tmpl w:val="EFFD5CCD"/>
    <w:lvl w:ilvl="0" w:tentative="0">
      <w:start w:val="1"/>
      <w:numFmt w:val="bullet"/>
      <w:lvlText w:val=""/>
      <w:lvlJc w:val="left"/>
      <w:pPr>
        <w:ind w:left="720" w:hanging="360"/>
      </w:pPr>
      <w:rPr>
        <w:rFonts w:hint="default" w:ascii="Symbol" w:hAnsi="Symbol" w:cs="Symbol"/>
        <w:sz w:val="20"/>
      </w:rPr>
    </w:lvl>
  </w:abstractNum>
  <w:abstractNum w:abstractNumId="23">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24">
    <w:nsid w:val="F7CD27B5"/>
    <w:multiLevelType w:val="singleLevel"/>
    <w:tmpl w:val="F7CD27B5"/>
    <w:lvl w:ilvl="0" w:tentative="0">
      <w:start w:val="1"/>
      <w:numFmt w:val="bullet"/>
      <w:lvlText w:val=""/>
      <w:lvlJc w:val="left"/>
      <w:pPr>
        <w:ind w:left="720" w:hanging="360"/>
      </w:pPr>
      <w:rPr>
        <w:rFonts w:hint="default" w:ascii="Symbol" w:hAnsi="Symbol" w:cs="Symbol"/>
        <w:sz w:val="20"/>
      </w:rPr>
    </w:lvl>
  </w:abstractNum>
  <w:abstractNum w:abstractNumId="25">
    <w:nsid w:val="F7FDD852"/>
    <w:multiLevelType w:val="singleLevel"/>
    <w:tmpl w:val="F7FDD852"/>
    <w:lvl w:ilvl="0" w:tentative="0">
      <w:start w:val="1"/>
      <w:numFmt w:val="bullet"/>
      <w:lvlText w:val=""/>
      <w:lvlJc w:val="left"/>
      <w:pPr>
        <w:ind w:left="720" w:hanging="360"/>
      </w:pPr>
      <w:rPr>
        <w:rFonts w:hint="default" w:ascii="Symbol" w:hAnsi="Symbol" w:cs="Symbol"/>
        <w:sz w:val="20"/>
      </w:rPr>
    </w:lvl>
  </w:abstractNum>
  <w:abstractNum w:abstractNumId="26">
    <w:nsid w:val="F87EBEA7"/>
    <w:multiLevelType w:val="singleLevel"/>
    <w:tmpl w:val="F87EBEA7"/>
    <w:lvl w:ilvl="0" w:tentative="0">
      <w:start w:val="1"/>
      <w:numFmt w:val="bullet"/>
      <w:lvlText w:val=""/>
      <w:lvlJc w:val="left"/>
      <w:pPr>
        <w:ind w:left="720" w:hanging="360"/>
      </w:pPr>
      <w:rPr>
        <w:rFonts w:hint="default" w:ascii="Symbol" w:hAnsi="Symbol" w:cs="Symbol"/>
        <w:sz w:val="20"/>
      </w:rPr>
    </w:lvl>
  </w:abstractNum>
  <w:abstractNum w:abstractNumId="27">
    <w:nsid w:val="FACF6D12"/>
    <w:multiLevelType w:val="singleLevel"/>
    <w:tmpl w:val="FACF6D12"/>
    <w:lvl w:ilvl="0" w:tentative="0">
      <w:start w:val="1"/>
      <w:numFmt w:val="bullet"/>
      <w:lvlText w:val=""/>
      <w:lvlJc w:val="left"/>
      <w:pPr>
        <w:ind w:left="720" w:hanging="360"/>
      </w:pPr>
      <w:rPr>
        <w:rFonts w:hint="default" w:ascii="Symbol" w:hAnsi="Symbol" w:cs="Symbol"/>
        <w:sz w:val="20"/>
      </w:rPr>
    </w:lvl>
  </w:abstractNum>
  <w:abstractNum w:abstractNumId="28">
    <w:nsid w:val="FCAE4811"/>
    <w:multiLevelType w:val="singleLevel"/>
    <w:tmpl w:val="FCAE4811"/>
    <w:lvl w:ilvl="0" w:tentative="0">
      <w:start w:val="1"/>
      <w:numFmt w:val="bullet"/>
      <w:lvlText w:val=""/>
      <w:lvlJc w:val="left"/>
      <w:pPr>
        <w:ind w:left="720" w:hanging="360"/>
      </w:pPr>
      <w:rPr>
        <w:rFonts w:hint="default" w:ascii="Symbol" w:hAnsi="Symbol" w:cs="Symbol"/>
        <w:sz w:val="20"/>
      </w:rPr>
    </w:lvl>
  </w:abstractNum>
  <w:abstractNum w:abstractNumId="29">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30">
    <w:nsid w:val="FEFEB166"/>
    <w:multiLevelType w:val="singleLevel"/>
    <w:tmpl w:val="FEFEB166"/>
    <w:lvl w:ilvl="0" w:tentative="0">
      <w:start w:val="1"/>
      <w:numFmt w:val="bullet"/>
      <w:lvlText w:val=""/>
      <w:lvlJc w:val="left"/>
      <w:pPr>
        <w:ind w:left="720" w:hanging="360"/>
      </w:pPr>
      <w:rPr>
        <w:rFonts w:hint="default" w:ascii="Symbol" w:hAnsi="Symbol" w:cs="Symbol"/>
        <w:sz w:val="20"/>
      </w:rPr>
    </w:lvl>
  </w:abstractNum>
  <w:abstractNum w:abstractNumId="31">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32">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33">
    <w:nsid w:val="FFEEF380"/>
    <w:multiLevelType w:val="singleLevel"/>
    <w:tmpl w:val="FFEEF380"/>
    <w:lvl w:ilvl="0" w:tentative="0">
      <w:start w:val="1"/>
      <w:numFmt w:val="bullet"/>
      <w:lvlText w:val=""/>
      <w:lvlJc w:val="left"/>
      <w:pPr>
        <w:ind w:left="720" w:hanging="360"/>
      </w:pPr>
      <w:rPr>
        <w:rFonts w:hint="default" w:ascii="Symbol" w:hAnsi="Symbol" w:cs="Symbol"/>
        <w:sz w:val="20"/>
      </w:rPr>
    </w:lvl>
  </w:abstractNum>
  <w:abstractNum w:abstractNumId="34">
    <w:nsid w:val="FFF66BE1"/>
    <w:multiLevelType w:val="singleLevel"/>
    <w:tmpl w:val="FFF66BE1"/>
    <w:lvl w:ilvl="0" w:tentative="0">
      <w:start w:val="1"/>
      <w:numFmt w:val="bullet"/>
      <w:lvlText w:val=""/>
      <w:lvlJc w:val="left"/>
      <w:pPr>
        <w:ind w:left="720" w:hanging="360"/>
      </w:pPr>
      <w:rPr>
        <w:rFonts w:hint="default" w:ascii="Symbol" w:hAnsi="Symbol" w:cs="Symbol"/>
        <w:sz w:val="20"/>
      </w:rPr>
    </w:lvl>
  </w:abstractNum>
  <w:abstractNum w:abstractNumId="35">
    <w:nsid w:val="FFFEC375"/>
    <w:multiLevelType w:val="singleLevel"/>
    <w:tmpl w:val="FFFEC375"/>
    <w:lvl w:ilvl="0" w:tentative="0">
      <w:start w:val="1"/>
      <w:numFmt w:val="bullet"/>
      <w:lvlText w:val=""/>
      <w:lvlJc w:val="left"/>
      <w:pPr>
        <w:ind w:left="720" w:hanging="360"/>
      </w:pPr>
      <w:rPr>
        <w:rFonts w:hint="default" w:ascii="Symbol" w:hAnsi="Symbol" w:cs="Symbol"/>
        <w:sz w:val="20"/>
      </w:rPr>
    </w:lvl>
  </w:abstractNum>
  <w:abstractNum w:abstractNumId="36">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37">
    <w:nsid w:val="167576C6"/>
    <w:multiLevelType w:val="singleLevel"/>
    <w:tmpl w:val="167576C6"/>
    <w:lvl w:ilvl="0" w:tentative="0">
      <w:start w:val="1"/>
      <w:numFmt w:val="bullet"/>
      <w:lvlText w:val=""/>
      <w:lvlJc w:val="left"/>
      <w:pPr>
        <w:ind w:left="720" w:hanging="360"/>
      </w:pPr>
      <w:rPr>
        <w:rFonts w:hint="default" w:ascii="Symbol" w:hAnsi="Symbol" w:cs="Symbol"/>
        <w:sz w:val="20"/>
      </w:rPr>
    </w:lvl>
  </w:abstractNum>
  <w:abstractNum w:abstractNumId="38">
    <w:nsid w:val="19BF340B"/>
    <w:multiLevelType w:val="singleLevel"/>
    <w:tmpl w:val="19BF340B"/>
    <w:lvl w:ilvl="0" w:tentative="0">
      <w:start w:val="1"/>
      <w:numFmt w:val="bullet"/>
      <w:lvlText w:val=""/>
      <w:lvlJc w:val="left"/>
      <w:pPr>
        <w:ind w:left="720" w:hanging="360"/>
      </w:pPr>
      <w:rPr>
        <w:rFonts w:hint="default" w:ascii="Symbol" w:hAnsi="Symbol" w:cs="Symbol"/>
        <w:sz w:val="20"/>
      </w:rPr>
    </w:lvl>
  </w:abstractNum>
  <w:abstractNum w:abstractNumId="39">
    <w:nsid w:val="1A780137"/>
    <w:multiLevelType w:val="singleLevel"/>
    <w:tmpl w:val="1A780137"/>
    <w:lvl w:ilvl="0" w:tentative="0">
      <w:start w:val="1"/>
      <w:numFmt w:val="decimal"/>
      <w:lvlText w:val="%1."/>
      <w:lvlJc w:val="left"/>
      <w:pPr>
        <w:ind w:left="720" w:hanging="360"/>
      </w:pPr>
      <w:rPr>
        <w:sz w:val="24"/>
      </w:rPr>
    </w:lvl>
  </w:abstractNum>
  <w:abstractNum w:abstractNumId="40">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41">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42">
    <w:nsid w:val="4FB79F4B"/>
    <w:multiLevelType w:val="singleLevel"/>
    <w:tmpl w:val="4FB79F4B"/>
    <w:lvl w:ilvl="0" w:tentative="0">
      <w:start w:val="1"/>
      <w:numFmt w:val="bullet"/>
      <w:lvlText w:val=""/>
      <w:lvlJc w:val="left"/>
      <w:pPr>
        <w:ind w:left="720" w:hanging="360"/>
      </w:pPr>
      <w:rPr>
        <w:rFonts w:hint="default" w:ascii="Symbol" w:hAnsi="Symbol" w:cs="Symbol"/>
        <w:sz w:val="20"/>
      </w:rPr>
    </w:lvl>
  </w:abstractNum>
  <w:abstractNum w:abstractNumId="43">
    <w:nsid w:val="55FFE3D9"/>
    <w:multiLevelType w:val="singleLevel"/>
    <w:tmpl w:val="55FFE3D9"/>
    <w:lvl w:ilvl="0" w:tentative="0">
      <w:start w:val="1"/>
      <w:numFmt w:val="bullet"/>
      <w:lvlText w:val=""/>
      <w:lvlJc w:val="left"/>
      <w:pPr>
        <w:ind w:left="720" w:hanging="360"/>
      </w:pPr>
      <w:rPr>
        <w:rFonts w:hint="default" w:ascii="Symbol" w:hAnsi="Symbol" w:cs="Symbol"/>
        <w:sz w:val="20"/>
      </w:rPr>
    </w:lvl>
  </w:abstractNum>
  <w:abstractNum w:abstractNumId="44">
    <w:nsid w:val="5BFFE94D"/>
    <w:multiLevelType w:val="singleLevel"/>
    <w:tmpl w:val="5BFFE94D"/>
    <w:lvl w:ilvl="0" w:tentative="0">
      <w:start w:val="1"/>
      <w:numFmt w:val="decimal"/>
      <w:lvlText w:val="%1."/>
      <w:lvlJc w:val="left"/>
      <w:pPr>
        <w:ind w:left="720" w:hanging="360"/>
      </w:pPr>
      <w:rPr>
        <w:sz w:val="24"/>
      </w:rPr>
    </w:lvl>
  </w:abstractNum>
  <w:abstractNum w:abstractNumId="45">
    <w:nsid w:val="5FFF71CC"/>
    <w:multiLevelType w:val="singleLevel"/>
    <w:tmpl w:val="5FFF71CC"/>
    <w:lvl w:ilvl="0" w:tentative="0">
      <w:start w:val="1"/>
      <w:numFmt w:val="bullet"/>
      <w:lvlText w:val=""/>
      <w:lvlJc w:val="left"/>
      <w:pPr>
        <w:ind w:left="720" w:hanging="360"/>
      </w:pPr>
      <w:rPr>
        <w:rFonts w:hint="default" w:ascii="Symbol" w:hAnsi="Symbol" w:cs="Symbol"/>
        <w:sz w:val="20"/>
      </w:rPr>
    </w:lvl>
  </w:abstractNum>
  <w:abstractNum w:abstractNumId="46">
    <w:nsid w:val="6F57703B"/>
    <w:multiLevelType w:val="singleLevel"/>
    <w:tmpl w:val="6F57703B"/>
    <w:lvl w:ilvl="0" w:tentative="0">
      <w:start w:val="1"/>
      <w:numFmt w:val="bullet"/>
      <w:lvlText w:val=""/>
      <w:lvlJc w:val="left"/>
      <w:pPr>
        <w:ind w:left="720" w:hanging="360"/>
      </w:pPr>
      <w:rPr>
        <w:rFonts w:hint="default" w:ascii="Symbol" w:hAnsi="Symbol" w:cs="Symbol"/>
        <w:sz w:val="20"/>
      </w:rPr>
    </w:lvl>
  </w:abstractNum>
  <w:abstractNum w:abstractNumId="47">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48">
    <w:nsid w:val="767F414A"/>
    <w:multiLevelType w:val="singleLevel"/>
    <w:tmpl w:val="767F414A"/>
    <w:lvl w:ilvl="0" w:tentative="0">
      <w:start w:val="1"/>
      <w:numFmt w:val="bullet"/>
      <w:lvlText w:val=""/>
      <w:lvlJc w:val="left"/>
      <w:pPr>
        <w:ind w:left="720" w:hanging="360"/>
      </w:pPr>
      <w:rPr>
        <w:rFonts w:hint="default" w:ascii="Symbol" w:hAnsi="Symbol" w:cs="Symbol"/>
        <w:sz w:val="20"/>
      </w:rPr>
    </w:lvl>
  </w:abstractNum>
  <w:abstractNum w:abstractNumId="49">
    <w:nsid w:val="76FBE105"/>
    <w:multiLevelType w:val="multilevel"/>
    <w:tmpl w:val="76FBE105"/>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50">
    <w:nsid w:val="7EFB0518"/>
    <w:multiLevelType w:val="singleLevel"/>
    <w:tmpl w:val="7EFB0518"/>
    <w:lvl w:ilvl="0" w:tentative="0">
      <w:start w:val="1"/>
      <w:numFmt w:val="decimal"/>
      <w:pStyle w:val="13"/>
      <w:lvlText w:val="%1."/>
      <w:lvlJc w:val="left"/>
      <w:pPr>
        <w:tabs>
          <w:tab w:val="left" w:pos="780"/>
        </w:tabs>
        <w:ind w:left="780" w:hanging="360"/>
      </w:pPr>
    </w:lvl>
  </w:abstractNum>
  <w:abstractNum w:abstractNumId="51">
    <w:nsid w:val="7FFE6F2E"/>
    <w:multiLevelType w:val="singleLevel"/>
    <w:tmpl w:val="7FFE6F2E"/>
    <w:lvl w:ilvl="0" w:tentative="0">
      <w:start w:val="1"/>
      <w:numFmt w:val="bullet"/>
      <w:lvlText w:val=""/>
      <w:lvlJc w:val="left"/>
      <w:pPr>
        <w:ind w:left="720" w:hanging="360"/>
      </w:pPr>
      <w:rPr>
        <w:rFonts w:hint="default" w:ascii="Symbol" w:hAnsi="Symbol" w:cs="Symbol"/>
        <w:sz w:val="20"/>
      </w:rPr>
    </w:lvl>
  </w:abstractNum>
  <w:num w:numId="1">
    <w:abstractNumId w:val="41"/>
  </w:num>
  <w:num w:numId="2">
    <w:abstractNumId w:val="50"/>
  </w:num>
  <w:num w:numId="3">
    <w:abstractNumId w:val="7"/>
  </w:num>
  <w:num w:numId="4">
    <w:abstractNumId w:val="36"/>
  </w:num>
  <w:num w:numId="5">
    <w:abstractNumId w:val="29"/>
  </w:num>
  <w:num w:numId="6">
    <w:abstractNumId w:val="47"/>
  </w:num>
  <w:num w:numId="7">
    <w:abstractNumId w:val="23"/>
  </w:num>
  <w:num w:numId="8">
    <w:abstractNumId w:val="40"/>
  </w:num>
  <w:num w:numId="9">
    <w:abstractNumId w:val="31"/>
  </w:num>
  <w:num w:numId="10">
    <w:abstractNumId w:val="32"/>
  </w:num>
  <w:num w:numId="11">
    <w:abstractNumId w:val="10"/>
  </w:num>
  <w:num w:numId="12">
    <w:abstractNumId w:val="4"/>
  </w:num>
  <w:num w:numId="13">
    <w:abstractNumId w:val="48"/>
  </w:num>
  <w:num w:numId="14">
    <w:abstractNumId w:val="6"/>
  </w:num>
  <w:num w:numId="15">
    <w:abstractNumId w:val="44"/>
  </w:num>
  <w:num w:numId="16">
    <w:abstractNumId w:val="15"/>
  </w:num>
  <w:num w:numId="17">
    <w:abstractNumId w:val="34"/>
  </w:num>
  <w:num w:numId="18">
    <w:abstractNumId w:val="43"/>
  </w:num>
  <w:num w:numId="19">
    <w:abstractNumId w:val="25"/>
  </w:num>
  <w:num w:numId="20">
    <w:abstractNumId w:val="3"/>
  </w:num>
  <w:num w:numId="21">
    <w:abstractNumId w:val="39"/>
  </w:num>
  <w:num w:numId="22">
    <w:abstractNumId w:val="16"/>
  </w:num>
  <w:num w:numId="23">
    <w:abstractNumId w:val="8"/>
  </w:num>
  <w:num w:numId="24">
    <w:abstractNumId w:val="5"/>
  </w:num>
  <w:num w:numId="25">
    <w:abstractNumId w:val="33"/>
  </w:num>
  <w:num w:numId="26">
    <w:abstractNumId w:val="9"/>
  </w:num>
  <w:num w:numId="27">
    <w:abstractNumId w:val="45"/>
  </w:num>
  <w:num w:numId="28">
    <w:abstractNumId w:val="17"/>
  </w:num>
  <w:num w:numId="29">
    <w:abstractNumId w:val="51"/>
  </w:num>
  <w:num w:numId="30">
    <w:abstractNumId w:val="42"/>
  </w:num>
  <w:num w:numId="31">
    <w:abstractNumId w:val="37"/>
  </w:num>
  <w:num w:numId="32">
    <w:abstractNumId w:val="2"/>
  </w:num>
  <w:num w:numId="33">
    <w:abstractNumId w:val="30"/>
  </w:num>
  <w:num w:numId="34">
    <w:abstractNumId w:val="1"/>
  </w:num>
  <w:num w:numId="35">
    <w:abstractNumId w:val="14"/>
  </w:num>
  <w:num w:numId="36">
    <w:abstractNumId w:val="46"/>
  </w:num>
  <w:num w:numId="37">
    <w:abstractNumId w:val="38"/>
  </w:num>
  <w:num w:numId="38">
    <w:abstractNumId w:val="26"/>
  </w:num>
  <w:num w:numId="39">
    <w:abstractNumId w:val="13"/>
  </w:num>
  <w:num w:numId="40">
    <w:abstractNumId w:val="19"/>
  </w:num>
  <w:num w:numId="41">
    <w:abstractNumId w:val="0"/>
  </w:num>
  <w:num w:numId="42">
    <w:abstractNumId w:val="18"/>
  </w:num>
  <w:num w:numId="43">
    <w:abstractNumId w:val="20"/>
  </w:num>
  <w:num w:numId="44">
    <w:abstractNumId w:val="11"/>
  </w:num>
  <w:num w:numId="45">
    <w:abstractNumId w:val="35"/>
  </w:num>
  <w:num w:numId="46">
    <w:abstractNumId w:val="49"/>
  </w:num>
  <w:num w:numId="47">
    <w:abstractNumId w:val="12"/>
  </w:num>
  <w:num w:numId="48">
    <w:abstractNumId w:val="22"/>
  </w:num>
  <w:num w:numId="49">
    <w:abstractNumId w:val="21"/>
  </w:num>
  <w:num w:numId="50">
    <w:abstractNumId w:val="24"/>
  </w:num>
  <w:num w:numId="51">
    <w:abstractNumId w:val="28"/>
  </w:num>
  <w:num w:numId="5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D797B78"/>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BFF547B"/>
    <w:rsid w:val="6FE07705"/>
    <w:rsid w:val="6FFD907A"/>
    <w:rsid w:val="74A83031"/>
    <w:rsid w:val="76962A74"/>
    <w:rsid w:val="7B77B008"/>
    <w:rsid w:val="7FF6C12C"/>
    <w:rsid w:val="BCB98261"/>
    <w:rsid w:val="F3EB132D"/>
    <w:rsid w:val="FEF7017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10</Pages>
  <Words>450</Words>
  <Characters>502</Characters>
  <Lines>12</Lines>
  <Paragraphs>8</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2025-10-06T20:21:51Z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7020F5A4E7773DE55FB4E368A88970BC_43</vt:lpwstr>
  </property>
  <property fmtid="{D5CDD505-2E9C-101B-9397-08002B2CF9AE}" pid="4" name="KSOTemplateDocerSaveRecord">
    <vt:lpwstr>eyJoZGlkIjoiNzI4YmNmYThhZjA0NTVhODllNDhjMGZiNmFkMDJjN2YiLCJ1c2VySWQiOiIxNjA5OTI0MDI0In0=</vt:lpwstr>
  </property>
</Properties>
</file>