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6E6FA">
      <w:pPr>
        <w:pStyle w:val="5"/>
      </w:pPr>
    </w:p>
    <w:p w14:paraId="4639210B">
      <w:pPr>
        <w:pStyle w:val="5"/>
      </w:pPr>
    </w:p>
    <w:p w14:paraId="27B96608">
      <w:pPr>
        <w:pStyle w:val="5"/>
      </w:pPr>
      <w:r>
        <w:t>工业生产线X光检测系统详解</w:t>
      </w:r>
    </w:p>
    <w:p w14:paraId="4C737A4C">
      <w:pPr>
        <w:pStyle w:val="6"/>
      </w:pPr>
      <w:r>
        <w:rPr>
          <w:b/>
        </w:rPr>
        <w:t>一、系统结构</w:t>
      </w:r>
    </w:p>
    <w:p w14:paraId="43BEE992">
      <w:r>
        <w:t>工业生产线X光检测系统由</w:t>
      </w:r>
      <w:r>
        <w:rPr>
          <w:b/>
        </w:rPr>
        <w:t>五大核心模块</w:t>
      </w:r>
      <w:r>
        <w:t>组成，各模块协同实现无损检测功能：</w:t>
      </w:r>
    </w:p>
    <w:tbl>
      <w:tblPr>
        <w:tblStyle w:val="19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3BB22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80DB4BA">
            <w:pPr>
              <w:jc w:val="center"/>
              <w:rPr>
                <w:b/>
              </w:rPr>
            </w:pPr>
            <w:r>
              <w:rPr>
                <w:b/>
              </w:rPr>
              <w:t>模块名称</w:t>
            </w:r>
          </w:p>
        </w:tc>
        <w:tc>
          <w:tcPr>
            <w:tcW w:w="0" w:type="auto"/>
            <w:vAlign w:val="center"/>
          </w:tcPr>
          <w:p w14:paraId="76FFFB31">
            <w:pPr>
              <w:jc w:val="center"/>
              <w:rPr>
                <w:b/>
              </w:rPr>
            </w:pPr>
            <w:r>
              <w:rPr>
                <w:b/>
              </w:rPr>
              <w:t>核心组件</w:t>
            </w:r>
          </w:p>
        </w:tc>
        <w:tc>
          <w:tcPr>
            <w:tcW w:w="0" w:type="auto"/>
            <w:vAlign w:val="center"/>
          </w:tcPr>
          <w:p w14:paraId="2C5ECAC8">
            <w:pPr>
              <w:jc w:val="center"/>
              <w:rPr>
                <w:b/>
              </w:rPr>
            </w:pPr>
            <w:r>
              <w:rPr>
                <w:b/>
              </w:rPr>
              <w:t>功能描述</w:t>
            </w:r>
          </w:p>
        </w:tc>
      </w:tr>
      <w:tr w14:paraId="1A641A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BCAAA03">
            <w:r>
              <w:rPr>
                <w:b/>
              </w:rPr>
              <w:t>射线发生模块</w:t>
            </w:r>
          </w:p>
        </w:tc>
        <w:tc>
          <w:tcPr>
            <w:tcW w:w="0" w:type="auto"/>
            <w:vAlign w:val="center"/>
          </w:tcPr>
          <w:p w14:paraId="177DC1B6">
            <w:r>
              <w:t>X射线源（如微焦点X射线管）、高压电源、冷却系统[^4]</w:t>
            </w:r>
          </w:p>
        </w:tc>
        <w:tc>
          <w:tcPr>
            <w:tcW w:w="0" w:type="auto"/>
            <w:vAlign w:val="center"/>
          </w:tcPr>
          <w:p w14:paraId="3522C32E">
            <w:r>
              <w:t>产生高能X射线束，通过调节管电压（kV）和管电流（mA）控制射线能量与强度[^3]。</w:t>
            </w:r>
          </w:p>
        </w:tc>
      </w:tr>
      <w:tr w14:paraId="49615B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58D44BE">
            <w:r>
              <w:rPr>
                <w:b/>
              </w:rPr>
              <w:t>探测与成像模块</w:t>
            </w:r>
          </w:p>
        </w:tc>
        <w:tc>
          <w:tcPr>
            <w:tcW w:w="0" w:type="auto"/>
            <w:vAlign w:val="center"/>
          </w:tcPr>
          <w:p w14:paraId="605F2F66">
            <w:r>
              <w:t>图像探测器（平板探测器/线阵探测器）、数据采集卡[^4]</w:t>
            </w:r>
          </w:p>
        </w:tc>
        <w:tc>
          <w:tcPr>
            <w:tcW w:w="0" w:type="auto"/>
            <w:vAlign w:val="center"/>
          </w:tcPr>
          <w:p w14:paraId="50A214F0">
            <w:r>
              <w:t>接收穿透工件后的衰减射线，将光信号转换为数字信号，生成二维/三维灰度图像[^4]。</w:t>
            </w:r>
          </w:p>
        </w:tc>
      </w:tr>
      <w:tr w14:paraId="37FEFE7A">
        <w:tc>
          <w:tcPr>
            <w:tcW w:w="0" w:type="auto"/>
            <w:vAlign w:val="center"/>
          </w:tcPr>
          <w:p w14:paraId="671BE191">
            <w:r>
              <w:rPr>
                <w:b/>
              </w:rPr>
              <w:t>机械传动模块</w:t>
            </w:r>
          </w:p>
        </w:tc>
        <w:tc>
          <w:tcPr>
            <w:tcW w:w="0" w:type="auto"/>
            <w:vAlign w:val="center"/>
          </w:tcPr>
          <w:p w14:paraId="482B833F">
            <w:r>
              <w:t>伺服电机、传送带/机械臂、精密导轨[^4]</w:t>
            </w:r>
          </w:p>
        </w:tc>
        <w:tc>
          <w:tcPr>
            <w:tcW w:w="0" w:type="auto"/>
            <w:vAlign w:val="center"/>
          </w:tcPr>
          <w:p w14:paraId="742BF853">
            <w:r>
              <w:t>实现工件的自动传输、定位及多角度扫描（如旋转、平移），确保检测无死角[^4]。</w:t>
            </w:r>
          </w:p>
        </w:tc>
      </w:tr>
      <w:tr w14:paraId="0CA4BE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C92CFD1">
            <w:r>
              <w:rPr>
                <w:b/>
              </w:rPr>
              <w:t>控制与数据处理模块</w:t>
            </w:r>
          </w:p>
        </w:tc>
        <w:tc>
          <w:tcPr>
            <w:tcW w:w="0" w:type="auto"/>
            <w:vAlign w:val="center"/>
          </w:tcPr>
          <w:p w14:paraId="10EDEA62">
            <w:r>
              <w:t>PLC控制器、工业计算机、图像处理软件（含AI缺陷识别算法）[^4]</w:t>
            </w:r>
          </w:p>
        </w:tc>
        <w:tc>
          <w:tcPr>
            <w:tcW w:w="0" w:type="auto"/>
            <w:vAlign w:val="center"/>
          </w:tcPr>
          <w:p w14:paraId="32202C95">
            <w:r>
              <w:t>控制设备启停、射线参数调节及机械运动，同时对图像进行降噪、增强及缺陷分析[^2][^4]。</w:t>
            </w:r>
          </w:p>
        </w:tc>
      </w:tr>
      <w:tr w14:paraId="337504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FF03957">
            <w:r>
              <w:rPr>
                <w:b/>
              </w:rPr>
              <w:t>安全防护模块</w:t>
            </w:r>
          </w:p>
        </w:tc>
        <w:tc>
          <w:tcPr>
            <w:tcW w:w="0" w:type="auto"/>
            <w:vAlign w:val="center"/>
          </w:tcPr>
          <w:p w14:paraId="2F72E141">
            <w:r>
              <w:t>铅屏蔽罩、联锁装置、剂量监测仪（常识性补充，未在搜索结果中明确提及）</w:t>
            </w:r>
          </w:p>
        </w:tc>
        <w:tc>
          <w:tcPr>
            <w:tcW w:w="0" w:type="auto"/>
            <w:vAlign w:val="center"/>
          </w:tcPr>
          <w:p w14:paraId="03811E77">
            <w:r>
              <w:t>防止X射线泄漏，保障操作人员安全。</w:t>
            </w:r>
          </w:p>
        </w:tc>
      </w:tr>
    </w:tbl>
    <w:p w14:paraId="449E408F">
      <w:pPr>
        <w:pStyle w:val="6"/>
      </w:pPr>
      <w:r>
        <w:rPr>
          <w:b/>
        </w:rPr>
        <w:t>二、核心功能</w:t>
      </w:r>
    </w:p>
    <w:p w14:paraId="0CFBC5F9">
      <w:r>
        <w:t>系统通过X射线穿透与衰减特性，实现以下功能：</w:t>
      </w:r>
    </w:p>
    <w:p w14:paraId="2D46F71C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高精度成像</w:t>
      </w:r>
    </w:p>
    <w:p w14:paraId="625A94D7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生成工件内部结构的二维/三维图像，分辨率可达微米级，清晰显示微小缺陷（如0.1mm气孔）[^2][^4]。</w:t>
      </w:r>
    </w:p>
    <w:p w14:paraId="3EE18EF3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支持CT断层扫描，适用于复杂零部件（如航空发动机叶片）的内部结构重建[^2]。</w:t>
      </w:r>
    </w:p>
    <w:p w14:paraId="3848A375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缺陷检测</w:t>
      </w:r>
    </w:p>
    <w:p w14:paraId="73F33B27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识别材料内部裂纹、气孔、夹渣、未焊透等缺陷，典型应用于焊缝、铸件质量控制[^2][^3]。</w:t>
      </w:r>
    </w:p>
    <w:p w14:paraId="52E14D58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检测电子元件焊点（如BGA封装）的虚焊、桥连等问题[^4]。</w:t>
      </w:r>
    </w:p>
    <w:p w14:paraId="29AB0DA2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材料分析与尺寸测量</w:t>
      </w:r>
    </w:p>
    <w:p w14:paraId="277F6D75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通过X射线荧光分析（XRF）测定金属元素成分，验证材料纯度[^2]。</w:t>
      </w:r>
    </w:p>
    <w:p w14:paraId="06B1ED9E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精确测量内部尺寸（如孔径、壁厚），验证是否符合设计公差[^2]。</w:t>
      </w:r>
    </w:p>
    <w:p w14:paraId="3307E453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实时在线检测</w:t>
      </w:r>
    </w:p>
    <w:p w14:paraId="66A5E096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集成于生产线，实现100%全检，检测速度可达每分钟数百件（如电子元件）[^4]。</w:t>
      </w:r>
    </w:p>
    <w:p w14:paraId="04116F83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自动分拣不合格品，反馈至生产端优化工艺[^5]。</w:t>
      </w:r>
    </w:p>
    <w:p w14:paraId="4ACC743A">
      <w:pPr>
        <w:pStyle w:val="6"/>
      </w:pPr>
      <w:r>
        <w:rPr>
          <w:b/>
        </w:rPr>
        <w:t>三、机械原理</w:t>
      </w:r>
    </w:p>
    <w:p w14:paraId="17D9E1FE">
      <w:r>
        <w:t>系统通过</w:t>
      </w:r>
      <w:r>
        <w:rPr>
          <w:b/>
        </w:rPr>
        <w:t>机械结构与运动控制</w:t>
      </w:r>
      <w:r>
        <w:t>实现高效检测：</w:t>
      </w:r>
    </w:p>
    <w:p w14:paraId="4E3A55E2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工件传输与定位</w:t>
      </w:r>
    </w:p>
    <w:p w14:paraId="7FB061D7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传送带采用伺服电机驱动，速度可调（0-60m/min），配合光电传感器实现工件精准定位[^4]。</w:t>
      </w:r>
    </w:p>
    <w:p w14:paraId="1AF3D141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对于大型工件（如压力容器），采用机械臂带动射线源/探测器移动，完成多角度扫描[^3]。</w:t>
      </w:r>
    </w:p>
    <w:p w14:paraId="263B7008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射线源与探测器联动</w:t>
      </w:r>
    </w:p>
    <w:p w14:paraId="2C8ED2E2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rPr>
          <w:b/>
        </w:rPr>
        <w:t>平移扫描</w:t>
      </w:r>
      <w:r>
        <w:t>：探测器与射线源同步移动，适用于平板类工件（如PCB板）[^4]。</w:t>
      </w:r>
    </w:p>
    <w:p w14:paraId="1FD93386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rPr>
          <w:b/>
        </w:rPr>
        <w:t>旋转扫描</w:t>
      </w:r>
      <w:r>
        <w:t>：工件绕轴旋转，结合探测器线性运动，实现CT断层成像[^2]。</w:t>
      </w:r>
    </w:p>
    <w:p w14:paraId="4975F1E6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机械精度保障</w:t>
      </w:r>
    </w:p>
    <w:p w14:paraId="1A607B00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导轨定位误差≤±0.01mm，确保图像无几何畸变[^4]。</w:t>
      </w:r>
    </w:p>
    <w:p w14:paraId="5F8BA575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采用减震机构减少振动对成像质量的影响（常识性补充）。</w:t>
      </w:r>
    </w:p>
    <w:p w14:paraId="513646F1">
      <w:pPr>
        <w:pStyle w:val="6"/>
      </w:pPr>
      <w:r>
        <w:rPr>
          <w:b/>
        </w:rPr>
        <w:t>四、控制原理</w:t>
      </w:r>
    </w:p>
    <w:p w14:paraId="4C7BBD21">
      <w:r>
        <w:t>系统控制分为</w:t>
      </w:r>
      <w:r>
        <w:rPr>
          <w:b/>
        </w:rPr>
        <w:t>硬件层</w:t>
      </w:r>
      <w:r>
        <w:t>与</w:t>
      </w:r>
      <w:r>
        <w:rPr>
          <w:b/>
        </w:rPr>
        <w:t>软件层</w:t>
      </w:r>
      <w:r>
        <w:t>，实现全自动化检测：</w:t>
      </w:r>
    </w:p>
    <w:p w14:paraId="5929D003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硬件控制</w:t>
      </w:r>
    </w:p>
    <w:p w14:paraId="3EDBFE72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rPr>
          <w:b/>
        </w:rPr>
        <w:t>射线源控制</w:t>
      </w:r>
      <w:r>
        <w:t>：PLC通过高压电源调节管电压（40-450kV）和曝光时间（0.1-10s），匹配不同工件厚度[^3]。</w:t>
      </w:r>
    </w:p>
    <w:p w14:paraId="0061079B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rPr>
          <w:b/>
        </w:rPr>
        <w:t>运动控制</w:t>
      </w:r>
      <w:r>
        <w:t>：伺服系统接收PLC指令，驱动机械结构实现速度（0.1-100mm/s）与位置闭环控制[^4]。</w:t>
      </w:r>
    </w:p>
    <w:p w14:paraId="299A1873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软件与算法</w:t>
      </w:r>
    </w:p>
    <w:p w14:paraId="7449418D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rPr>
          <w:b/>
        </w:rPr>
        <w:t>图像处理</w:t>
      </w:r>
      <w:r>
        <w:t>：通过滤波、对比度增强等算法优化图像质量，再利用AI模型（如CNN）识别缺陷特征（如面积、灰度值）[^2][^4]。</w:t>
      </w:r>
    </w:p>
    <w:p w14:paraId="13736F4D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rPr>
          <w:b/>
        </w:rPr>
        <w:t>人机交互</w:t>
      </w:r>
      <w:r>
        <w:t>：通过触摸屏设置检测参数（如灵敏度阈值），实时显示检测结果与统计数据[^4]。</w:t>
      </w:r>
    </w:p>
    <w:p w14:paraId="45BF5EC4">
      <w:pPr>
        <w:pStyle w:val="6"/>
      </w:pPr>
      <w:r>
        <w:rPr>
          <w:b/>
        </w:rPr>
        <w:t>五、常见故障、成因与对策</w:t>
      </w:r>
    </w:p>
    <w:p w14:paraId="5189BB34">
      <w:r>
        <w:t>（注：以下内容基于设备结构及行业经验推断，未在搜索结果中明确提及）</w:t>
      </w:r>
    </w:p>
    <w:tbl>
      <w:tblPr>
        <w:tblStyle w:val="19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7BCBE2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24FFB49">
            <w:pPr>
              <w:jc w:val="center"/>
              <w:rPr>
                <w:b/>
              </w:rPr>
            </w:pPr>
            <w:r>
              <w:rPr>
                <w:b/>
              </w:rPr>
              <w:t>故障类型</w:t>
            </w:r>
          </w:p>
        </w:tc>
        <w:tc>
          <w:tcPr>
            <w:tcW w:w="0" w:type="auto"/>
            <w:vAlign w:val="center"/>
          </w:tcPr>
          <w:p w14:paraId="0EBEA53B">
            <w:pPr>
              <w:jc w:val="center"/>
              <w:rPr>
                <w:b/>
              </w:rPr>
            </w:pPr>
            <w:r>
              <w:rPr>
                <w:b/>
              </w:rPr>
              <w:t>可能成因</w:t>
            </w:r>
          </w:p>
        </w:tc>
        <w:tc>
          <w:tcPr>
            <w:tcW w:w="0" w:type="auto"/>
            <w:vAlign w:val="center"/>
          </w:tcPr>
          <w:p w14:paraId="67256179">
            <w:pPr>
              <w:jc w:val="center"/>
              <w:rPr>
                <w:b/>
              </w:rPr>
            </w:pPr>
            <w:r>
              <w:rPr>
                <w:b/>
              </w:rPr>
              <w:t>解决对策</w:t>
            </w:r>
          </w:p>
        </w:tc>
      </w:tr>
      <w:tr w14:paraId="78B1D4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DFD1DBE">
            <w:r>
              <w:rPr>
                <w:b/>
              </w:rPr>
              <w:t>X射线源无输出</w:t>
            </w:r>
          </w:p>
        </w:tc>
        <w:tc>
          <w:tcPr>
            <w:tcW w:w="0" w:type="auto"/>
            <w:vAlign w:val="center"/>
          </w:tcPr>
          <w:p w14:paraId="7F8F1348">
            <w:r>
              <w:t>高压电源故障、射线管老化、冷却系统堵塞</w:t>
            </w:r>
          </w:p>
        </w:tc>
        <w:tc>
          <w:tcPr>
            <w:tcW w:w="0" w:type="auto"/>
            <w:vAlign w:val="center"/>
          </w:tcPr>
          <w:p w14:paraId="1C089CE7">
            <w:r>
              <w:t>更换高压模块、定期更换射线管（寿命约5000小时）、清理散热通道。</w:t>
            </w:r>
          </w:p>
        </w:tc>
      </w:tr>
      <w:tr w14:paraId="6024E3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0D424D4">
            <w:r>
              <w:rPr>
                <w:b/>
              </w:rPr>
              <w:t>图像模糊/噪声大</w:t>
            </w:r>
          </w:p>
        </w:tc>
        <w:tc>
          <w:tcPr>
            <w:tcW w:w="0" w:type="auto"/>
            <w:vAlign w:val="center"/>
          </w:tcPr>
          <w:p w14:paraId="35DE95EE">
            <w:r>
              <w:t>探测器污染/损坏、射线能量不稳定、机械振动</w:t>
            </w:r>
          </w:p>
        </w:tc>
        <w:tc>
          <w:tcPr>
            <w:tcW w:w="0" w:type="auto"/>
            <w:vAlign w:val="center"/>
          </w:tcPr>
          <w:p w14:paraId="54E1B727">
            <w:r>
              <w:t>清洁/更换探测器（如平板探测器坏点）、校准高压电源、加固机械结构。</w:t>
            </w:r>
          </w:p>
        </w:tc>
      </w:tr>
      <w:tr w14:paraId="5100B6E1">
        <w:tc>
          <w:tcPr>
            <w:tcW w:w="0" w:type="auto"/>
            <w:vAlign w:val="center"/>
          </w:tcPr>
          <w:p w14:paraId="21CBCF5E">
            <w:r>
              <w:rPr>
                <w:b/>
              </w:rPr>
              <w:t>机械传动卡顿</w:t>
            </w:r>
          </w:p>
        </w:tc>
        <w:tc>
          <w:tcPr>
            <w:tcW w:w="0" w:type="auto"/>
            <w:vAlign w:val="center"/>
          </w:tcPr>
          <w:p w14:paraId="77E3861F">
            <w:r>
              <w:t>导轨润滑不足、伺服电机故障、异物卡滞</w:t>
            </w:r>
          </w:p>
        </w:tc>
        <w:tc>
          <w:tcPr>
            <w:tcW w:w="0" w:type="auto"/>
            <w:vAlign w:val="center"/>
          </w:tcPr>
          <w:p w14:paraId="6E18E4FC">
            <w:r>
              <w:t>定期添加润滑油、更换电机编码器、检查传送带异物。</w:t>
            </w:r>
          </w:p>
        </w:tc>
      </w:tr>
      <w:tr w14:paraId="447974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0E899CB">
            <w:r>
              <w:rPr>
                <w:b/>
              </w:rPr>
              <w:t>缺陷识别误判</w:t>
            </w:r>
          </w:p>
        </w:tc>
        <w:tc>
          <w:tcPr>
            <w:tcW w:w="0" w:type="auto"/>
            <w:vAlign w:val="center"/>
          </w:tcPr>
          <w:p w14:paraId="6CB27FB0">
            <w:r>
              <w:t>算法参数设置不当、工件位置偏移、光照干扰</w:t>
            </w:r>
          </w:p>
        </w:tc>
        <w:tc>
          <w:tcPr>
            <w:tcW w:w="0" w:type="auto"/>
            <w:vAlign w:val="center"/>
          </w:tcPr>
          <w:p w14:paraId="276A9DDD">
            <w:r>
              <w:t>重新标定缺陷阈值、优化定位传感器精度、增加抗干扰屏蔽。</w:t>
            </w:r>
          </w:p>
        </w:tc>
      </w:tr>
      <w:tr w14:paraId="44FB21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C234A01">
            <w:r>
              <w:rPr>
                <w:b/>
              </w:rPr>
              <w:t>安全联锁报警</w:t>
            </w:r>
          </w:p>
        </w:tc>
        <w:tc>
          <w:tcPr>
            <w:tcW w:w="0" w:type="auto"/>
            <w:vAlign w:val="center"/>
          </w:tcPr>
          <w:p w14:paraId="5C27E093">
            <w:r>
              <w:t>防护门未关紧、剂量超标、急停按钮误触发</w:t>
            </w:r>
          </w:p>
        </w:tc>
        <w:tc>
          <w:tcPr>
            <w:tcW w:w="0" w:type="auto"/>
            <w:vAlign w:val="center"/>
          </w:tcPr>
          <w:p w14:paraId="63B4B513">
            <w:r>
              <w:t>检查门体密封、排查射线泄漏点（如铅板破损）、复位急停电路。</w:t>
            </w:r>
          </w:p>
        </w:tc>
      </w:tr>
    </w:tbl>
    <w:p w14:paraId="0AF2A27B">
      <w:pPr>
        <w:pStyle w:val="6"/>
      </w:pPr>
      <w:r>
        <w:rPr>
          <w:b/>
        </w:rPr>
        <w:t>总结</w:t>
      </w:r>
    </w:p>
    <w:p w14:paraId="00B43DCE">
      <w:r>
        <w:t>工业X光检测系统通过**“射线发生-穿透-探测-分析”**流程，实现对工件内部质量的无损检测，广泛应用于汽车、航空航天、电子等领域[^2][^4]。设备工程师需熟悉其机械结构与控制逻辑，通过定期维护（如射线源校准、探测器清洁）和故障排查，确保系统稳定运行，为生产线提供可靠的质量保障。</w:t>
      </w:r>
    </w:p>
    <w:p w14:paraId="46D4459F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sect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altName w:val="Noto Sans Mono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Noto Sans Mono">
    <w:panose1 w:val="020B0509040504020204"/>
    <w:charset w:val="00"/>
    <w:family w:val="auto"/>
    <w:pitch w:val="default"/>
    <w:sig w:usb0="E00002FF" w:usb1="400038DF" w:usb2="08000029" w:usb3="001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779F3"/>
    <w:multiLevelType w:val="multilevel"/>
    <w:tmpl w:val="FFF779F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FFFC521A"/>
    <w:multiLevelType w:val="multilevel"/>
    <w:tmpl w:val="FFFC521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SimHei" w:hAnsi="SimHei" w:eastAsia="SimHei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SimHei" w:hAnsi="SimHei" w:eastAsia="SimHei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SimHei" w:hAnsi="SimHei" w:eastAsia="SimHei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SimHei" w:hAnsi="SimHei" w:eastAsia="SimHei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SimHei" w:hAnsi="SimHei" w:eastAsia="SimHei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3">
    <w:nsid w:val="7FFB3773"/>
    <w:multiLevelType w:val="multilevel"/>
    <w:tmpl w:val="7FFB377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05539A0"/>
    <w:rsid w:val="01787946"/>
    <w:rsid w:val="06D7100B"/>
    <w:rsid w:val="06FC22B9"/>
    <w:rsid w:val="0AE0655C"/>
    <w:rsid w:val="0DB8556E"/>
    <w:rsid w:val="15B64A89"/>
    <w:rsid w:val="17872A04"/>
    <w:rsid w:val="17DFC7E3"/>
    <w:rsid w:val="1A5F56EF"/>
    <w:rsid w:val="1DE33F41"/>
    <w:rsid w:val="1F070103"/>
    <w:rsid w:val="259C15A5"/>
    <w:rsid w:val="27CD64A0"/>
    <w:rsid w:val="31C37EBA"/>
    <w:rsid w:val="37050677"/>
    <w:rsid w:val="38D330D8"/>
    <w:rsid w:val="3C2123AD"/>
    <w:rsid w:val="3FEA17AB"/>
    <w:rsid w:val="410B542B"/>
    <w:rsid w:val="427B35B9"/>
    <w:rsid w:val="435B43F6"/>
    <w:rsid w:val="45B00A41"/>
    <w:rsid w:val="4BDA60D4"/>
    <w:rsid w:val="4C934C01"/>
    <w:rsid w:val="4FD75668"/>
    <w:rsid w:val="504F35C5"/>
    <w:rsid w:val="51FD2B1C"/>
    <w:rsid w:val="5426635A"/>
    <w:rsid w:val="545D5AF4"/>
    <w:rsid w:val="54902503"/>
    <w:rsid w:val="55426F5C"/>
    <w:rsid w:val="56D71B8E"/>
    <w:rsid w:val="57FDFC56"/>
    <w:rsid w:val="585D4798"/>
    <w:rsid w:val="5C0056E3"/>
    <w:rsid w:val="608E59B3"/>
    <w:rsid w:val="61D75138"/>
    <w:rsid w:val="6401649C"/>
    <w:rsid w:val="653F53AC"/>
    <w:rsid w:val="65907A54"/>
    <w:rsid w:val="666F1DE3"/>
    <w:rsid w:val="6A2D474B"/>
    <w:rsid w:val="6C2E1DF8"/>
    <w:rsid w:val="6CFD7AE5"/>
    <w:rsid w:val="6D877A12"/>
    <w:rsid w:val="7EEB2912"/>
    <w:rsid w:val="7EEC216D"/>
    <w:rsid w:val="8FE9B568"/>
    <w:rsid w:val="E469114B"/>
    <w:rsid w:val="FF38D3B7"/>
    <w:rsid w:val="FFF38B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  <w:ind w:firstLine="560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0"/>
      </w:numPr>
      <w:tabs>
        <w:tab w:val="left" w:pos="0"/>
      </w:tabs>
      <w:spacing w:before="480" w:after="0"/>
      <w:jc w:val="center"/>
      <w:outlineLvl w:val="0"/>
    </w:pPr>
    <w:rPr>
      <w:rFonts w:cstheme="majorBidi"/>
      <w:b/>
      <w:bCs/>
      <w:color w:val="auto"/>
      <w:sz w:val="32"/>
      <w:szCs w:val="32"/>
    </w:rPr>
  </w:style>
  <w:style w:type="paragraph" w:styleId="4">
    <w:name w:val="heading 2"/>
    <w:next w:val="3"/>
    <w:unhideWhenUsed/>
    <w:qFormat/>
    <w:uiPriority w:val="9"/>
    <w:pPr>
      <w:keepNext/>
      <w:keepLines/>
      <w:numPr>
        <w:ilvl w:val="1"/>
        <w:numId w:val="0"/>
      </w:numPr>
      <w:tabs>
        <w:tab w:val="left" w:pos="0"/>
      </w:tabs>
      <w:spacing w:after="0"/>
      <w:outlineLvl w:val="1"/>
    </w:pPr>
    <w:rPr>
      <w:rFonts w:ascii="Times New Roman" w:hAnsi="Times New Roman" w:eastAsia="宋体" w:cstheme="majorBidi"/>
      <w:b/>
      <w:bCs/>
      <w:color w:val="auto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numPr>
        <w:ilvl w:val="2"/>
        <w:numId w:val="0"/>
      </w:numPr>
      <w:tabs>
        <w:tab w:val="left" w:pos="0"/>
      </w:tabs>
      <w:spacing w:before="200" w:after="0"/>
      <w:ind w:firstLine="0"/>
      <w:outlineLvl w:val="2"/>
    </w:pPr>
    <w:rPr>
      <w:rFonts w:ascii="微软雅黑" w:hAnsi="微软雅黑" w:eastAsia="微软雅黑" w:cstheme="majorBidi"/>
      <w:b/>
      <w:bCs/>
      <w:color w:val="auto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numPr>
        <w:ilvl w:val="3"/>
        <w:numId w:val="0"/>
      </w:numPr>
      <w:tabs>
        <w:tab w:val="left" w:pos="0"/>
      </w:tabs>
      <w:spacing w:before="200" w:after="0"/>
      <w:ind w:firstLine="402"/>
      <w:outlineLvl w:val="3"/>
    </w:pPr>
    <w:rPr>
      <w:rFonts w:ascii="微软雅黑" w:hAnsi="微软雅黑" w:eastAsia="微软雅黑" w:cstheme="majorBidi"/>
      <w:bCs/>
      <w:i/>
      <w:color w:val="auto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微软雅黑" w:hAnsi="微软雅黑" w:eastAsia="微软雅黑" w:cstheme="majorBidi"/>
      <w:b/>
      <w:bCs/>
      <w:color w:val="auto"/>
      <w:sz w:val="36"/>
      <w:szCs w:val="36"/>
    </w:rPr>
  </w:style>
  <w:style w:type="paragraph" w:styleId="17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18">
    <w:name w:val="Normal (Web)"/>
    <w:basedOn w:val="1"/>
    <w:next w:val="1"/>
    <w:qFormat/>
    <w:uiPriority w:val="0"/>
    <w:pPr>
      <w:spacing w:before="-2147483648" w:beforeAutospacing="1" w:after="-2147483648" w:afterAutospacing="1"/>
    </w:pPr>
    <w:rPr>
      <w:rFonts w:cs="微软雅黑"/>
      <w:lang w:eastAsia="zh-CN" w:bidi="ar"/>
      <w:woUserID w:val="1"/>
    </w:rPr>
  </w:style>
  <w:style w:type="character" w:styleId="21">
    <w:name w:val="Hyperlink"/>
    <w:basedOn w:val="22"/>
    <w:qFormat/>
    <w:uiPriority w:val="0"/>
    <w:rPr>
      <w:color w:val="0070C0"/>
      <w:u w:val="single"/>
    </w:rPr>
  </w:style>
  <w:style w:type="character" w:customStyle="1" w:styleId="22">
    <w:name w:val="Body Text Char"/>
    <w:basedOn w:val="20"/>
    <w:link w:val="3"/>
    <w:qFormat/>
    <w:uiPriority w:val="0"/>
    <w:rPr>
      <w:rFonts w:ascii="微软雅黑" w:hAnsi="微软雅黑" w:eastAsia="微软雅黑"/>
    </w:rPr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  <w:pPr>
      <w:ind w:firstLine="720" w:firstLineChars="200"/>
      <w:jc w:val="both"/>
    </w:pPr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27">
    <w:name w:val="Abstract Title"/>
    <w:basedOn w:val="1"/>
    <w:next w:val="28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paragraph" w:customStyle="1" w:styleId="30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33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34">
    <w:name w:val="Table Caption"/>
    <w:basedOn w:val="12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35">
    <w:name w:val="Image Caption"/>
    <w:basedOn w:val="12"/>
    <w:qFormat/>
    <w:uiPriority w:val="0"/>
    <w:rPr>
      <w:rFonts w:ascii="微软雅黑" w:hAnsi="微软雅黑" w:eastAsia="微软雅黑"/>
    </w:rPr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2"/>
    <w:qFormat/>
    <w:uiPriority w:val="0"/>
    <w:rPr>
      <w:rFonts w:ascii="Consolas" w:hAnsi="Consolas"/>
      <w:sz w:val="22"/>
    </w:rPr>
  </w:style>
  <w:style w:type="character" w:customStyle="1" w:styleId="39">
    <w:name w:val="Section Number"/>
    <w:basedOn w:val="22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paragraph" w:customStyle="1" w:styleId="41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42">
    <w:name w:val="KeywordTok"/>
    <w:qFormat/>
    <w:uiPriority w:val="0"/>
    <w:rPr>
      <w:b/>
      <w:color w:val="007020"/>
    </w:rPr>
  </w:style>
  <w:style w:type="character" w:customStyle="1" w:styleId="43">
    <w:name w:val="DataTypeTok"/>
    <w:qFormat/>
    <w:uiPriority w:val="0"/>
    <w:rPr>
      <w:color w:val="902000"/>
    </w:rPr>
  </w:style>
  <w:style w:type="character" w:customStyle="1" w:styleId="44">
    <w:name w:val="DecValTok"/>
    <w:qFormat/>
    <w:uiPriority w:val="0"/>
    <w:rPr>
      <w:color w:val="40A070"/>
    </w:rPr>
  </w:style>
  <w:style w:type="character" w:customStyle="1" w:styleId="45">
    <w:name w:val="BaseNTok"/>
    <w:qFormat/>
    <w:uiPriority w:val="0"/>
    <w:rPr>
      <w:color w:val="40A070"/>
    </w:rPr>
  </w:style>
  <w:style w:type="character" w:customStyle="1" w:styleId="46">
    <w:name w:val="FloatTok"/>
    <w:qFormat/>
    <w:uiPriority w:val="0"/>
    <w:rPr>
      <w:color w:val="40A070"/>
    </w:rPr>
  </w:style>
  <w:style w:type="character" w:customStyle="1" w:styleId="47">
    <w:name w:val="ConstantTok"/>
    <w:qFormat/>
    <w:uiPriority w:val="0"/>
    <w:rPr>
      <w:color w:val="880000"/>
    </w:rPr>
  </w:style>
  <w:style w:type="character" w:customStyle="1" w:styleId="48">
    <w:name w:val="CharTok"/>
    <w:qFormat/>
    <w:uiPriority w:val="0"/>
    <w:rPr>
      <w:color w:val="4070A0"/>
    </w:rPr>
  </w:style>
  <w:style w:type="character" w:customStyle="1" w:styleId="49">
    <w:name w:val="SpecialCharTok"/>
    <w:qFormat/>
    <w:uiPriority w:val="0"/>
    <w:rPr>
      <w:color w:val="4070A0"/>
    </w:rPr>
  </w:style>
  <w:style w:type="character" w:customStyle="1" w:styleId="50">
    <w:name w:val="StringTok"/>
    <w:qFormat/>
    <w:uiPriority w:val="0"/>
    <w:rPr>
      <w:color w:val="4070A0"/>
    </w:rPr>
  </w:style>
  <w:style w:type="character" w:customStyle="1" w:styleId="51">
    <w:name w:val="VerbatimStringTok"/>
    <w:qFormat/>
    <w:uiPriority w:val="0"/>
    <w:rPr>
      <w:color w:val="4070A0"/>
    </w:rPr>
  </w:style>
  <w:style w:type="character" w:customStyle="1" w:styleId="52">
    <w:name w:val="SpecialStringTok"/>
    <w:qFormat/>
    <w:uiPriority w:val="0"/>
    <w:rPr>
      <w:color w:val="BB6688"/>
    </w:rPr>
  </w:style>
  <w:style w:type="character" w:customStyle="1" w:styleId="53">
    <w:name w:val="ImportTok"/>
    <w:qFormat/>
    <w:uiPriority w:val="0"/>
    <w:rPr>
      <w:b/>
      <w:color w:val="008000"/>
    </w:rPr>
  </w:style>
  <w:style w:type="character" w:customStyle="1" w:styleId="54">
    <w:name w:val="CommentTok"/>
    <w:qFormat/>
    <w:uiPriority w:val="0"/>
    <w:rPr>
      <w:i/>
      <w:color w:val="60A0B0"/>
    </w:rPr>
  </w:style>
  <w:style w:type="character" w:customStyle="1" w:styleId="55">
    <w:name w:val="DocumentationTok"/>
    <w:qFormat/>
    <w:uiPriority w:val="0"/>
    <w:rPr>
      <w:i/>
      <w:color w:val="BA2121"/>
    </w:rPr>
  </w:style>
  <w:style w:type="character" w:customStyle="1" w:styleId="56">
    <w:name w:val="AnnotationTok"/>
    <w:qFormat/>
    <w:uiPriority w:val="0"/>
    <w:rPr>
      <w:b/>
      <w:i/>
      <w:color w:val="60A0B0"/>
    </w:rPr>
  </w:style>
  <w:style w:type="character" w:customStyle="1" w:styleId="57">
    <w:name w:val="CommentVarTok"/>
    <w:qFormat/>
    <w:uiPriority w:val="0"/>
    <w:rPr>
      <w:b/>
      <w:i/>
      <w:color w:val="60A0B0"/>
    </w:rPr>
  </w:style>
  <w:style w:type="character" w:customStyle="1" w:styleId="58">
    <w:name w:val="OtherTok"/>
    <w:qFormat/>
    <w:uiPriority w:val="0"/>
    <w:rPr>
      <w:color w:val="007020"/>
    </w:rPr>
  </w:style>
  <w:style w:type="character" w:customStyle="1" w:styleId="59">
    <w:name w:val="FunctionTok"/>
    <w:qFormat/>
    <w:uiPriority w:val="0"/>
    <w:rPr>
      <w:color w:val="06287E"/>
    </w:rPr>
  </w:style>
  <w:style w:type="character" w:customStyle="1" w:styleId="60">
    <w:name w:val="VariableTok"/>
    <w:qFormat/>
    <w:uiPriority w:val="0"/>
    <w:rPr>
      <w:color w:val="19177C"/>
    </w:rPr>
  </w:style>
  <w:style w:type="character" w:customStyle="1" w:styleId="61">
    <w:name w:val="ControlFlowTok"/>
    <w:qFormat/>
    <w:uiPriority w:val="0"/>
    <w:rPr>
      <w:b/>
      <w:color w:val="007020"/>
    </w:rPr>
  </w:style>
  <w:style w:type="character" w:customStyle="1" w:styleId="62">
    <w:name w:val="OperatorTok"/>
    <w:qFormat/>
    <w:uiPriority w:val="0"/>
    <w:rPr>
      <w:color w:val="666666"/>
    </w:rPr>
  </w:style>
  <w:style w:type="character" w:customStyle="1" w:styleId="63">
    <w:name w:val="BuiltInTok"/>
    <w:qFormat/>
    <w:uiPriority w:val="0"/>
    <w:rPr>
      <w:color w:val="008000"/>
    </w:rPr>
  </w:style>
  <w:style w:type="character" w:customStyle="1" w:styleId="64">
    <w:name w:val="ExtensionTok"/>
    <w:qFormat/>
    <w:uiPriority w:val="0"/>
  </w:style>
  <w:style w:type="character" w:customStyle="1" w:styleId="65">
    <w:name w:val="PreprocessorTok"/>
    <w:qFormat/>
    <w:uiPriority w:val="0"/>
    <w:rPr>
      <w:color w:val="BC7A00"/>
    </w:rPr>
  </w:style>
  <w:style w:type="character" w:customStyle="1" w:styleId="66">
    <w:name w:val="AttributeTok"/>
    <w:qFormat/>
    <w:uiPriority w:val="0"/>
    <w:rPr>
      <w:color w:val="7D9029"/>
    </w:rPr>
  </w:style>
  <w:style w:type="character" w:customStyle="1" w:styleId="67">
    <w:name w:val="RegionMarkerTok"/>
    <w:qFormat/>
    <w:uiPriority w:val="0"/>
  </w:style>
  <w:style w:type="character" w:customStyle="1" w:styleId="68">
    <w:name w:val="InformationTok"/>
    <w:qFormat/>
    <w:uiPriority w:val="0"/>
    <w:rPr>
      <w:b/>
      <w:i/>
      <w:color w:val="60A0B0"/>
    </w:rPr>
  </w:style>
  <w:style w:type="character" w:customStyle="1" w:styleId="69">
    <w:name w:val="WarningTok"/>
    <w:qFormat/>
    <w:uiPriority w:val="0"/>
    <w:rPr>
      <w:b/>
      <w:i/>
      <w:color w:val="60A0B0"/>
    </w:rPr>
  </w:style>
  <w:style w:type="character" w:customStyle="1" w:styleId="70">
    <w:name w:val="AlertTok"/>
    <w:qFormat/>
    <w:uiPriority w:val="0"/>
    <w:rPr>
      <w:b/>
      <w:color w:val="FF0000"/>
    </w:rPr>
  </w:style>
  <w:style w:type="character" w:customStyle="1" w:styleId="71">
    <w:name w:val="ErrorTok"/>
    <w:qFormat/>
    <w:uiPriority w:val="0"/>
    <w:rPr>
      <w:b/>
      <w:color w:val="FF0000"/>
    </w:rPr>
  </w:style>
  <w:style w:type="character" w:customStyle="1" w:styleId="72">
    <w:name w:val="NormalTok"/>
    <w:qFormat/>
    <w:uiPriority w:val="0"/>
  </w:style>
  <w:style w:type="character" w:customStyle="1" w:styleId="73">
    <w:name w:val="10"/>
    <w:basedOn w:val="20"/>
    <w:uiPriority w:val="0"/>
    <w:rPr>
      <w:rFonts w:hint="default" w:ascii="Times New Roman" w:hAnsi="Times New Roman" w:cs="Times New Roman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3682</Words>
  <Characters>3780</Characters>
  <Lines>1</Lines>
  <Paragraphs>1</Paragraphs>
  <TotalTime>81</TotalTime>
  <ScaleCrop>false</ScaleCrop>
  <LinksUpToDate>false</LinksUpToDate>
  <CharactersWithSpaces>3780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2024-11-14T15:05:00Z</dcterms:created>
  <dc:creator>bowen</dc:creator>
  <cp:lastModifiedBy>伍冠任</cp:lastModifiedBy>
  <dcterms:modified xsi:type="dcterms:W3CDTF">2025-09-29T23:45:01Z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ADF0A9892D31523E7DA9DA68772E72AD_43</vt:lpwstr>
  </property>
</Properties>
</file>