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E01626">
      <w:pPr>
        <w:pStyle w:val="2"/>
      </w:pPr>
    </w:p>
    <w:p w14:paraId="1642F8AB">
      <w:pPr>
        <w:pStyle w:val="2"/>
      </w:pPr>
      <w:r>
        <w:t>干变浇注车间X光检测系统技术手册</w:t>
      </w:r>
    </w:p>
    <w:p w14:paraId="0C46F3BE">
      <w:pPr>
        <w:pStyle w:val="3"/>
      </w:pPr>
      <w:r>
        <w:t>一、系统概述</w:t>
      </w:r>
    </w:p>
    <w:p w14:paraId="742A6A35">
      <w:pPr>
        <w:pStyle w:val="4"/>
      </w:pPr>
      <w:r>
        <w:t>1.1 系统用途与工作原理简介</w:t>
      </w:r>
    </w:p>
    <w:p w14:paraId="6C83BC07">
      <w:r>
        <w:t>干变浇注车间X光检测系统是应用于干式变压器环氧浇注件质量控制的非破坏性检测设备，核心功能是通过X射线成像技术实现对浇注件内部结构的可视化检测，精准识别气泡、裂纹、夹杂等潜在缺陷，为产品质量评估提供客观依据。其工作原理基于X射线穿透特性与物质密度差异：X射线源产生的高能射线束穿透被测浇注件时，内部不同密度的结构（如环氧树脂基体、气泡、金属杂质）对射线的吸收能力不同，形成携带内部结构信息的衰减信号；光子计数探测器将穿透后的射线信号转换为电信号，经信号处理系统通过VoidInspect气泡分析算法和eHDR高动态范围成像技术处理后，重建出清晰的二维或三维图像；系统通过分析图像灰度分布与结构特征，自动判定缺陷类型、尺寸及分布，最终生成检测报告。该流程实现了从射线发射、信号采集到缺陷识别的全自动化，避免了传统破坏性检测对工件的损坏，显著提升了干式变压器浇注工艺的质量控制水平。</w:t>
      </w:r>
    </w:p>
    <w:p w14:paraId="5D14410D">
      <w:pPr>
        <w:pStyle w:val="4"/>
      </w:pPr>
      <w:r>
        <w:t>1.2 系统主要技术特点</w:t>
      </w:r>
    </w:p>
    <w:p w14:paraId="454FA5D7">
      <w:r>
        <w:t>本系统采用专业化设计，具备以下核心技术特点：一是高分辨率成像能力，配备300万像素CdTe/CZT平板探测器，空间分辨率达2.5Lp/mm，可实现0.35μm亚微米级缺陷识别，满足微小气泡（直径≥5μm）和微裂纹的检测需求；二是自动化检测流程，集成多轴伺服驱动运动系统与激光定位技术，支持70°倾斜视图和360°旋转扫描，配合自动送料机构实现工件从上料到分拣的全流程无人化操作；三是先进图像算法，搭载VoidInspect气泡分析算法和三维CT重建技术，可自动计算气泡体积、分布密度及裂纹长度，支持与标准CAD模型对比分析，提升缺陷判定准确性；四是紧凑结构设计，如Y.cougar系统占地面积仅1平方米，集成动态增强过滤技术，适应车间狭小空间安装需求；五是高穿透能力，采用160KV封闭穿透式X光管，穿透能力相当于350mm钢，可满足10～35kV级干式变压器线圈等大型浇注件的检测需求。与传统超声检测相比，该系统具有检测效率高（单件检测时间≤3分钟）、缺陷定位精准（空间定位误差≤±0.02mm）、检测结果可视化强等显著优势。</w:t>
      </w:r>
    </w:p>
    <w:p w14:paraId="7D2756A2">
      <w:pPr>
        <w:pStyle w:val="4"/>
      </w:pPr>
      <w:r>
        <w:t>1.3 手册使用说明</w:t>
      </w:r>
    </w:p>
    <w:p w14:paraId="135C830E">
      <w:r>
        <w:t>本手册主要面向设备工程师、技术维护人员及系统操作人员，旨在提供全面的技术指导。日常操作场景中，操作人员可通过“操作与校准规程”章节（第六章）掌握开机流程、参数设置及典型工件检测步骤；设备维护人员可参考“维护保养规范”章节（第八章）制定日常检查与定期维护计划，确保系统稳定运行；故障排查时，“常见故障诊断与处理”章节（第七章）提供了机械、电气、软件等系统故障的现象描述、成因分析及处理对策，可通过故障现象索引快速定位解决方案。各章节核心内容如下：第二章“系统结构组成”详解核心部件与辅助部件的功能及技术参数；第三章“设备功能与应用场景”明确系统适用范围与典型检测任务；第四章“机械工作原理”与第五章“控制系统原理”从理论层面解析设备运行机制；第九章“安全操作与防护”强调辐射防护、电气安全等注意事项。建议读者在使用本手册时，结合具体操作需求重点查阅相关章节，必要时可通过章节间交叉引用（如故障处理中涉及的机械结构原理可参见第四章）深入理解系统特性。</w:t>
      </w:r>
    </w:p>
    <w:p w14:paraId="19E96B99">
      <w:pPr>
        <w:pStyle w:val="3"/>
      </w:pPr>
      <w:r>
        <w:t>二、系统结构组成</w:t>
      </w:r>
    </w:p>
    <w:p w14:paraId="6AC80829">
      <w:pPr>
        <w:pStyle w:val="4"/>
      </w:pPr>
      <w:r>
        <w:t>2.1 核心检测部件</w:t>
      </w:r>
    </w:p>
    <w:p w14:paraId="17206436">
      <w:r>
        <w:t>X射线源是系统的能量发射核心，采用160KV封闭穿透式X光管技术，如Y.cougar系统配备的专用射线源，通过高压发生器提供稳定的管电压（0～160kV可调）和管电流（0～5mA可调），产生连续谱X射线。其工作原理为：灯丝加热产生电子云，在高压电场作用下高速撞击金属靶面（钨靶），通过轫致辐射产生X射线；靶面冷却采用强制风冷设计，确保连续曝光时靶面温度不超过350℃，延长使用寿命（典型工业管寿命约5000～8000次曝光）。</w:t>
      </w:r>
    </w:p>
    <w:p w14:paraId="543FD454">
      <w:r>
        <w:t>光子计数探测器采用CdTe或CZT半导体材料，300万像素平板探测器设计，有效探测面积200mm×200mm，像素尺寸75μm×75μm。其功能是将穿透浇注件的X射线光子转换为电信号，通过积分放大电路和A/D转换器输出数字图像信号。探测器前端集成0.1mm厚铍窗，降低低能射线吸收，提升对微小缺陷的灵敏度；后端配备四端口存储器，提供14Gb/s数据带宽，支持30帧/秒的实时图像采集。</w:t>
      </w:r>
    </w:p>
    <w:p w14:paraId="4E5510CC">
      <w:r>
        <w:t>信号处理与图像重建系统是数据处理中枢，硬件上由FPGA和DSP芯片组成：FPGA负责逻辑控制和数据预处理（如坏点校正、暗场校正），DSP运行图像算法（VoidInspect气泡分析算法、eHDR技术）。VoidInspect算法通过灰度阈值分割与区域生长法识别气泡区域，自动计算气泡直径、数量及体积占比；eHDR技术通过多曝光融合提升图像动态范围，使同一幅图像中同时清晰显示高密度金属部件与低密度气泡。系统支持二维图像拼接与三维CT重建，三维重建采用滤波反投影算法，层厚可达0.1mm，实现缺陷的空间定位与形态分析。</w:t>
      </w:r>
    </w:p>
    <w:p w14:paraId="55A9816B">
      <w:pPr>
        <w:pStyle w:val="4"/>
      </w:pPr>
      <w:r>
        <w:t>2.2 机械结构部件</w:t>
      </w:r>
    </w:p>
    <w:p w14:paraId="68B1E163">
      <w:r>
        <w:t>运动机构采用多轴伺服驱动系统，包含X、Y、Z线性轴与旋转轴（θ轴），实现工件与探测器的相对运动。X/Y轴采用精密滚珠丝杠传动，伺服电机通过减速器驱动，重复定位精度±0.02mm，最大移动速度50mm/s；Z轴用于调节探测器与工件距离，实现放大倍率控制（最大放大倍率45,000倍）；θ轴为旋转工作台，承载工件实现360°连续旋转，角度定位精度±0.05°，满足多角度扫描需求。各轴均配备光栅尺（分辨率0.5μm）和限位开关，形成闭环控制，确保运动平稳性与位置准确性。</w:t>
      </w:r>
    </w:p>
    <w:p w14:paraId="06E43C33">
      <w:r>
        <w:t>定位系统采用“硬件检测+算法补偿”双重机制，硬件上集成激光干涉仪与3D视觉引导模块：激光干涉仪实时监测X/Y轴位移误差，采样频率1kHz，动态误差补偿精度可达±0.003mm；3D视觉引导通过结构光扫描工件表面生成三维点云，与CAD模型比对实现工件姿态校准，对准误差≤0.1mm。算法层面搭载6D位姿估计算法，可在工件存在倾斜、偏移时实时调整运动参数，确保检测区域始终位于视场中心，尤其适用于不规则形状浇注件的检测。</w:t>
      </w:r>
    </w:p>
    <w:p w14:paraId="7AD7B662">
      <w:r>
        <w:t>载物台为工件承载核心部件，采用高强度铝合金铸造而成，表面经硬质阳极氧化处理，平面度误差≤0.05mm/m²，承重能力≥5000KG，适配SCB10系列干式变压器浇注件（最大重量约4200KG）。台面集成气动夹紧装置，通过4组可调夹具实现不同规格工件的快速固定；底部安装空气弹簧减震模块，共振频率控制在2Hz以下，有效吸收车间地面振动对检测精度的影响。台面边缘设置T型槽，便于工装夹具的灵活安装与定位。</w:t>
      </w:r>
    </w:p>
    <w:p w14:paraId="1E53D2A7">
      <w:pPr>
        <w:pStyle w:val="4"/>
      </w:pPr>
      <w:r>
        <w:t>2.3 辅助功能部件</w:t>
      </w:r>
    </w:p>
    <w:p w14:paraId="19E9DD1D">
      <w:r>
        <w:t>防护装置是系统安全运行的关键，主要由铅防护屏蔽、安全联锁系统和辐射监测仪组成。铅防护屏蔽采用2mm厚铅板构建检测舱体，射线泄漏剂量控制在距设备表面50cm处≤0.5μSv/h，符合GBZ 117-2015《X射线行李包检查系统卫生防护标准》要求；安全联锁系统包含舱门机械锁、红外光幕和急停按钮，当舱门未关闭或有人进入检测区域时，联锁信号触发X射线源紧急关闭；辐射监测仪实时监测工作环境辐射水平，超出阈值（≥1μSv/h）时发出声光报警，并自动切断高压电源。</w:t>
      </w:r>
    </w:p>
    <w:p w14:paraId="4AE1F80D">
      <w:r>
        <w:t>冷却系统分为X射线源冷却与探测器冷却两部分：X射线源采用强制风冷，轴流风扇风量≥150m³/h，通过散热鳍片将靶面热量导出；探测器冷却采用半导体制冷，控温精度±0.5℃，确保CdTe晶体工作温度稳定在25℃，避免温度漂移导致的探测灵敏度变化。冷却系统配备流量开关与温度传感器，当冷却不足时（如风扇故障、制冷量下降），系统触发保护停机，防止核心部件过热损坏。</w:t>
      </w:r>
    </w:p>
    <w:p w14:paraId="0D263B7B">
      <w:r>
        <w:t>送料机构实现工件的自动输送，由入口辊道、定位工装和出口分拣装置组成。入口辊道采用变频调速，输送速度0.5～2m/min可调，辊道间距300mm，适应不同长度工件；定位工装通过光电传感器检测工件到位信号，气动推板将工件居中对齐，定位误差≤0.5mm；出口分拣装置根据检测结果（合格/不合格），通过气缸驱动推杆将不合格品推至废料通道，分拣响应时间＜1s，确保检测节拍与生产线匹配。</w:t>
      </w:r>
    </w:p>
    <w:p w14:paraId="7414C7AB">
      <w:pPr>
        <w:pStyle w:val="4"/>
      </w:pPr>
      <w:r>
        <w:t>2.4 系统技术参数汇总</w:t>
      </w:r>
    </w:p>
    <w:tbl>
      <w:tblPr>
        <w:tblStyle w:val="50"/>
        <w:tblW w:w="0" w:type="auto"/>
        <w:tblInd w:w="0" w:type="dxa"/>
        <w:tblLayout w:type="fixed"/>
        <w:tblCellMar>
          <w:top w:w="0" w:type="dxa"/>
          <w:left w:w="0" w:type="dxa"/>
          <w:bottom w:w="0" w:type="dxa"/>
          <w:right w:w="0" w:type="dxa"/>
        </w:tblCellMar>
      </w:tblPr>
      <w:tblGrid>
        <w:gridCol w:w="2880"/>
        <w:gridCol w:w="2880"/>
        <w:gridCol w:w="2880"/>
      </w:tblGrid>
      <w:tr w14:paraId="3DBEA3B1">
        <w:tblPrEx>
          <w:tblCellMar>
            <w:top w:w="0" w:type="dxa"/>
            <w:left w:w="0" w:type="dxa"/>
            <w:bottom w:w="0" w:type="dxa"/>
            <w:right w:w="0" w:type="dxa"/>
          </w:tblCellMar>
        </w:tblPrEx>
        <w:tc>
          <w:tcPr>
            <w:tcW w:w="0" w:type="auto"/>
            <w:vAlign w:val="center"/>
          </w:tcPr>
          <w:p w14:paraId="1F960E08">
            <w:pPr>
              <w:jc w:val="center"/>
              <w:rPr>
                <w:b/>
              </w:rPr>
            </w:pPr>
            <w:r>
              <w:rPr>
                <w:b/>
              </w:rPr>
              <w:t>参数类别</w:t>
            </w:r>
          </w:p>
        </w:tc>
        <w:tc>
          <w:tcPr>
            <w:tcW w:w="0" w:type="auto"/>
            <w:vAlign w:val="center"/>
          </w:tcPr>
          <w:p w14:paraId="033D0B0A">
            <w:pPr>
              <w:jc w:val="center"/>
              <w:rPr>
                <w:b/>
              </w:rPr>
            </w:pPr>
            <w:r>
              <w:rPr>
                <w:b/>
              </w:rPr>
              <w:t>具体参数</w:t>
            </w:r>
          </w:p>
        </w:tc>
        <w:tc>
          <w:tcPr>
            <w:tcW w:w="0" w:type="auto"/>
            <w:vAlign w:val="center"/>
          </w:tcPr>
          <w:p w14:paraId="34215473">
            <w:pPr>
              <w:jc w:val="center"/>
              <w:rPr>
                <w:b/>
              </w:rPr>
            </w:pPr>
            <w:r>
              <w:rPr>
                <w:b/>
              </w:rPr>
              <w:t>测试条件</w:t>
            </w:r>
          </w:p>
        </w:tc>
      </w:tr>
      <w:tr w14:paraId="1CB308DF">
        <w:tblPrEx>
          <w:tblCellMar>
            <w:top w:w="0" w:type="dxa"/>
            <w:left w:w="0" w:type="dxa"/>
            <w:bottom w:w="0" w:type="dxa"/>
            <w:right w:w="0" w:type="dxa"/>
          </w:tblCellMar>
        </w:tblPrEx>
        <w:tc>
          <w:tcPr>
            <w:tcW w:w="0" w:type="auto"/>
            <w:vAlign w:val="center"/>
          </w:tcPr>
          <w:p w14:paraId="5BE068B4">
            <w:r>
              <w:t>检测性能</w:t>
            </w:r>
          </w:p>
        </w:tc>
        <w:tc>
          <w:tcPr>
            <w:tcW w:w="0" w:type="auto"/>
            <w:vAlign w:val="center"/>
          </w:tcPr>
          <w:p w14:paraId="0223FBBA">
            <w:r>
              <w:t>空间分辨率：2.5Lp/mm</w:t>
            </w:r>
          </w:p>
        </w:tc>
        <w:tc>
          <w:tcPr>
            <w:tcW w:w="0" w:type="auto"/>
            <w:vAlign w:val="center"/>
          </w:tcPr>
          <w:p w14:paraId="3249593C">
            <w:r>
              <w:t>使用19线对测试卡，曝光时间1s</w:t>
            </w:r>
          </w:p>
        </w:tc>
      </w:tr>
      <w:tr w14:paraId="2CA687DA">
        <w:tblPrEx>
          <w:tblCellMar>
            <w:top w:w="0" w:type="dxa"/>
            <w:left w:w="0" w:type="dxa"/>
            <w:bottom w:w="0" w:type="dxa"/>
            <w:right w:w="0" w:type="dxa"/>
          </w:tblCellMar>
        </w:tblPrEx>
        <w:tc>
          <w:tcPr>
            <w:tcW w:w="0" w:type="auto"/>
            <w:vAlign w:val="center"/>
          </w:tcPr>
          <w:p w14:paraId="61A83EBA"/>
        </w:tc>
        <w:tc>
          <w:tcPr>
            <w:tcW w:w="0" w:type="auto"/>
            <w:vAlign w:val="center"/>
          </w:tcPr>
          <w:p w14:paraId="5951B54E">
            <w:r>
              <w:t>最大放大倍率：45,000倍</w:t>
            </w:r>
          </w:p>
        </w:tc>
        <w:tc>
          <w:tcPr>
            <w:tcW w:w="0" w:type="auto"/>
            <w:vAlign w:val="center"/>
          </w:tcPr>
          <w:p w14:paraId="73AE6711">
            <w:r>
              <w:t>探测器与工件距离5mm</w:t>
            </w:r>
          </w:p>
        </w:tc>
      </w:tr>
      <w:tr w14:paraId="22DCD01A">
        <w:tc>
          <w:tcPr>
            <w:tcW w:w="0" w:type="auto"/>
            <w:vAlign w:val="center"/>
          </w:tcPr>
          <w:p w14:paraId="02CDD0F5"/>
        </w:tc>
        <w:tc>
          <w:tcPr>
            <w:tcW w:w="0" w:type="auto"/>
            <w:vAlign w:val="center"/>
          </w:tcPr>
          <w:p w14:paraId="7F360793">
            <w:r>
              <w:t>穿透能力：相当于350mm钢</w:t>
            </w:r>
          </w:p>
        </w:tc>
        <w:tc>
          <w:tcPr>
            <w:tcW w:w="0" w:type="auto"/>
            <w:vAlign w:val="center"/>
          </w:tcPr>
          <w:p w14:paraId="0031D957">
            <w:r>
              <w:t>管电压160kV，管电流5mA</w:t>
            </w:r>
          </w:p>
        </w:tc>
      </w:tr>
      <w:tr w14:paraId="16A3A74B">
        <w:tblPrEx>
          <w:tblCellMar>
            <w:top w:w="0" w:type="dxa"/>
            <w:left w:w="0" w:type="dxa"/>
            <w:bottom w:w="0" w:type="dxa"/>
            <w:right w:w="0" w:type="dxa"/>
          </w:tblCellMar>
        </w:tblPrEx>
        <w:tc>
          <w:tcPr>
            <w:tcW w:w="0" w:type="auto"/>
            <w:vAlign w:val="center"/>
          </w:tcPr>
          <w:p w14:paraId="5D05F9F1"/>
        </w:tc>
        <w:tc>
          <w:tcPr>
            <w:tcW w:w="0" w:type="auto"/>
            <w:vAlign w:val="center"/>
          </w:tcPr>
          <w:p w14:paraId="4F19C577">
            <w:r>
              <w:t>缺陷检测灵敏度：最小可识别气泡直径5μm</w:t>
            </w:r>
          </w:p>
        </w:tc>
        <w:tc>
          <w:tcPr>
            <w:tcW w:w="0" w:type="auto"/>
            <w:vAlign w:val="center"/>
          </w:tcPr>
          <w:p w14:paraId="7859310F">
            <w:r>
              <w:t>环氧浇注件，密度1.2g/cm³</w:t>
            </w:r>
          </w:p>
        </w:tc>
      </w:tr>
      <w:tr w14:paraId="51F59AB3">
        <w:tblPrEx>
          <w:tblCellMar>
            <w:top w:w="0" w:type="dxa"/>
            <w:left w:w="0" w:type="dxa"/>
            <w:bottom w:w="0" w:type="dxa"/>
            <w:right w:w="0" w:type="dxa"/>
          </w:tblCellMar>
        </w:tblPrEx>
        <w:tc>
          <w:tcPr>
            <w:tcW w:w="0" w:type="auto"/>
            <w:vAlign w:val="center"/>
          </w:tcPr>
          <w:p w14:paraId="3CDB59C5">
            <w:r>
              <w:t>机械性能</w:t>
            </w:r>
          </w:p>
        </w:tc>
        <w:tc>
          <w:tcPr>
            <w:tcW w:w="0" w:type="auto"/>
            <w:vAlign w:val="center"/>
          </w:tcPr>
          <w:p w14:paraId="2EFA2F87">
            <w:r>
              <w:t>X/Y轴行程：600mm×600mm</w:t>
            </w:r>
          </w:p>
        </w:tc>
        <w:tc>
          <w:tcPr>
            <w:tcW w:w="0" w:type="auto"/>
            <w:vAlign w:val="center"/>
          </w:tcPr>
          <w:p w14:paraId="44131956">
            <w:r>
              <w:t>-</w:t>
            </w:r>
          </w:p>
        </w:tc>
      </w:tr>
      <w:tr w14:paraId="674C5F09">
        <w:tblPrEx>
          <w:tblCellMar>
            <w:top w:w="0" w:type="dxa"/>
            <w:left w:w="0" w:type="dxa"/>
            <w:bottom w:w="0" w:type="dxa"/>
            <w:right w:w="0" w:type="dxa"/>
          </w:tblCellMar>
        </w:tblPrEx>
        <w:tc>
          <w:tcPr>
            <w:tcW w:w="0" w:type="auto"/>
            <w:vAlign w:val="center"/>
          </w:tcPr>
          <w:p w14:paraId="242B63C7"/>
        </w:tc>
        <w:tc>
          <w:tcPr>
            <w:tcW w:w="0" w:type="auto"/>
            <w:vAlign w:val="center"/>
          </w:tcPr>
          <w:p w14:paraId="2AA001B5">
            <w:r>
              <w:t>重复定位精度：±0.02mm</w:t>
            </w:r>
          </w:p>
        </w:tc>
        <w:tc>
          <w:tcPr>
            <w:tcW w:w="0" w:type="auto"/>
            <w:vAlign w:val="center"/>
          </w:tcPr>
          <w:p w14:paraId="705D505D">
            <w:r>
              <w:t>全程多点测量，激光干涉仪验证</w:t>
            </w:r>
          </w:p>
        </w:tc>
      </w:tr>
      <w:tr w14:paraId="3BBCA49C">
        <w:tc>
          <w:tcPr>
            <w:tcW w:w="0" w:type="auto"/>
            <w:vAlign w:val="center"/>
          </w:tcPr>
          <w:p w14:paraId="330B3B4C"/>
        </w:tc>
        <w:tc>
          <w:tcPr>
            <w:tcW w:w="0" w:type="auto"/>
            <w:vAlign w:val="center"/>
          </w:tcPr>
          <w:p w14:paraId="397F7760">
            <w:r>
              <w:t>载物台承重：≥5000KG</w:t>
            </w:r>
          </w:p>
        </w:tc>
        <w:tc>
          <w:tcPr>
            <w:tcW w:w="0" w:type="auto"/>
            <w:vAlign w:val="center"/>
          </w:tcPr>
          <w:p w14:paraId="466EAB7A">
            <w:r>
              <w:t>均匀载荷分布</w:t>
            </w:r>
          </w:p>
        </w:tc>
      </w:tr>
      <w:tr w14:paraId="607B9A08">
        <w:tblPrEx>
          <w:tblCellMar>
            <w:top w:w="0" w:type="dxa"/>
            <w:left w:w="0" w:type="dxa"/>
            <w:bottom w:w="0" w:type="dxa"/>
            <w:right w:w="0" w:type="dxa"/>
          </w:tblCellMar>
        </w:tblPrEx>
        <w:tc>
          <w:tcPr>
            <w:tcW w:w="0" w:type="auto"/>
            <w:vAlign w:val="center"/>
          </w:tcPr>
          <w:p w14:paraId="58244C22"/>
        </w:tc>
        <w:tc>
          <w:tcPr>
            <w:tcW w:w="0" w:type="auto"/>
            <w:vAlign w:val="center"/>
          </w:tcPr>
          <w:p w14:paraId="4701AD7E">
            <w:r>
              <w:t>旋转工作台角度范围：0～360°</w:t>
            </w:r>
          </w:p>
        </w:tc>
        <w:tc>
          <w:tcPr>
            <w:tcW w:w="0" w:type="auto"/>
            <w:vAlign w:val="center"/>
          </w:tcPr>
          <w:p w14:paraId="2A2D3016">
            <w:r>
              <w:t>连续旋转模式</w:t>
            </w:r>
          </w:p>
        </w:tc>
      </w:tr>
      <w:tr w14:paraId="3124D1FB">
        <w:tblPrEx>
          <w:tblCellMar>
            <w:top w:w="0" w:type="dxa"/>
            <w:left w:w="0" w:type="dxa"/>
            <w:bottom w:w="0" w:type="dxa"/>
            <w:right w:w="0" w:type="dxa"/>
          </w:tblCellMar>
        </w:tblPrEx>
        <w:tc>
          <w:tcPr>
            <w:tcW w:w="0" w:type="auto"/>
            <w:vAlign w:val="center"/>
          </w:tcPr>
          <w:p w14:paraId="6844FE24">
            <w:r>
              <w:t>环境适应性</w:t>
            </w:r>
          </w:p>
        </w:tc>
        <w:tc>
          <w:tcPr>
            <w:tcW w:w="0" w:type="auto"/>
            <w:vAlign w:val="center"/>
          </w:tcPr>
          <w:p w14:paraId="16B8E3E4">
            <w:r>
              <w:t>工作温度：10～30℃</w:t>
            </w:r>
          </w:p>
        </w:tc>
        <w:tc>
          <w:tcPr>
            <w:tcW w:w="0" w:type="auto"/>
            <w:vAlign w:val="center"/>
          </w:tcPr>
          <w:p w14:paraId="6A6D3D6E">
            <w:r>
              <w:t>环境湿度40%～60%</w:t>
            </w:r>
          </w:p>
        </w:tc>
      </w:tr>
      <w:tr w14:paraId="2FBD0795">
        <w:tblPrEx>
          <w:tblCellMar>
            <w:top w:w="0" w:type="dxa"/>
            <w:left w:w="0" w:type="dxa"/>
            <w:bottom w:w="0" w:type="dxa"/>
            <w:right w:w="0" w:type="dxa"/>
          </w:tblCellMar>
        </w:tblPrEx>
        <w:tc>
          <w:tcPr>
            <w:tcW w:w="0" w:type="auto"/>
            <w:vAlign w:val="center"/>
          </w:tcPr>
          <w:p w14:paraId="0F04135E"/>
        </w:tc>
        <w:tc>
          <w:tcPr>
            <w:tcW w:w="0" w:type="auto"/>
            <w:vAlign w:val="center"/>
          </w:tcPr>
          <w:p w14:paraId="44D41621">
            <w:r>
              <w:t>存储温度：-20～60℃</w:t>
            </w:r>
          </w:p>
        </w:tc>
        <w:tc>
          <w:tcPr>
            <w:tcW w:w="0" w:type="auto"/>
            <w:vAlign w:val="center"/>
          </w:tcPr>
          <w:p w14:paraId="4EB5F9C1">
            <w:r>
              <w:t>无凝结水</w:t>
            </w:r>
          </w:p>
        </w:tc>
      </w:tr>
      <w:tr w14:paraId="22CAA772">
        <w:tc>
          <w:tcPr>
            <w:tcW w:w="0" w:type="auto"/>
            <w:vAlign w:val="center"/>
          </w:tcPr>
          <w:p w14:paraId="72045EFB"/>
        </w:tc>
        <w:tc>
          <w:tcPr>
            <w:tcW w:w="0" w:type="auto"/>
            <w:vAlign w:val="center"/>
          </w:tcPr>
          <w:p w14:paraId="3DAB2C27">
            <w:r>
              <w:t>防护等级：设备主体IP54，探测器IP65</w:t>
            </w:r>
          </w:p>
        </w:tc>
        <w:tc>
          <w:tcPr>
            <w:tcW w:w="0" w:type="auto"/>
            <w:vAlign w:val="center"/>
          </w:tcPr>
          <w:p w14:paraId="12965114">
            <w:r>
              <w:t>GB/T 4208-2017标准</w:t>
            </w:r>
          </w:p>
        </w:tc>
      </w:tr>
      <w:tr w14:paraId="570BAF0A">
        <w:tblPrEx>
          <w:tblCellMar>
            <w:top w:w="0" w:type="dxa"/>
            <w:left w:w="0" w:type="dxa"/>
            <w:bottom w:w="0" w:type="dxa"/>
            <w:right w:w="0" w:type="dxa"/>
          </w:tblCellMar>
        </w:tblPrEx>
        <w:tc>
          <w:tcPr>
            <w:tcW w:w="0" w:type="auto"/>
            <w:vAlign w:val="center"/>
          </w:tcPr>
          <w:p w14:paraId="6EF5A57A">
            <w:r>
              <w:t>电气参数</w:t>
            </w:r>
          </w:p>
        </w:tc>
        <w:tc>
          <w:tcPr>
            <w:tcW w:w="0" w:type="auto"/>
            <w:vAlign w:val="center"/>
          </w:tcPr>
          <w:p w14:paraId="7CED434C">
            <w:r>
              <w:t>供电电压：AC 380V±10%，50Hz</w:t>
            </w:r>
          </w:p>
        </w:tc>
        <w:tc>
          <w:tcPr>
            <w:tcW w:w="0" w:type="auto"/>
            <w:vAlign w:val="center"/>
          </w:tcPr>
          <w:p w14:paraId="1638524C">
            <w:r>
              <w:t>三相五线制</w:t>
            </w:r>
          </w:p>
        </w:tc>
      </w:tr>
      <w:tr w14:paraId="5AC28CC1">
        <w:tblPrEx>
          <w:tblCellMar>
            <w:top w:w="0" w:type="dxa"/>
            <w:left w:w="0" w:type="dxa"/>
            <w:bottom w:w="0" w:type="dxa"/>
            <w:right w:w="0" w:type="dxa"/>
          </w:tblCellMar>
        </w:tblPrEx>
        <w:tc>
          <w:tcPr>
            <w:tcW w:w="0" w:type="auto"/>
            <w:vAlign w:val="center"/>
          </w:tcPr>
          <w:p w14:paraId="7276A027"/>
        </w:tc>
        <w:tc>
          <w:tcPr>
            <w:tcW w:w="0" w:type="auto"/>
            <w:vAlign w:val="center"/>
          </w:tcPr>
          <w:p w14:paraId="3653E06F">
            <w:r>
              <w:t>额定功率：8kW</w:t>
            </w:r>
          </w:p>
        </w:tc>
        <w:tc>
          <w:tcPr>
            <w:tcW w:w="0" w:type="auto"/>
            <w:vAlign w:val="center"/>
          </w:tcPr>
          <w:p w14:paraId="46DA8B0E">
            <w:r>
              <w:t>管电压160kV，管电流5mA，冷却系统运行</w:t>
            </w:r>
          </w:p>
        </w:tc>
      </w:tr>
      <w:tr w14:paraId="09E2A671">
        <w:tblPrEx>
          <w:tblCellMar>
            <w:top w:w="0" w:type="dxa"/>
            <w:left w:w="0" w:type="dxa"/>
            <w:bottom w:w="0" w:type="dxa"/>
            <w:right w:w="0" w:type="dxa"/>
          </w:tblCellMar>
        </w:tblPrEx>
        <w:tc>
          <w:tcPr>
            <w:tcW w:w="0" w:type="auto"/>
            <w:vAlign w:val="center"/>
          </w:tcPr>
          <w:p w14:paraId="48E8F336"/>
        </w:tc>
        <w:tc>
          <w:tcPr>
            <w:tcW w:w="0" w:type="auto"/>
            <w:vAlign w:val="center"/>
          </w:tcPr>
          <w:p w14:paraId="20A9F8EB">
            <w:r>
              <w:t>接地电阻：≤4Ω</w:t>
            </w:r>
          </w:p>
        </w:tc>
        <w:tc>
          <w:tcPr>
            <w:tcW w:w="0" w:type="auto"/>
            <w:vAlign w:val="center"/>
          </w:tcPr>
          <w:p w14:paraId="3226059A">
            <w:r>
              <w:t>系统接地端与大地之间</w:t>
            </w:r>
          </w:p>
        </w:tc>
      </w:tr>
      <w:tr w14:paraId="59AB99ED">
        <w:tc>
          <w:tcPr>
            <w:tcW w:w="0" w:type="auto"/>
            <w:vAlign w:val="center"/>
          </w:tcPr>
          <w:p w14:paraId="4B152EE1">
            <w:r>
              <w:t>软件功能</w:t>
            </w:r>
          </w:p>
        </w:tc>
        <w:tc>
          <w:tcPr>
            <w:tcW w:w="0" w:type="auto"/>
            <w:vAlign w:val="center"/>
          </w:tcPr>
          <w:p w14:paraId="6D0433A4">
            <w:r>
              <w:t>图像重建速度：三维CT重建≤30s/幅</w:t>
            </w:r>
          </w:p>
        </w:tc>
        <w:tc>
          <w:tcPr>
            <w:tcW w:w="0" w:type="auto"/>
            <w:vAlign w:val="center"/>
          </w:tcPr>
          <w:p w14:paraId="1B3F29C0">
            <w:r>
              <w:t>512×512×512体素，普通工作站配置</w:t>
            </w:r>
          </w:p>
        </w:tc>
      </w:tr>
      <w:tr w14:paraId="75EDFAFC">
        <w:tblPrEx>
          <w:tblCellMar>
            <w:top w:w="0" w:type="dxa"/>
            <w:left w:w="0" w:type="dxa"/>
            <w:bottom w:w="0" w:type="dxa"/>
            <w:right w:w="0" w:type="dxa"/>
          </w:tblCellMar>
        </w:tblPrEx>
        <w:tc>
          <w:tcPr>
            <w:tcW w:w="0" w:type="auto"/>
            <w:vAlign w:val="center"/>
          </w:tcPr>
          <w:p w14:paraId="1A4757E5"/>
        </w:tc>
        <w:tc>
          <w:tcPr>
            <w:tcW w:w="0" w:type="auto"/>
            <w:vAlign w:val="center"/>
          </w:tcPr>
          <w:p w14:paraId="65CA49AB">
            <w:r>
              <w:t>自动缺陷识别准确率：≥98%</w:t>
            </w:r>
          </w:p>
        </w:tc>
        <w:tc>
          <w:tcPr>
            <w:tcW w:w="0" w:type="auto"/>
            <w:vAlign w:val="center"/>
          </w:tcPr>
          <w:p w14:paraId="6253AD48">
            <w:r>
              <w:t>1000件标准试样测试（含各类缺陷）</w:t>
            </w:r>
          </w:p>
        </w:tc>
      </w:tr>
    </w:tbl>
    <w:p w14:paraId="68B2C81C">
      <w:pPr>
        <w:pStyle w:val="3"/>
      </w:pPr>
      <w:r>
        <w:t>三、设备功能与应用场景</w:t>
      </w:r>
    </w:p>
    <w:p w14:paraId="46191194">
      <w:pPr>
        <w:pStyle w:val="4"/>
      </w:pPr>
      <w:r>
        <w:t>3.1 核心检测功能</w:t>
      </w:r>
    </w:p>
    <w:p w14:paraId="6F6C2624">
      <w:r>
        <w:t>成像功能支持多视角与三维可视化，可实现二维平面成像、倾斜视图成像及三维CT重建。二维平面成像通过探测器与工件的相对平移获取不同位置图像，支持最大1000mm×1000mm幅面拼接，拼接精度±0.1mm；倾斜视图成像通过θ轴旋转工件（0～70°可调），获得不同角度的投影图像，有效解决直立视角下缺陷重叠遮挡问题；三维CT重建基于多角度投影数据（通常采集180°范围内360幅投影），通过滤波反投影算法计算体素密度，生成三维体数据，可进行任意平面剖切与三维渲染，直观展示缺陷的空间形态与分布规律。例如，对变压器线圈浇注件重建后，可清晰观察到匝间绝缘层的气泡分布及金属嵌件的位置偏差。</w:t>
      </w:r>
    </w:p>
    <w:p w14:paraId="4FB87785">
      <w:r>
        <w:t>缺陷检测功能集成多算法库，实现气泡、裂纹、夹杂等典型缺陷的自动化识别。针对气泡检测，VoidInspect算法通过以下步骤实现：首先对图像进行自适应直方图均衡化，增强气泡与背景的对比度；然后采用灰度阈值分割（阈值根据环氧基体灰度自动调整）提取疑似气泡区域；最后通过形态学运算（开运算去除噪声，区域标记）和圆形度分析（圆形度≥0.8判定为气泡），过滤非气泡干扰（如划痕、灰尘）。系统可自动统计气泡数量、最大直径、平均直径及体积占比，当单个气泡直径≥0.3mm或总体积占比＞5%时，判定为不合格。裂纹检测采用边缘检测算法（Canny算子）提取线性特征，并结合长度（≥1mm）、宽度（≥0.1mm）和连续性判据，识别纵向、横向及斜向裂纹；夹杂检测通过灰度值分析（金属夹杂灰度值显著高于基体）定位高密度区域，计算其面积与位置，评估对绝缘性能的影响。</w:t>
      </w:r>
    </w:p>
    <w:p w14:paraId="179D4FFC">
      <w:r>
        <w:t>数据处理功能实现检测结果的存储、分析与追溯。系统内置2TB固态硬盘，可存储≥10万幅检测图像及对应的缺陷数据（缺陷坐标、尺寸、类型）；支持按批次号、工件型号、检测时间等条件查询历史记录，查询响应时间＜3s；数据分析模块提供合格率统计（日/周/月报表）、缺陷类型分布饼图、关键尺寸趋势图等可视化工具，辅助工艺人员优化浇注参数（如浇注速度、固化温度）。数据格式采用DICOM标准，可与第三方图像分析软件（如OsiriX）兼容；同时提供XML格式检测报告，包含工件信息、检测参数、缺陷列表及判定结果，支持自动打印或上传至MES系统。</w:t>
      </w:r>
    </w:p>
    <w:p w14:paraId="1AACDBA5">
      <w:pPr>
        <w:pStyle w:val="4"/>
      </w:pPr>
      <w:r>
        <w:t>3.2 辅助操作功能</w:t>
      </w:r>
    </w:p>
    <w:p w14:paraId="023FA023">
      <w:r>
        <w:t>自动上料功能通过传感器与执行机构协同实现工件的精准定位。当工件通过入口辊道输送至检测区域时，漫反射光电传感器（检测距离500mm，响应时间≤1ms）检测到工件前端，触发减速信号，辊道速度降至0.5m/min；工件完全进入载物台后，定位光电传感器（对射式）被遮挡，发出到位信号，系统控制入口辊道停止，同时启动气动定位装置：两侧推板（行程50mm，推力100N）将工件推向中心基准，定位完成后推板退回，夹紧装置（气动夹爪，夹持力500N）将工件固定，防止检测过程中位移。整个上料定位过程耗时约15s，满足批量检测的节拍需求。</w:t>
      </w:r>
    </w:p>
    <w:p w14:paraId="5A6BEB75">
      <w:r>
        <w:t>分拣联动功能实现检测结果与执行机构的实时交互。系统通过PLC与分拣装置建立通信，当工件检测完成后，PLC将判定结果（合格/不合格）以数字量信号（合格：DO1=1，不合格：DO2=1）发送至分拣控制器；分拣装置接收到信号后，根据工件当前位置（通过编码器实时监测），在工件到达分拣工位时（延迟时间根据输送速度动态计算），驱动相应推杆动作：合格工件继续随辊道输送至下一工序，不合格工件被推杆推至废料通道，推杆行程150mm，动作时间0.5s，确保分拣准确无遗漏。系统支持手动/自动切换，当自动模式故障时，可通过操作台手动控制分拣。</w:t>
      </w:r>
    </w:p>
    <w:p w14:paraId="45EA0548">
      <w:r>
        <w:t>远程监控功能实现设备运行状态的实时监测与远程控制。系统通过以太网模块（支持Modbus TCP/IP协议）与车间监控平台通信，上传的数据包括：设备运行状态（待机/检测/故障）、关键参数（管电压、管电流、探测器温度）、实时图像（每30s更新一帧）及合格率数据；平台可远程下发控制指令，如启动/停止检测、调整检测参数（需权限验证）、查看故障日志。当设备发生故障（如X光管过热、探测器通信中断）时，系统通过声光报警器（蜂鸣器+红色警示灯）在本地报警，同时向监控平台发送故障代码（如E01：X光管故障，E02：探测器无信号），便于维护人员及时响应。远程控制延迟≤100ms，满足实时性要求。</w:t>
      </w:r>
    </w:p>
    <w:p w14:paraId="41351322">
      <w:pPr>
        <w:pStyle w:val="4"/>
      </w:pPr>
      <w:r>
        <w:t>3.3 典型应用场景</w:t>
      </w:r>
    </w:p>
    <w:p w14:paraId="787AC110">
      <w:r>
        <w:t>新设备投运前检测主要针对刚生产完成的干式变压器浇注件，目的是确认其内部质量是否符合出厂标准，及时发现制造过程中产生的缺陷。检测对象包括线圈浇注体、高低压套管、分接开关等关键部件，检测重点为：线圈匝间绝缘层是否存在气泡（影响绝缘强度）、金属嵌件是否位置偏移（可能导致电场集中）、浇注体与外壳是否存在脱粘（影响散热）。检测流程为：工件上线→自动定位→三维CT扫描（针对关键部件）+二维平面检测（针对整体）→缺陷分析→判定结果→分拣。例如，对SCB10-2500KVA干式变压器线圈检测时，需重点关注高电压区域（如高压绕组端部）的气泡分布，确保无直径≥0.2mm的气泡，避免投运后发生局部放电。</w:t>
      </w:r>
    </w:p>
    <w:p w14:paraId="26A00344">
      <w:r>
        <w:t>定期维护监测适用于运行中干式变压器的绝缘状态评估，通常在大修或预防性试验时进行。与新设备检测相比，维护检测更关注绝缘老化相关缺陷，如运行过程中产生的微裂纹（可能由热应力、机械振动导致）、局部放电蚀损形成的空洞、水分侵入引起的绝缘分层等。检测对象为返厂维修的浇注件，检测方式以二维平面成像为主（减少对工件的拆卸要求），重点检测高场强区域（如绕组出头、绝缘隔板）和易老化部位（如靠近铁芯的浇注体）。通过对比历次检测数据（如缺陷尺寸变化、新增缺陷数量），评估绝缘老化趋势，为维护决策提供依据。例如，若某变压器运行5年后，检测发现高压绕组局部出现长度2mm的裂纹，且较上次检测（3年前）长度增加1mm，建议进行局部修复或更换该部件，防止绝缘失效引发故障。</w:t>
      </w:r>
    </w:p>
    <w:p w14:paraId="39865DF2">
      <w:r>
        <w:t>特殊缺陷专项检测针对生产过程中出现的特定质量问题，进行定向检测与分析，辅助工艺改进。当浇注工序出现批量气泡超标时，可启动专项检测：选取代表性工件，通过调整检测参数（如增加投影角度、提高分辨率）获取更详细的气泡数据；结合三维CT重建分析气泡的空间分布特征（如集中在浇注口附近还是远离浇注口区域），推断气泡产生原因（如浇注速度过快导致裹气、模具排气不畅、树脂粘度异常）。例如，若检测发现气泡主要集中在浇注体顶部，且呈圆形分布，可能是固化过程中树脂收缩时未及时补料导致的收缩孔，工艺人员可通过优化补料时机与压力解决该问题。专项检测通常配合工艺试验（如调整模具温度、改变搅拌速度）进行多组对比测试，验证改进措施的有效性。</w:t>
      </w:r>
    </w:p>
    <w:p w14:paraId="6DAF5033">
      <w:pPr>
        <w:pStyle w:val="4"/>
      </w:pPr>
      <w:r>
        <w:t>3.4 适用范围与限制</w:t>
      </w:r>
    </w:p>
    <w:p w14:paraId="252620FD">
      <w:r>
        <w:t>本系统适用于10～35kV级树脂绝缘干式电力变压器的环氧浇注件检测，尤其适合铁路、煤矿、高层建筑等对供电可靠性要求高的场所使用的变压器。适用工件尺寸范围为：长度300～2000mm，宽度200～1000mm，高度100～800mm，重量≤5000KG，可覆盖大部分中小型干式变压器的核心部件。对于超出此尺寸范围的大型浇注件（如110kV级变压器线圈），由于受检测舱体空间与载物台承重限制，需采用定制化检测方案（如分段检测后图像拼接）或选用更大规格的检测设备。</w:t>
      </w:r>
    </w:p>
    <w:p w14:paraId="384C38FA">
      <w:r>
        <w:t>系统对检测工件的材质有一定要求，主要适用于环氧树脂、不饱和聚酯树脂等非金属绝缘材料的检测，这些材料对X射线的衰减系数适中，可在合理曝光参数下（管电压80～160kV）获得清晰图像。对于含大量金属部件的工件（如金属外壳包裹的浇注体），由于金属对X射线的强衰减，可能导致内部非金属区域曝光不足，图像信噪比降低，需通过调整曝光参数（提高管电压、延长曝光时间）或采用散射校正算法改善，但检测效果可能受限。此外，对密度与环氧基体接近的缺陷（如某些有机杂质），由于灰度差异小，检测灵敏度会下降，可能出现漏检。</w:t>
      </w:r>
    </w:p>
    <w:p w14:paraId="7F4172C1">
      <w:r>
        <w:t>环境条件对系统运行有一定限制，工作场所需满足以下要求：温度10～30℃（超出此范围可能导致探测器噪声增加、运动机构精度下降），相对湿度40%～60%（湿度过高易导致电气部件腐蚀，湿度过低易产生静电吸附灰尘），地面振动加速度≤0.1g（避免机械结构共振影响定位精度），电源电压波动≤±10%（建议配置稳压器）。在高海拔地区（海拔＞1000m）使用时，由于空气稀薄导致散热效率下降，需降低X射线源的连续曝光时间（如海拔2000m时，连续曝光不超过5min，间隔10min）；在高温环境（如夏季车间温度超过40℃）使用时，需加强冷却系统（如增加空调降温、更换高散热风扇），确保设备核心部件温度不超过额定工作温度。</w:t>
      </w:r>
    </w:p>
    <w:p w14:paraId="4120CD38">
      <w:pPr>
        <w:pStyle w:val="4"/>
      </w:pPr>
      <w:r>
        <w:t>3.5 系统扩展功能</w:t>
      </w:r>
    </w:p>
    <w:p w14:paraId="55136E4C">
      <w:r>
        <w:t>系统支持多种扩展功能，可根据用户需求进行定制配置。离线编程功能允许用户在虚拟环境中创建检测程序，无需占用设备实际运行时间。通过导入工件CAD模型，在软件中规划扫描路径（定义X/Y/Z轴运动轨迹、旋转角度、曝光参数），并进行运动仿真（碰撞检测、节拍预估），验证程序可行性后下载至设备执行，尤其适用于复杂工件的检测程序开发，可减少设备调试时间30%以上。</w:t>
      </w:r>
    </w:p>
    <w:p w14:paraId="69ACD037">
      <w:r>
        <w:t>自动厚度补偿功能针对变厚度工件（如变压器浇注件的端部与中部厚度差异较大），通过实时调整曝光参数确保图像质量均匀。系统通过以下方式实现：首先根据工件CAD模型获取检测路径上各点的厚度数据；然后根据厚度与曝光参数的对应关系（预设厚度-管电压/电流曲线），动态调整管电压和管电流（调整响应时间＜0.5s）；对于无CAD模型的工件，可通过预扫描（低剂量快速扫描）获取厚度分布，再进行正式检测。该功能可避免厚部区域曝光不足（图像模糊）或薄部区域曝光过度（探测器饱和），提高检测可靠性。</w:t>
      </w:r>
    </w:p>
    <w:p w14:paraId="6B4E8845">
      <w:r>
        <w:t>多模态成像功能融合X射线成像与其他检测技术，提升缺陷识别能力。例如，集成超声检测模块，对X射线难以识别的界面缺陷（如浇注体与金属嵌件的脱粘）进行补充检测；集成红外热成像模块，检测浇注件内部的热分布异常（可能对应局部缺陷导致的散热差异）。多模态数据通过图像配准技术融合（基于特征点匹配，配准精度≤±0.1mm），提供更全面的缺陷信息。该功能主要面向高端应用场景（如军工、航天领域的关键部件检测），需额外配置相应检测模块与数据融合软件。</w:t>
      </w:r>
    </w:p>
    <w:p w14:paraId="60C36801">
      <w:pPr>
        <w:pStyle w:val="3"/>
      </w:pPr>
      <w:r>
        <w:t>四、机械工作原理</w:t>
      </w:r>
    </w:p>
    <w:p w14:paraId="16E45295">
      <w:pPr>
        <w:pStyle w:val="4"/>
      </w:pPr>
      <w:r>
        <w:t>4.1 多轴运动系统</w:t>
      </w:r>
    </w:p>
    <w:p w14:paraId="2082E2F5">
      <w:r>
        <w:t>多轴运动系统采用模块化设计，由X、Y、Z直线运动轴和θ旋转轴组成，各轴独立驱动且可协同运动，实现复杂轨迹扫描。X轴为工件运动轴，带动载物台沿水平方向（左右）移动，有效行程600mm，采用高精度滚珠丝杠（导程10mm，精度等级C3）传动，丝杠两端通过角接触球轴承（型号7005AC）支撑，轴向间隙≤0.01mm；伺服电机（型号松下MSME102G1V）通过弹性联轴器与丝杠连接，减速比1:1，额定转速3000rpm，最大输出扭矩1.2N·m，通过PID闭环控制（比例增益10、积分时间0.1s、微分时间0.01s）实现速度与位置控制。Y轴为探测器运动轴，带动探测器沿水平方向（前后）移动，结构与X轴类似，有效行程500mm，用于调整探测器与工件距离，实现放大倍率变化。Z轴为垂直运动轴，带动探测器上下移动，有效行程300mm，采用交叉滚子导轨（型号THK VR3-300X16Z），保证垂直方向的运动精度，用于适应不同高度工件的检测需求。θ轴为旋转轴，安装在X轴载物台上，带动工件360°旋转，采用谐波减速器（型号哈默纳科CSF-20-80-2UH）传动，减速比80:1，空载回程间隙≤1弧分，确保角度定位精度。</w:t>
      </w:r>
    </w:p>
    <w:p w14:paraId="753B3501">
      <w:r>
        <w:t>各轴的驱动控制采用伺服系统，由伺服驱动器（与电机配套）、光栅尺、控制器组成闭环控制。光栅尺作为位置反馈元件，X/Y/Z轴光栅尺分辨率0.5μm，θ轴光栅尺分辨率1角秒，实时将位置信号反馈至控制器（采样频率1kHz）；控制器（基于PLC或运动控制卡）根据指令位置与反馈位置的偏差，通过PID算法计算输出控制量，驱动伺服电机运动，直至偏差小于允许误差（通常≤±0.005mm）。系统支持多种运动模式：点动模式（手动控制各轴单独运动，用于调试）、 jog模式（按设定速度连续运动）、程序模式（按预设轨迹自动运行）、同步模式（多轴协同运动，如X轴与θ轴联动实现螺旋扫描）。</w:t>
      </w:r>
    </w:p>
    <w:p w14:paraId="09E013A8">
      <w:r>
        <w:t>多轴协同运动通过电子齿轮与电子凸轮功能实现复杂轨迹控制。电子齿轮功能允许从动轴（如θ轴）按设定比例跟随主动轴（如X轴）运动，实现扫描过程中工件匀速旋转与平移的同步，例如X轴移动10mm，θ轴旋转30°，确保投影数据均匀采集。电子凸轮功能通过预设凸轮曲线（位置-位置关系），控制两轴的非线性联动，如检测变压器浇注件的弧形表面时，Z轴根据X轴位置按凸轮曲线调整高度，使探测器始终与工件表面保持设定距离（确保放大倍率恒定）。系统支持凸轮曲线自定义（通过软件绘制或导入CSV文件），满足特殊工件的扫描需求。</w:t>
      </w:r>
    </w:p>
    <w:p w14:paraId="7DEBE4D8">
      <w:pPr>
        <w:pStyle w:val="4"/>
      </w:pPr>
      <w:r>
        <w:t>4.2 精密定位系统</w:t>
      </w:r>
    </w:p>
    <w:p w14:paraId="5ADCF86C">
      <w:r>
        <w:t>精密定位系统采用“硬件测量+软件补偿”相结合的方式，实现亚微米级定位精度。硬件测量方面，激光干涉仪（型号雷尼绍XL-80）作为外部高精度测量工具，用于校准各轴的定位误差。激光干涉仪通过发射波长633nm的氦氖激光，经反射镜反射后与原光束干涉，通过计数干涉条纹变化计算实际位移，测量分辨率0.001μm，测量精度±(0.5+0.5L)μm（L为测量长度，单位m）。校准过程为：在各轴行程范围内均匀选取10个测量点，控制轴运动至目标位置，记录激光干涉仪的实际测量值与指令位置的偏差，生成误差补偿表（如X轴在200mm位置偏差+0.01mm，在400mm位置偏差-0.008mm），存储至控制器。</w:t>
      </w:r>
    </w:p>
    <w:p w14:paraId="3F033713">
      <w:r>
        <w:t>软件补偿算法基于误差补偿表对定位误差进行实时修正，主要包括线性误差补偿、非线性误差补偿和温度补偿。线性误差补偿（如螺距误差）通过线性插值法实现，控制器根据当前位置所在的两校准点之间，按比例计算补偿值；非线性误差补偿（如丝杠弯曲、导轨直线度误差）采用高阶多项式拟合（通常3次多项式），对整个行程的误差曲线进行拟合，根据拟合公式计算任意位置的补偿值。温度补偿通过安装在丝杠和导轨上的温度传感器（PT100，精度±0.1℃），实时监测温度变化，根据材料热膨胀系数（钢的热膨胀系数11.5×10⁻⁶/℃）计算热膨胀量，对定位误差进行修正。例如，当X轴丝杠温度升高5℃时，长度200mm的丝杠热膨胀量为0.0115mm，控制器会自动减去该值，确保实际位置准确。</w:t>
      </w:r>
    </w:p>
    <w:p w14:paraId="242EC7C9">
      <w:r>
        <w:t>3D视觉引导系统用于工件姿态校准，解决工件放置偏差（如倾斜、偏移）对检测精度的影响。系统包含结构光投影仪（型号基恩士LV-H35）和工业相机（型号海康威视MV-CA050-30GM），投影仪投射正弦条纹至工件表面，相机采集变形条纹图像，通过相位解析算法计算三维点云（点云密度100点/mm²，三维测量精度±0.05mm）。将点云数据与工件CAD模型进行配准（基于迭代最近点算法，ICP），计算工件的实际姿态（平移量Δx、Δy、Δz和旋转角Δα、Δβ、Δγ），生成运动补偿指令发送给多轴运动系统，调整X/Y/Z/θ轴位置，使工件坐标系与检测坐标系对齐，对齐误差≤±0.1mm。该功能尤其适用于工件无精确定位工装或多次装夹的场景，可减少人工调整时间，提高检测效率。</w:t>
      </w:r>
    </w:p>
    <w:p w14:paraId="1370F2CF">
      <w:pPr>
        <w:pStyle w:val="4"/>
      </w:pPr>
      <w:r>
        <w:t>4.3 载物台与工件夹持</w:t>
      </w:r>
    </w:p>
    <w:p w14:paraId="497390C7">
      <w:r>
        <w:t>载物台是承载工件的核心部件，采用“台面+支撑框架”结构，台面材料为高强度铝合金（牌号6061-T6），经时效处理后硬度≥90HB，表面经硬质阳极氧化（氧化膜厚度≥15μm），具有良好的耐磨性和防腐蚀性。台面尺寸1200mm×800mm（长×宽），平面度误差≤0.05mm/m²（按GB/T 1184-2008标准，采用水平仪测量），确保工件放置平稳。支撑框架为焊接钢结构（材质Q235），通过8组减震垫（型号Sorbothane 70D）与地面连接，减震垫压缩量20mm，可吸收频率2～20Hz的振动（衰减率≥80%），减少车间地面振动对检测精度的影响。</w:t>
      </w:r>
    </w:p>
    <w:p w14:paraId="0812AA49">
      <w:r>
        <w:t>载物台承重设计考虑干式变压器浇注件的重量特性，最大承重5000KG，台面均匀分布M12螺纹孔（间距100mm×100mm），用于安装工件夹具或定位工装。为防止工件在检测过程中移动（尤其旋转扫描时），台面配备气动夹紧装置，包含4组可移动夹爪（沿X/Y方向可调），每个夹爪通过气缸驱动（缸径50mm，行程100mm，工作压力0.6MPa），最大夹持力5000N。夹爪表面粘贴橡胶垫（邵氏硬度60），增加摩擦力并防止损伤工件表面。夹紧装置的控制与运动系统联锁，只有在工件夹紧后（通过压力传感器检测夹紧状态），系统才允许启动检测，确保操作安全。</w:t>
      </w:r>
    </w:p>
    <w:p w14:paraId="40B55771">
      <w:r>
        <w:t>载物台的运动与限位保护设计确保设备安全运行。X轴运动范围内设置硬限位（机械挡块）和软限位（控制器内部设定），硬限位安装在行程两端（距极限位置50mm处），采用聚氨酯缓冲块（厚度20mm，硬度80 Shore A），吸收运动冲击；软限位通过光栅尺位置信号触发，当轴运动至软限位位置时（距硬限位20mm），系统减速停止，避免碰撞。载物台还配备急停按钮（红色蘑菇头按钮，安装在台面边缘），按下时切断运动系统电源，所有轴立即停止，急停响应时间＜0.1s。</w:t>
      </w:r>
    </w:p>
    <w:p w14:paraId="76F9C3C9">
      <w:pPr>
        <w:pStyle w:val="4"/>
      </w:pPr>
      <w:r>
        <w:t>4.4 机械传动与同步控制</w:t>
      </w:r>
    </w:p>
    <w:p w14:paraId="4C10D440">
      <w:r>
        <w:t>机械传动系统的核心部件是滚珠丝杠与导轨，其性能直接影响运动精度与稳定性。滚珠丝杠采用预紧方式消除间隙，通过双螺母垫片预紧（在两个螺母之间加入厚度可调的垫片），预紧力根据丝杠直径和负载设定（X/Y轴预紧力约为额定动载荷的15%），确保反向运动时无空行程。丝杠与螺母之间的滚珠（材质GCr15，硬度HRC60～62）通过循环器（端盖式循环）循环运动，运行平稳无爬行，最高转速可达3000rpm，传动效率≥90%。导轨采用精密线性导轨（型号THK HSR30A），由导轨和滑块组成，滑块内装有钢球（直径3mm），通过回流通道循环，承载能力强（额定动载荷35kN），摩擦系数低（≤0.001），保证运动的平稳性和重复性。</w:t>
      </w:r>
    </w:p>
    <w:p w14:paraId="538A1638">
      <w:r>
        <w:t>同步带传动用于部分辅助轴（如送料辊道），由同步带轮（材质铝合金，齿形MXL）和同步带（聚氨酯带，钢丝芯）组成，传动比准确（无滑动），噪声低（＜65dB），维护简单。带轮安装时需保证平行度（平行度误差≤0.1mm/m）和张紧度（张紧力通过调整带轮中心距实现，推荐张紧力使带中点挠度为跨度的1/160），避免传动过程中带的振动或跳齿。同步带的使用寿命通常为1000小时（运行速度1m/s时），需定期检查带的磨损情况（如齿面磨损、裂纹），及时更换。</w:t>
      </w:r>
    </w:p>
    <w:p w14:paraId="0001FA78">
      <w:r>
        <w:t>多轴同步控制通过PLC或专用运动控制器实现，核心是保证各轴运动的协调性与精确性。在扫描检测过程中，X轴带动工件移动，θ轴带动工件旋转，两者需保持严格的速度同步（如X轴移动速度v与θ轴旋转角速度ω的关系为v=ω×R，其中R为扫描半径），以确保投影图像的几何精度。控制器通过以下方式实现同步：首先根据扫描路径规划各轴的运动轨迹（位置-时间曲线），采用S型加减速控制（加速度、加加速度连续），避免运动冲击；然后通过电子齿轮功能建立主从轴关系（如以X轴为主动轴，θ轴为从动轴），实时计算从动轴的位置指令；最后通过位置闭环控制（采样周期1ms），确保各轴按指令轨迹运动，同步误差≤±0.01mm。</w:t>
      </w:r>
    </w:p>
    <w:p w14:paraId="6CDA6A18">
      <w:r>
        <w:t>传动系统的润滑与维护对延长设备寿命至关重要。滚珠丝杠与导轨采用油脂润滑，推荐使用 Mobil SHC 630合成齿轮油（粘度等级ISO VG 150），通过自动润滑泵定时供油（供油周期8小时，每次供油0.5ml），润滑泵安装在机床侧面，通过油管连接至各润滑点。同步带无需润滑，但需定期清理表面灰尘（用压缩空气吹扫）。维护人员需每月检查润滑系统工作状态（油位、供油是否正常），每季度检查丝杠导轨的润滑情况（有无干摩擦痕迹），每年更换润滑脂（彻底清洗旧脂后加注新脂）。</w:t>
      </w:r>
    </w:p>
    <w:p w14:paraId="05E69740">
      <w:pPr>
        <w:pStyle w:val="3"/>
      </w:pPr>
      <w:r>
        <w:t>五、控制系统原理</w:t>
      </w:r>
    </w:p>
    <w:p w14:paraId="44B5F65C">
      <w:pPr>
        <w:pStyle w:val="4"/>
      </w:pPr>
      <w:r>
        <w:t>5.1 硬件组成</w:t>
      </w:r>
    </w:p>
    <w:p w14:paraId="7A2DD9D6">
      <w:r>
        <w:t>控制系统硬件以PLC为核心，辅以运动控制卡、图像处理单元、人机界面及各类传感器，构成分层控制架构。PLC（可编程逻辑控制器）选用西门子S7-1214C DC/DC/DC型号，配备14点数字量输入（24V DC）、10点数字量输出（24V DC，晶体管输出）、2点模拟量输入（12位分辨率）和2点模拟量输出（12位分辨率），通过扩展模块（SM 1223数字量模块、SM 1231模拟量模块）扩展至40点输入/32点输出，满足设备I/O需求。PLC负责逻辑控制（如设备启停、安全联锁、辅助机构动作）、信号采集（如急停按钮、限位开关、传感器状态）和执行控制（如电磁阀、继电器、指示灯），运行周期≤10ms，确保实时性。</w:t>
      </w:r>
    </w:p>
    <w:p w14:paraId="570634E3">
      <w:r>
        <w:t>运动控制卡采用研华PCI-1245L四轴运动控制卡，插装在工业PC的PCI插槽中，通过PCI总线与上位机通信，控制X、Y、Z、θ四轴伺服电机。该控制卡支持脉冲/方向控制模式，脉冲输出频率最高2MHz，可实现高速高精度定位；内置位置比较功能，可在指定位置触发外部事件（如曝光信号）；支持直线插补、圆弧插补及空间圆弧插补，满足复杂轨迹扫描需求。运动控制卡与伺服驱动器通过差分信号线连接，传输控制脉冲与方向信号；同时通过编码器接口接收光栅尺反馈信号，形成位置闭环控制。</w:t>
      </w:r>
    </w:p>
    <w:p w14:paraId="74BB25E5">
      <w:r>
        <w:t>图像处理单元由图像采集卡、FPGA芯片和DSP处理器组成，实现X射线图像的采集与分析。图像采集卡采用NI PCIe-1433高速图像采集卡，支持Camera Link接口，采样分辨率12位，最大采样率85MHz，可同时采集探测器输出的图像数据；FPGA芯片（型号Xilinx Kintex-7 K325T）负责数据预处理，包括坏点校正（根据探测器出厂校准数据补偿失效像素）、暗场校正（去除探测器暗电流噪声）、数据格式转换（将并行数据转换为串行数据）；DSP处理器（型号TI TMS320C6711B，主频1GHz）运行缺陷检测算法（VoidInspect、边缘检测等），通过PCIe总线与上位机通信，传输处理结果（缺陷数据、判定结果）。</w:t>
      </w:r>
    </w:p>
    <w:p w14:paraId="55131CAB">
      <w:r>
        <w:t>人机界面采用15英寸工业触摸屏（型号威纶通MT8150iE），分辨率1024×768，通过以太网（Modbus TCP/IP协议）与PLC和上位机通信，实现参数设置（管电压、管电流、曝光时间等）、状态监控（设备运行状态、检测进度、报警信息）和数据查询（历史记录、统计报表）功能。触摸屏内置组态软件，支持自定义界面设计，主要包含主控界面、参数设置界面、图像显示界面、故障诊断界面和报表界面，操作便捷直观。</w:t>
      </w:r>
    </w:p>
    <w:p w14:paraId="15CA1CB9">
      <w:r>
        <w:t>辅助硬件包括各类传感器与执行元件：位置传感器（光栅尺、编码器）提供运动轴位置反馈；接近开关（型号Omron E2E-X10ME1）检测工件到位、夹具位置等状态；压力传感器（型号SICK PBT-RB020SG1SS）监测气动系统压力；温度传感器（PT100铂电阻）测量X射线管、探测器温度；伺服驱动器（与电机配套）接收控制信号驱动电机；电磁阀控制气动元件（气缸、夹爪）动作；指示灯（红、黄、绿三色）显示设备运行状态（停止、运行、报警）。</w:t>
      </w:r>
    </w:p>
    <w:p w14:paraId="43068EFD">
      <w:pPr>
        <w:pStyle w:val="4"/>
      </w:pPr>
      <w:r>
        <w:t>5.2 软件架构</w:t>
      </w:r>
    </w:p>
    <w:p w14:paraId="142F2604">
      <w:r>
        <w:t>控制系统软件采用模块化设计，基于Windows 10操作系统，主要包含设备控制模块、图像采集模块、分析识别模块和数据管理模块，各模块通过共享内存或数据库实现数据交互。设备控制模块负责运动系统与X射线源的控制，基于C++语言开发，通过调用运动控制卡SDK函数实现轴运动控制（如MoveAbsolute、MoveVelocity指令）、位置读取（GetPosition）和I/O控制（SetDigitalOutput）；同时通过串口通信（RS232）控制X射线源，发送曝光参数（管电压、管电流、曝光时间）和启停指令，接收源状态信息（就绪、曝光中、故障）。</w:t>
      </w:r>
    </w:p>
    <w:p w14:paraId="5C2E85EF">
      <w:r>
        <w:t>图像采集模块驱动探测器与图像采集卡工作，采用LabVIEW开发，实现图像数据的实时采集与预处理。模块首先初始化采集卡（设置分辨率、帧率、曝光时间），然后触发探测器曝光（通过TTL信号同步），采集卡将模拟信号转换为数字图像（16位灰度图），传输至内存缓冲区；预处理环节包括暗场校正（减去暗场图像）、平场校正（除以平场图像）和噪声过滤（二维中值滤波，窗口大小3×3），提升图像质量。模块支持单帧采集和连续采集模式，连续采集帧率可达30帧/秒，满足动态扫描需求。</w:t>
      </w:r>
    </w:p>
    <w:p w14:paraId="7338334B">
      <w:r>
        <w:t>分析识别模块是缺陷检测的核心，集成多种图像处理算法，采用Python语言开发（基于OpenCV和TensorFlow框架）。算法库包含：图像增强算法（自适应直方图均衡化、CLAHE）、缺陷分割算法（阈值分割、区域生长）、特征提取算法（边缘检测、形态学运算）和分类识别算法（支持向量机、深度学习模型）。模块接收预处理后的图像数据，首先进行缺陷检测（如气泡、裂纹识别），然后提取缺陷特征（尺寸、位置、形状），最后与标准阈值比较，判定工件合格与否。分析结果（缺陷列表、判定结果）通过JSON格式发送至数据管理模块。</w:t>
      </w:r>
    </w:p>
    <w:p w14:paraId="40C6EBB5">
      <w:r>
        <w:t>数据管理模块实现检测数据的存储、查询与报表生成，基于SQL Server数据库开发。数据库表结构包括工件信息表（批次号、型号、材质）、检测参数表（管电压、管电流、曝光时间）、缺陷数据表（缺陷ID、类型、尺寸、坐标）和结果判定表（合格/不合格、判定时间）。模块提供数据接口（API），支持与MES系统对接（通过OPC UA协议），上传检测数据；同时开发Web查询界面，授权用户可通过浏览器查询历史记录，生成日报表、周报表和月报表（包含合格率、缺陷分布等统计数据）。</w:t>
      </w:r>
    </w:p>
    <w:p w14:paraId="5B4EC629">
      <w:pPr>
        <w:pStyle w:val="4"/>
      </w:pPr>
      <w:r>
        <w:t>5.3 控制工作流程</w:t>
      </w:r>
    </w:p>
    <w:p w14:paraId="3DDAF53A">
      <w:r>
        <w:t>控制系统的工作流程遵循“信号采集-逻辑处理-执行控制-结果反馈”的闭环机制，可分为检测准备、自动检测和结果处理三个阶段。检测准备阶段：操作人员通过触摸屏选择检测程序（对应工件型号），系统自动加载预设参数（运动轨迹、曝光参数、缺陷阈值）；然后启动上料按钮，送料机构将工件输送至载物台，定位工装完成工件对准与夹紧；PLC检测到工件就绪信号（夹紧到位、安全门关闭）后，向运动控制卡发送初始化指令，各轴回参考点（通过光栅尺零位信号定位），完成检测前准备。</w:t>
      </w:r>
    </w:p>
    <w:p w14:paraId="3DE528CC">
      <w:r>
        <w:t>自动检测阶段是核心流程，由运动控制、曝光控制和图像处理协同完成。运动控制卡根据预设轨迹驱动X/Y/Z/θ轴运动，使工件与探测器按设定路径相对移动；当运动至指定位置时（通过位置比较输出信号触发），PLC控制X射线源曝光（管电压、管电流按参数设置输出），曝光时间到达后停止；探测器同步采集穿透后的射线信号，转换为数字图像并传输至图像采集模块；图像采集模块预处理后将图像发送至分析识别模块，实时进行缺陷检测；若检测到超标缺陷，系统立即标记该工件，并在运动结束后触发分拣信号。整个过程中，PLC循环扫描各传感器状态（如急停、限位、温度），若出现异常（如X射线管过热、探测器故障），立即停止检测并报警。</w:t>
      </w:r>
    </w:p>
    <w:p w14:paraId="36680A0B">
      <w:r>
        <w:t>结果处理阶段在检测完成后执行：分析识别模块生成最终判定结果（合格/不合格），发送至PLC和数据管理模块；PLC根据结果控制分拣装置动作，将不合格品推至废料通道；数据管理模块将工件信息、检测参数、缺陷数据和判定结果存入数据库，并生成检测报告（PDF格式），可选择本地打印或上传至服务器。若启用了远程监控功能，结果数据同时发送至监控平台，更新生产看板（显示当日检测数量、合格率）。检测完成后，载物台复位，等待下一个工件上料，开始新一轮检测循环。</w:t>
      </w:r>
    </w:p>
    <w:p w14:paraId="7F123520">
      <w:pPr>
        <w:pStyle w:val="4"/>
      </w:pPr>
      <w:r>
        <w:t>5.4 通信与数据交互</w:t>
      </w:r>
    </w:p>
    <w:p w14:paraId="3B723CF3">
      <w:r>
        <w:t>系统内部通信采用多种方式，确保各模块间数据高效传输。PLC与触摸屏通过以太网通信，采用Modbus TCP/IP协议，触摸屏作为客户端，PLC作为服务器，通信速率100Mbps，数据更新周期100ms。通信数据包括：PLC发送至触摸屏（设备状态、报警代码、检测计数）；触摸屏发送至PLC（控制指令、参数设置值）。为保证通信可靠性，协议中加入CRC校验，检测数据传输错误；同时实现心跳包机制，触摸屏每1s发送一次心跳请求，若连续3次未收到PLC响应，则提示通信故障。</w:t>
      </w:r>
    </w:p>
    <w:p w14:paraId="35716657">
      <w:r>
        <w:t>运动控制卡与上位机通过PCI总线通信，采用内存映射方式交换数据，传输速率高达1GB/s，满足实时控制需求。上位机通过调用运动控制卡驱动函数（如MC_MoveAbsolute、MC_GetPosition）发送控制指令和读取状态信息；控制卡将轴位置、速度、报警代码等数据写入共享内存，上位机定时读取（周期1ms）。为避免数据冲突，采用信号量机制实现同步，上位机发送指令前获取信号量，控制卡处理完成后释放信号量。</w:t>
      </w:r>
    </w:p>
    <w:p w14:paraId="60ECCD9F">
      <w:r>
        <w:t>图像采集模块与分析识别模块通过共享内存通信，在计算机内存中开辟固定大小的缓冲区（如2048×2048×2字节，存储16位灰度图），采集模块写入图像数据后，通过事件通知（Windows事件对象）告知分析模块；分析模块读取数据并处理，处理完成后重置事件，等待下一幅图像。该方式避免了数据拷贝，传输延迟＜1ms，确保实时分析。</w:t>
      </w:r>
    </w:p>
    <w:p w14:paraId="18FB15AD">
      <w:r>
        <w:t>系统与外部系统（如MES、ERP）的通信采用OPC UA协议，实现数据集成与共享。OPC UA服务器运行在上位机中，提供标准化的数据接口（如工件信息、检测结果、设备状态）；MES系统作为客户端，通过以太网连接服务器，订阅所需数据（如每10s更新一次合格率）。数据格式遵循OPC UA信息模型，定义对象类型（如WorkpieceType、InspectionResultType）、变量类型（如String型批次号、Boolean型合格标志）和方法（如查询历史数据）。为保证数据安全，通信采用用户名/密码认证和SSL加密，防止数据泄露或篡改。</w:t>
      </w:r>
    </w:p>
    <w:p w14:paraId="4F6B0543">
      <w:pPr>
        <w:pStyle w:val="4"/>
      </w:pPr>
      <w:r>
        <w:t>5.5 安全联锁控制</w:t>
      </w:r>
    </w:p>
    <w:p w14:paraId="3092B82C">
      <w:r>
        <w:t>安全联锁系统是保障设备安全运行的重要组成部分，通过硬件和软件双重保护实现人员与设备安全。硬件联锁包括：安全门联锁（检测舱门安装电磁锁和门开关，门未关闭时电磁锁不通电，无法启动X射线曝光）；急停按钮（设备各操作位置安装急停按钮，串联接入安全继电器，按下时切断X射线源和运动系统电源）；双手启动按钮（部分危险操作需双手同时按下启动按钮，防止单手操作时身体进入危险区域）。安全继电器（型号施耐德XPS-AC安全继电器）作为硬件联锁核心，监测安全输入信号（急停、安全门），控制安全输出（X射线源使能、运动轴使能），响应时间＜10ms。</w:t>
      </w:r>
    </w:p>
    <w:p w14:paraId="408CF438">
      <w:r>
        <w:t>软件联锁在PLC程序中实现，通过逻辑判断确保操作安全。例如，只有满足以下所有条件，系统才允许启动曝光：安全门关闭（门开关信号为ON）、工件夹紧到位（压力传感器信号≥0.4MPa）、急停按钮未按下（急停信号为OFF）、X射线源就绪（源状态信号为READY）。若任何条件不满足，PLC禁止曝光，并在触摸屏显示相应报警信息（如“安全门未关”“工件未夹紧”）。软件联锁还包括运动轴限位保护（软限位触发时停止轴运动）、设备互锁（上料与检测不能同时进行）等功能。</w:t>
      </w:r>
    </w:p>
    <w:p w14:paraId="4EA6CD2F">
      <w:r>
        <w:t>辐射安全控制是X光检测系统的特殊要求，除防护屏蔽外，控制系统通过以下措施防止辐射泄漏：X射线源的曝光控制与安全联锁严格绑定，只有所有安全条件满足时，PLC才允许发送曝光指令；曝光过程中，若安全门被打开或急停按钮按下，PLC立即切断高压发生器电源，停止X射线发射；系统配备辐射监测仪（型号FJ-347A），实时监测设备周围辐射剂量，当剂量率＞0.5μSv/h时，触发声光报警并停机；操作人员配备个人剂量计（热释光剂量计），定期检测辐射累积剂量，确保符合GBZ 128-2019《职业性外照射个人监测规范》要求。</w:t>
      </w:r>
    </w:p>
    <w:p w14:paraId="2EE6373B">
      <w:pPr>
        <w:pStyle w:val="3"/>
      </w:pPr>
      <w:r>
        <w:t>六、操作与校准规程</w:t>
      </w:r>
    </w:p>
    <w:p w14:paraId="5B5F7CE2">
      <w:pPr>
        <w:pStyle w:val="4"/>
      </w:pPr>
      <w:r>
        <w:t>6.1 开机与关机流程</w:t>
      </w:r>
    </w:p>
    <w:p w14:paraId="5F379526">
      <w:r>
        <w:t>开机前准备工作需确保设备处于安全状态，操作人员应执行以下检查：首先检查供电系统，确认三相电源电压（AC 380V±10%）和接地电阻（≤4Ω）正常，电源指示灯（绿色）亮；然后检查冷却系统，X射线源冷却风扇（型号ADDA AD0824HB-A70GL）出风口风量正常，无异物堵塞，水循环散热系统液位在最低刻度以上，泵运行无异常噪声；接着检查机械系统，载物台表面清洁无杂物，运动轴导轨无明显障碍物，各限位开关位置正确；最后检查安全装置，安全门关闭严密，急停按钮处于释放状态（未按下），辐射监测仪显示环境剂量率＜0.1μSv/h。</w:t>
      </w:r>
    </w:p>
    <w:p w14:paraId="6BA4D6A9">
      <w:r>
        <w:t>开机流程按以下步骤进行：第一步，合上主电源开关（位于设备配电箱），控制系统上电，触摸屏启动（约30s），进入登录界面，操作人员输入用户名和密码（权限分级：管理员、操作员、维护员）；第二步，登录后系统自动进入自检界面，PLC执行初始化程序，依次检测各模块状态（运动轴、X射线源、探测器、送料机构），自检结果显示在触摸屏上（绿色√表示正常，红色×表示故障），若有故障需排除后重新自检；第三步，自检通过后，点击触摸屏“轴回零”按钮，运动控制卡驱动各轴回参考点（X/Y/Z轴移动至光栅尺零位，θ轴旋转至机械零点），回零完成后轴状态指示灯变绿；第四步，启动X射线源预热，点击“射线源预热”按钮，系统按预设程序（10kV→30kV→50kV→80kV，每级停留1min）逐步升高管电压，预热过程中监测管电流（应＜1mA）和源温度（＜50℃），预热完成后源就绪指示灯亮，设备进入待机状态，准备接受检测任务。</w:t>
      </w:r>
    </w:p>
    <w:p w14:paraId="2E824671">
      <w:r>
        <w:t>关机流程需按顺序操作，避免设备损坏：第一步，结束当前检测任务，确保载物台处于初始位置（各轴回零），工件已全部下料；第二步，点击触摸屏“射线源关闭”按钮，X射线源高压切断，灯丝电流降至零，源状态变为“待机”；第三步，关闭图像采集软件和分析软件，保存当前检测程序和参数设置；第四步，点击触摸屏“系统关机”按钮，PLC控制各辅助系统（送料机构、冷却系统）依次停止，触摸屏显示“准备关机”；第五步，等待3min（确保X射线源充分散热）后，断开主电源开关，关闭设备总电源；第六步，关机后检查设备状态，清理载物台表面杂物，关闭车间照明，在设备操作面板悬挂“设备已关机”警示牌。</w:t>
      </w:r>
    </w:p>
    <w:p w14:paraId="377DEB17">
      <w:r>
        <w:t>紧急关机适用于突发故障（如设备异响、冒烟、人员受伤），操作人员应立即按下就近急停按钮（红色蘑菇头按钮），系统立即切断X射线源和运动系统电源，所有轴停止运动；若情况允许，可同时关闭主电源开关。紧急关机后，需排查故障原因并排除，由专业人员按照“故障复位→自检→试运行”流程恢复设备，严禁未排除故障直接开机。</w:t>
      </w:r>
    </w:p>
    <w:p w14:paraId="119E6E08">
      <w:pPr>
        <w:pStyle w:val="4"/>
      </w:pPr>
      <w:r>
        <w:t>6.2 检测参数设置</w:t>
      </w:r>
    </w:p>
    <w:p w14:paraId="5F8226EC">
      <w:r>
        <w:t>检测参数的合理设置是保证图像质量与检测精度的关键。核心参数包括管电压、管电流、曝光时间和放大倍率，需根据工件厚度、材质和检测需求进行调整。管电压决定X射线的穿透能力，工件越厚、密度越大，所需管电压越高：环氧浇注件厚度≤50mm时，管电压80～100kV；厚度50～100mm时，100～120kV；厚度100～150mm时，120～150kV；厚度＞150mm时，150～160kV（最大管电压）。管电流影响图像信噪比，电流越大，光子数量越多，图像噪声越小，但会缩短射线源寿命，通常设置为5mA（最大允许值），对薄工件（≤30mm）可降至2～3mA。曝光时间与运动速度相关，静态曝光时（工件与探测器静止），曝光时间0.5～2s（根据管电流调整，电流小则时间长）；动态扫描时（工件移动或旋转），曝光时间需匹配运动速度，确保探测器接收足够剂量，例如扫描速度10mm/s时，曝光时间0.1s。</w:t>
      </w:r>
    </w:p>
    <w:p w14:paraId="2BB52FDE">
      <w:r>
        <w:t>放大倍率通过调整探测器与工件的距离（Z轴位置）实现，计算公式为：放大倍率=探测器到射线源距离/工件到射线源距离。系统最大放大倍率45,000倍（探测器与工件距离5mm），常规检测推荐放大倍率100～500倍（可清晰观察0.1mm以上缺陷）。设置时在触摸屏“参数设置”界面输入目标放大倍率或直接输入Z轴位置，系统自动计算并移动Z轴至对应位置，同时调整X射线源焦点大小（低倍率用大焦点，高倍率用小焦点，最小焦点尺寸5μm）。</w:t>
      </w:r>
    </w:p>
    <w:p w14:paraId="417DF7E4">
      <w:r>
        <w:t>缺陷判定阈值需根据产品标准设置，在触摸屏“缺陷参数”界面进行配置：气泡检测阈值（最大允许直径0.3mm，体积占比5%）、裂纹检测阈值（最小长度1mm，最小宽度0.1mm）、夹杂检测阈值（最小面积0.5mm²）。阈值设置应参考相关标准（如GB/T 10237-2015《电力变压器绝缘水平和绝缘试验》），并通过标准试样校准（使用含已知缺陷的标准件，调整阈值使检测结果与标准一致）。系统支持参数保存功能，可将不同工件的参数组合（管电压、电流、曝光时间、阈值）保存为检测程序（以工件型号命名），下次使用时直接调用，减少重复设置时间。</w:t>
      </w:r>
    </w:p>
    <w:p w14:paraId="14D5E84B">
      <w:r>
        <w:t>参数优化方法可提升检测效果，当图像质量不佳时（如噪声大、对比度低、缺陷模糊），可按以下步骤调整：若图像噪声过大（雪花状斑点多），增加管电流（+5%～10%）或延长曝光时间（+20%～30%），同时检查探测器冷却是否正常（温度应＜35℃）；若图像对比度低（缺陷与背景区分不清），调整管电压（厚部增加电压，薄部降低电压）或使用eHDR高动态范围成像功能；若缺陷边缘模糊，检查放大倍率是否足够（提高倍率）或运动速度是否过快（降低速度），确保探测器接收的投影数据清晰。参数调整后需通过试检测验证效果（检测标准试样），直至缺陷识别准确率≥98%。</w:t>
      </w:r>
    </w:p>
    <w:p w14:paraId="162016E6">
      <w:pPr>
        <w:pStyle w:val="4"/>
      </w:pPr>
      <w:r>
        <w:t>6.3 系统校准规程</w:t>
      </w:r>
    </w:p>
    <w:p w14:paraId="49F3F0DE">
      <w:r>
        <w:t>几何校准用于确保图像几何精度，消除运动轴定位误差和图像畸变，校准周期为每季度一次或设备搬迁后。校准工具为标准几何校准板（型号NDT-19，含直线、圆形、网格等图案，尺寸精度±0.001mm），校准步骤如下：第一步，将校准板放置在载物台中心，通过气动夹紧装置固定，确保校准板平面与X/Y轴运动平面平行；第二步，在检测软件中选择“几何校准”程序，系统自动驱动X/Y轴以0.1mm步距移动，采集校准板在不同位置的图像（通常采集25幅，覆盖整个视场）；第三步，软件自动识别校准板上的特征点（圆形标记），计算实际坐标与图像坐标的偏差，生成畸变校正矩阵（包含平移、旋转、缩放和非线性畸变参数）；第四步，保存校正矩阵至系统，后续检测图像将自动应用该校正，几何校准误差应≤±0.01mm。</w:t>
      </w:r>
    </w:p>
    <w:p w14:paraId="7C909F1E">
      <w:r>
        <w:t>灰度校准用于校正探测器响应不均匀性，确保图像灰度值与射线强度成线性关系，校准周期为每月一次或探测器更换后。校准工具包括暗场图像和平场图像：暗场图像是关闭X射线源时采集的图像（反映探测器暗电流噪声）；平场图像是均匀X射线照射下采集的图像（反映射线强度分布和探测器响应差异）。校准步骤如下：第一步，关闭X射线源，点击“采集暗场”按钮，探测器在无射线条件下采集10幅图像，软件计算平均值作为暗场图像；第二步，将均匀衰减体模（厚度50mm环氧树脂板）放置在射线源与探测器之间，设置管电压80kV、管电流5mA、曝光时间1s，点击“采集平场”按钮，采集10幅图像，计算平均值作为平场图像；第三步，软件通过公式（校正后图像=（原始图像-暗场图像）/（平场图像-暗场图像））对图像进行校准，校准后图像的灰度均匀性误差应≤±3%（在均匀区域测量）。</w:t>
      </w:r>
    </w:p>
    <w:p w14:paraId="18AE511C">
      <w:r>
        <w:t>灵敏度校准验证系统对微小缺陷的检测能力，确保可识别最小规定尺寸的缺陷（如直径5μm气泡），校准周期为每半年一次。校准工具为含已知缺陷的标准试样（如人工植入不同直径气泡的环氧试块，气泡直径5μm、10μm、20μm、50μm），校准步骤如下：第一步，将标准试样安装在载物台上，调整检测参数（管电压100kV，管电流5mA，放大倍率1000倍）；第二步，对试样进行三维CT扫描，重建后测量图像中各气泡的直径；第三步，将测量直径与实际直径比较，计算误差（测量直径-实际直径）/实际直径，误差应≤±10%；若误差超标，需检查探测器灵敏度（可能因辐射老化下降）或调整图像分析参数（如阈值、滤波强度），必要时更换探测器。</w:t>
      </w:r>
    </w:p>
    <w:p w14:paraId="6E6DB7F7">
      <w:r>
        <w:t>系统精度校准综合验证设备整体检测精度，包括尺寸测量精度和缺陷定位精度，校准周期为每年一次或重大维修后。校准工具为标准尺寸试块（含阶梯孔、线对、球等特征，尺寸经计量部门检定），校准项目及指标：尺寸测量精度（测量试块已知孔径，误差≤±0.02mm）、空间分辨率（使用19线对测试卡，分辨率应≥2.5Lp/mm）、缺陷定位精度（在试块不同位置植入缺陷，测量缺陷坐标与实际坐标偏差，≤±0.05mm）。校准完成后生成校准报告，记录各项目误差值，若有超差项需进行维修调整（如重新校准运动轴、更换磨损部件），直至所有项目合格。</w:t>
      </w:r>
    </w:p>
    <w:p w14:paraId="264B21E3">
      <w:pPr>
        <w:pStyle w:val="4"/>
      </w:pPr>
      <w:r>
        <w:t>6.4 典型工件检测流程</w:t>
      </w:r>
    </w:p>
    <w:p w14:paraId="6CECF42E">
      <w:r>
        <w:t>以SCB10-2500KVA干式变压器线圈浇注件检测为例，详细说明典型工件的检测流程：工件信息为线圈浇注件（环氧树脂材质，重量约300KG，尺寸600mm×400mm×300mm），检测需求为识别匝间绝缘层气泡（直径≥0.2mm）、金属嵌件位置偏差（≤0.5mm）和浇注体裂纹（长度≥1mm）。</w:t>
      </w:r>
    </w:p>
    <w:p w14:paraId="09F4760C">
      <w:r>
        <w:t>上料与定位阶段：操作人员将线圈浇注件吊装至送料辊道入口，确保工件底面与辊道接触良好，无倾斜；启动上料按钮，辊道以1m/min速度将工件输送至载物台，当工件触发到位传感器（光电传感器，型号Omron E3Z-LS63）时，辊道停止；气动定位推板（左右各一组）动作，将工件沿X轴居中对齐（定位误差≤0.5mm）；然后气动夹紧装置（4组夹爪）从侧面夹紧工件（夹持力3000N），压力传感器反馈夹紧到位信号，载物台准备就绪。</w:t>
      </w:r>
    </w:p>
    <w:p w14:paraId="5817AC72">
      <w:r>
        <w:t>参数调用与程序选择：在触摸屏主界面选择“工件型号→SCB10-2500KVA”，系统自动加载预设检测程序，包含运动参数（X轴行程0～500mm，Y轴行程0～300mm，θ轴旋转180°，扫描步距0.2mm）、曝光参数（管电压120kV，管电流5mA，曝光时间0.5s）和缺陷阈值（气泡直径≥0.2mm，嵌件偏差＞0.5mm报警，裂纹长度≥1mm）；操作人员可根据实际工件情况微调参数（如调整θ轴旋转范围至270°以增加投影角度），确认后点击“开始检测”按钮。</w:t>
      </w:r>
    </w:p>
    <w:p w14:paraId="21EA9940">
      <w:r>
        <w:t>自动扫描与图像采集：系统按以下步骤执行检测：第一步，运动控制卡驱动X/Y轴移动，将工件中心对准探测器视场中心；第二步，θ轴开始旋转（速度5°/s），同时X轴以0.2mm步距同步移动，实现螺旋扫描轨迹；第三步，每旋转1°触发一次曝光（X射线源打开0.5s），探测器同步采集图像（共采集180幅投影）；第四步，图像采集模块实时预处理图像（暗场/平场校正、噪声过滤），并传输至分析识别模块。扫描过程中，触摸屏显示实时图像、运动轨迹和进度条（如“已完成60%，剩余时间2min”），若出现异常（如图像模糊、运动卡顿），系统自动暂停并报警。</w:t>
      </w:r>
    </w:p>
    <w:p w14:paraId="07CB33CA">
      <w:r>
        <w:t>图像分析与结果判定：分析识别模块对180幅投影图像进行三维CT重建（采用FDK算法，重建时间约20s），生成三维体数据；然后进行多平面重建（MPR），显示横断面、矢状面和冠状面图像；针对线圈匝间绝缘层，软件自动提取感兴趣区域（ROI），应用VoidInspect算法检测气泡：首先通过灰度阈值（基于环氧基体灰度自动调整）分割气泡区域，然后计算每个气泡的直径（最大气泡直径0.15mm）、数量（共8个）和体积占比（0.3%）；金属嵌件位置通过配准CAD模型与重建图像计算，X方向偏差0.2mm，Y方向偏差0.1mm，均＜0.5mm；未检测到长度≥1mm的裂纹。分析结果显示“气泡合格，嵌件位置合格，无裂纹”，系统判定工件“合格”。</w:t>
      </w:r>
    </w:p>
    <w:p w14:paraId="0DCE2585">
      <w:r>
        <w:t>结果输出与分拣：检测完成后，数据管理模块生成检测报告（包含工件型号、批次号、检测时间、缺陷列表、三维重建图像），可点击“打印报告”按钮输出纸质报告或“上传MES”按钮发送至生产管理系统；PLC接收到“合格”信号后，控制载物台X轴移动至出口位置，气动夹紧装置松开，送料辊道启动，将工件输送至“合格品”通道；操作人员可在触摸屏“历史记录”界面查看该工件的检测图像和报告，载物台回零，准备下一个工件检测。</w:t>
      </w:r>
    </w:p>
    <w:p w14:paraId="6E767CAE">
      <w:pPr>
        <w:pStyle w:val="4"/>
      </w:pPr>
      <w:r>
        <w:t>6.5 手动操作模式</w:t>
      </w:r>
    </w:p>
    <w:p w14:paraId="618B59F3">
      <w:r>
        <w:t>手动操作模式用于设备调试、故障排除和特殊工件检测，需由经过培训的维护人员操作。进入手动模式的步骤：在触摸屏登录界面输入“维护员”权限密码，点击“手动控制”按钮，系统切换至手动界面，显示各轴控制按钮（X+/X-/Y+/Y-/Z+/Z-/θ+/θ-）、点动速度设置（1～50mm/s可调）和X射线源手动曝光按钮。手动操作时需注意：确保安全门关闭，急停按钮正常，周围无人员靠近；严禁在手动模式下进行批量检测，每次操作前确认运动范围内无障碍物。</w:t>
      </w:r>
    </w:p>
    <w:p w14:paraId="779692F9">
      <w:r>
        <w:t>手动运动控制：点击X+按钮，X轴以设定速度（如10mm/s）正向移动，松开按钮停止运动；通过“速度调节”滑块设置点动速度（低速用于精确定位，高速用于大范围移动）；各轴位置实时显示在界面上（分辨率0.001mm），可通过“回零”按钮将轴移动至参考点；θ轴旋转时需确保工件无碰撞（旋转前检查工件最大外径与设备外壳的间隙≥50mm）。手动运动主要用于：调整工件位置（如对准特定检测区域）、检查运动轴运行状态（有无异响、卡顿）、安装调试工装夹具。</w:t>
      </w:r>
    </w:p>
    <w:p w14:paraId="10221691">
      <w:r>
        <w:t>手动曝光与图像采集：在手动模式下，可控制X射线源单次曝光，采集特定位置的图像。操作步骤：首先调整X/Y/Z轴位置，使检测区域位于探测器视场中心；然后设置曝光参数（管电压、管电流、曝光时间），点击“手动曝光”按钮，系统检查安全条件（安全门关闭、无急停），满足后X射线源打开设定时间，探测器采集图像并显示在界面上；可对图像进行缩放、平移和测量（通过鼠标点击测量两点间距离）。手动曝光主要用于：验证曝光参数是否合适（如调整管电压观察图像对比度变化）、检查探测器性能（如采集暗场图像查看坏点数量）、对疑似缺陷区域进行局部详细检测。</w:t>
      </w:r>
    </w:p>
    <w:p w14:paraId="1C4B54B1">
      <w:r>
        <w:t>手动缺陷分析：手动模式下可调用分析软件的手动分析工具，对采集的图像进行缺陷标注和测量。工具包括：距离测量（测量两点间直线距离，精度±0.01mm）、面积测量（计算封闭区域面积，单位mm²）、角度测量（测量两条直线夹角）和缺陷标注（用不同颜色标记气泡、裂纹、夹杂）。手动分析结果可保存为图像文件或导出为Excel表格，主要用于：对自动检测结果存疑的区域进行人工复核、记录特殊缺陷的形态特征、培训新操作人员识别缺陷。</w:t>
      </w:r>
    </w:p>
    <w:p w14:paraId="439B018E">
      <w:pPr>
        <w:pStyle w:val="3"/>
      </w:pPr>
      <w:r>
        <w:t>A. 附录（补充内容）</w:t>
      </w:r>
    </w:p>
    <w:p w14:paraId="3834CF83">
      <w:pPr>
        <w:pStyle w:val="4"/>
      </w:pPr>
      <w:r>
        <w:t>A.1 术语解释</w:t>
      </w:r>
    </w:p>
    <w:tbl>
      <w:tblPr>
        <w:tblStyle w:val="50"/>
        <w:tblW w:w="0" w:type="auto"/>
        <w:tblInd w:w="0" w:type="dxa"/>
        <w:tblLayout w:type="fixed"/>
        <w:tblCellMar>
          <w:top w:w="0" w:type="dxa"/>
          <w:left w:w="0" w:type="dxa"/>
          <w:bottom w:w="0" w:type="dxa"/>
          <w:right w:w="0" w:type="dxa"/>
        </w:tblCellMar>
      </w:tblPr>
      <w:tblGrid>
        <w:gridCol w:w="4320"/>
        <w:gridCol w:w="4320"/>
      </w:tblGrid>
      <w:tr w14:paraId="0A306F35">
        <w:tblPrEx>
          <w:tblCellMar>
            <w:top w:w="0" w:type="dxa"/>
            <w:left w:w="0" w:type="dxa"/>
            <w:bottom w:w="0" w:type="dxa"/>
            <w:right w:w="0" w:type="dxa"/>
          </w:tblCellMar>
        </w:tblPrEx>
        <w:tc>
          <w:tcPr>
            <w:tcW w:w="0" w:type="auto"/>
            <w:vAlign w:val="center"/>
          </w:tcPr>
          <w:p w14:paraId="0FBAC1E5">
            <w:pPr>
              <w:jc w:val="center"/>
              <w:rPr>
                <w:b/>
              </w:rPr>
            </w:pPr>
            <w:r>
              <w:rPr>
                <w:b/>
              </w:rPr>
              <w:t>术语</w:t>
            </w:r>
          </w:p>
        </w:tc>
        <w:tc>
          <w:tcPr>
            <w:tcW w:w="0" w:type="auto"/>
            <w:vAlign w:val="center"/>
          </w:tcPr>
          <w:p w14:paraId="7C8D8493">
            <w:pPr>
              <w:jc w:val="center"/>
              <w:rPr>
                <w:b/>
              </w:rPr>
            </w:pPr>
            <w:r>
              <w:rPr>
                <w:b/>
              </w:rPr>
              <w:t>定义</w:t>
            </w:r>
          </w:p>
        </w:tc>
      </w:tr>
      <w:tr w14:paraId="161664A0">
        <w:tblPrEx>
          <w:tblCellMar>
            <w:top w:w="0" w:type="dxa"/>
            <w:left w:w="0" w:type="dxa"/>
            <w:bottom w:w="0" w:type="dxa"/>
            <w:right w:w="0" w:type="dxa"/>
          </w:tblCellMar>
        </w:tblPrEx>
        <w:tc>
          <w:tcPr>
            <w:tcW w:w="0" w:type="auto"/>
            <w:vAlign w:val="center"/>
          </w:tcPr>
          <w:p w14:paraId="393886EC">
            <w:r>
              <w:t>非破坏性检测</w:t>
            </w:r>
          </w:p>
        </w:tc>
        <w:tc>
          <w:tcPr>
            <w:tcW w:w="0" w:type="auto"/>
            <w:vAlign w:val="center"/>
          </w:tcPr>
          <w:p w14:paraId="446B2B98">
            <w:r>
              <w:t>不损伤被检测对象性能和完整性的前提下，检测其内部或表面缺陷的技术方法。</w:t>
            </w:r>
          </w:p>
        </w:tc>
      </w:tr>
      <w:tr w14:paraId="7AA942EE">
        <w:tblPrEx>
          <w:tblCellMar>
            <w:top w:w="0" w:type="dxa"/>
            <w:left w:w="0" w:type="dxa"/>
            <w:bottom w:w="0" w:type="dxa"/>
            <w:right w:w="0" w:type="dxa"/>
          </w:tblCellMar>
        </w:tblPrEx>
        <w:tc>
          <w:tcPr>
            <w:tcW w:w="0" w:type="auto"/>
            <w:vAlign w:val="center"/>
          </w:tcPr>
          <w:p w14:paraId="7EA724BC">
            <w:r>
              <w:t>空间分辨率</w:t>
            </w:r>
          </w:p>
        </w:tc>
        <w:tc>
          <w:tcPr>
            <w:tcW w:w="0" w:type="auto"/>
            <w:vAlign w:val="center"/>
          </w:tcPr>
          <w:p w14:paraId="02775BE6">
            <w:r>
              <w:t>成像系统区分相邻两个细节的能力，单位Lp/mm（每毫米线对数）。</w:t>
            </w:r>
          </w:p>
        </w:tc>
      </w:tr>
      <w:tr w14:paraId="5F5B00D6">
        <w:tc>
          <w:tcPr>
            <w:tcW w:w="0" w:type="auto"/>
            <w:vAlign w:val="center"/>
          </w:tcPr>
          <w:p w14:paraId="50A36C1E">
            <w:r>
              <w:t>灰度值</w:t>
            </w:r>
          </w:p>
        </w:tc>
        <w:tc>
          <w:tcPr>
            <w:tcW w:w="0" w:type="auto"/>
            <w:vAlign w:val="center"/>
          </w:tcPr>
          <w:p w14:paraId="32D5B31E">
            <w:r>
              <w:t>图像中像素的亮度值，反映X射线穿透后的强度，范围通常0～65535（16位）。</w:t>
            </w:r>
          </w:p>
        </w:tc>
      </w:tr>
      <w:tr w14:paraId="35DE8035">
        <w:tblPrEx>
          <w:tblCellMar>
            <w:top w:w="0" w:type="dxa"/>
            <w:left w:w="0" w:type="dxa"/>
            <w:bottom w:w="0" w:type="dxa"/>
            <w:right w:w="0" w:type="dxa"/>
          </w:tblCellMar>
        </w:tblPrEx>
        <w:tc>
          <w:tcPr>
            <w:tcW w:w="0" w:type="auto"/>
            <w:vAlign w:val="center"/>
          </w:tcPr>
          <w:p w14:paraId="4495583D">
            <w:r>
              <w:t>三维CT重建</w:t>
            </w:r>
          </w:p>
        </w:tc>
        <w:tc>
          <w:tcPr>
            <w:tcW w:w="0" w:type="auto"/>
            <w:vAlign w:val="center"/>
          </w:tcPr>
          <w:p w14:paraId="366BF503">
            <w:r>
              <w:t>基于多角度X射线投影数据，通过数学算法计算物体内部体素密度，生成三维图像的技术。</w:t>
            </w:r>
          </w:p>
        </w:tc>
      </w:tr>
      <w:tr w14:paraId="4FFAA828">
        <w:tblPrEx>
          <w:tblCellMar>
            <w:top w:w="0" w:type="dxa"/>
            <w:left w:w="0" w:type="dxa"/>
            <w:bottom w:w="0" w:type="dxa"/>
            <w:right w:w="0" w:type="dxa"/>
          </w:tblCellMar>
        </w:tblPrEx>
        <w:tc>
          <w:tcPr>
            <w:tcW w:w="0" w:type="auto"/>
            <w:vAlign w:val="center"/>
          </w:tcPr>
          <w:p w14:paraId="29201E3D">
            <w:r>
              <w:t>VoidInspect算法</w:t>
            </w:r>
          </w:p>
        </w:tc>
        <w:tc>
          <w:tcPr>
            <w:tcW w:w="0" w:type="auto"/>
            <w:vAlign w:val="center"/>
          </w:tcPr>
          <w:p w14:paraId="25C7557C">
            <w:r>
              <w:t>本系统专用的气泡检测算法，通过灰度分析和形态学运算识别并量化气泡缺陷。</w:t>
            </w:r>
          </w:p>
        </w:tc>
      </w:tr>
      <w:tr w14:paraId="3E034B7A">
        <w:tblPrEx>
          <w:tblCellMar>
            <w:top w:w="0" w:type="dxa"/>
            <w:left w:w="0" w:type="dxa"/>
            <w:bottom w:w="0" w:type="dxa"/>
            <w:right w:w="0" w:type="dxa"/>
          </w:tblCellMar>
        </w:tblPrEx>
        <w:tc>
          <w:tcPr>
            <w:tcW w:w="0" w:type="auto"/>
            <w:vAlign w:val="center"/>
          </w:tcPr>
          <w:p w14:paraId="4CA00AD1">
            <w:r>
              <w:t>光栅尺</w:t>
            </w:r>
          </w:p>
        </w:tc>
        <w:tc>
          <w:tcPr>
            <w:tcW w:w="0" w:type="auto"/>
            <w:vAlign w:val="center"/>
          </w:tcPr>
          <w:p w14:paraId="20701D8B">
            <w:r>
              <w:t>一种高精度位置测量装置，通过光学原理实现纳米级位置反馈。</w:t>
            </w:r>
          </w:p>
        </w:tc>
      </w:tr>
      <w:tr w14:paraId="403F6EB2">
        <w:tc>
          <w:tcPr>
            <w:tcW w:w="0" w:type="auto"/>
            <w:vAlign w:val="center"/>
          </w:tcPr>
          <w:p w14:paraId="44B07EC1">
            <w:r>
              <w:t>伺服系统</w:t>
            </w:r>
          </w:p>
        </w:tc>
        <w:tc>
          <w:tcPr>
            <w:tcW w:w="0" w:type="auto"/>
            <w:vAlign w:val="center"/>
          </w:tcPr>
          <w:p w14:paraId="0E883EE6">
            <w:r>
              <w:t>由伺服电机、驱动器和反馈元件组成的闭环控制系统，实现高精度位置和速度控制。</w:t>
            </w:r>
          </w:p>
        </w:tc>
      </w:tr>
    </w:tbl>
    <w:p w14:paraId="70A42E57">
      <w:pPr>
        <w:pStyle w:val="4"/>
      </w:pPr>
      <w:r>
        <w:t>A.2 常见缩略语</w:t>
      </w:r>
    </w:p>
    <w:tbl>
      <w:tblPr>
        <w:tblStyle w:val="50"/>
        <w:tblW w:w="0" w:type="auto"/>
        <w:tblInd w:w="0" w:type="dxa"/>
        <w:tblLayout w:type="fixed"/>
        <w:tblCellMar>
          <w:top w:w="0" w:type="dxa"/>
          <w:left w:w="0" w:type="dxa"/>
          <w:bottom w:w="0" w:type="dxa"/>
          <w:right w:w="0" w:type="dxa"/>
        </w:tblCellMar>
      </w:tblPr>
      <w:tblGrid>
        <w:gridCol w:w="2880"/>
        <w:gridCol w:w="2880"/>
        <w:gridCol w:w="2880"/>
      </w:tblGrid>
      <w:tr w14:paraId="5BAC60D9">
        <w:tblPrEx>
          <w:tblCellMar>
            <w:top w:w="0" w:type="dxa"/>
            <w:left w:w="0" w:type="dxa"/>
            <w:bottom w:w="0" w:type="dxa"/>
            <w:right w:w="0" w:type="dxa"/>
          </w:tblCellMar>
        </w:tblPrEx>
        <w:tc>
          <w:tcPr>
            <w:tcW w:w="0" w:type="auto"/>
            <w:vAlign w:val="center"/>
          </w:tcPr>
          <w:p w14:paraId="2E1361B7">
            <w:pPr>
              <w:jc w:val="center"/>
              <w:rPr>
                <w:b/>
              </w:rPr>
            </w:pPr>
            <w:r>
              <w:rPr>
                <w:b/>
              </w:rPr>
              <w:t>缩略语</w:t>
            </w:r>
          </w:p>
        </w:tc>
        <w:tc>
          <w:tcPr>
            <w:tcW w:w="0" w:type="auto"/>
            <w:vAlign w:val="center"/>
          </w:tcPr>
          <w:p w14:paraId="68C6EEB3">
            <w:pPr>
              <w:jc w:val="center"/>
              <w:rPr>
                <w:b/>
              </w:rPr>
            </w:pPr>
            <w:r>
              <w:rPr>
                <w:b/>
              </w:rPr>
              <w:t>全称</w:t>
            </w:r>
          </w:p>
        </w:tc>
        <w:tc>
          <w:tcPr>
            <w:tcW w:w="0" w:type="auto"/>
            <w:vAlign w:val="center"/>
          </w:tcPr>
          <w:p w14:paraId="53F611B0">
            <w:pPr>
              <w:jc w:val="center"/>
              <w:rPr>
                <w:b/>
              </w:rPr>
            </w:pPr>
            <w:r>
              <w:rPr>
                <w:b/>
              </w:rPr>
              <w:t>中文含义</w:t>
            </w:r>
          </w:p>
        </w:tc>
      </w:tr>
      <w:tr w14:paraId="463D00C8">
        <w:tblPrEx>
          <w:tblCellMar>
            <w:top w:w="0" w:type="dxa"/>
            <w:left w:w="0" w:type="dxa"/>
            <w:bottom w:w="0" w:type="dxa"/>
            <w:right w:w="0" w:type="dxa"/>
          </w:tblCellMar>
        </w:tblPrEx>
        <w:tc>
          <w:tcPr>
            <w:tcW w:w="0" w:type="auto"/>
            <w:vAlign w:val="center"/>
          </w:tcPr>
          <w:p w14:paraId="6F8D46A2">
            <w:r>
              <w:t>PLC</w:t>
            </w:r>
          </w:p>
        </w:tc>
        <w:tc>
          <w:tcPr>
            <w:tcW w:w="0" w:type="auto"/>
            <w:vAlign w:val="center"/>
          </w:tcPr>
          <w:p w14:paraId="56DD3762">
            <w:r>
              <w:t>Programmable Logic Controller</w:t>
            </w:r>
          </w:p>
        </w:tc>
        <w:tc>
          <w:tcPr>
            <w:tcW w:w="0" w:type="auto"/>
            <w:vAlign w:val="center"/>
          </w:tcPr>
          <w:p w14:paraId="28674CBB">
            <w:r>
              <w:t>可编程逻辑控制器</w:t>
            </w:r>
          </w:p>
        </w:tc>
      </w:tr>
      <w:tr w14:paraId="6AFF3776">
        <w:tblPrEx>
          <w:tblCellMar>
            <w:top w:w="0" w:type="dxa"/>
            <w:left w:w="0" w:type="dxa"/>
            <w:bottom w:w="0" w:type="dxa"/>
            <w:right w:w="0" w:type="dxa"/>
          </w:tblCellMar>
        </w:tblPrEx>
        <w:tc>
          <w:tcPr>
            <w:tcW w:w="0" w:type="auto"/>
            <w:vAlign w:val="center"/>
          </w:tcPr>
          <w:p w14:paraId="04D22374">
            <w:r>
              <w:t>MES</w:t>
            </w:r>
          </w:p>
        </w:tc>
        <w:tc>
          <w:tcPr>
            <w:tcW w:w="0" w:type="auto"/>
            <w:vAlign w:val="center"/>
          </w:tcPr>
          <w:p w14:paraId="386A45E1">
            <w:r>
              <w:t>Manufacturing Execution System</w:t>
            </w:r>
          </w:p>
        </w:tc>
        <w:tc>
          <w:tcPr>
            <w:tcW w:w="0" w:type="auto"/>
            <w:vAlign w:val="center"/>
          </w:tcPr>
          <w:p w14:paraId="6364D71F">
            <w:r>
              <w:t>制造执行系统</w:t>
            </w:r>
          </w:p>
        </w:tc>
      </w:tr>
      <w:tr w14:paraId="0D8C64B0">
        <w:tc>
          <w:tcPr>
            <w:tcW w:w="0" w:type="auto"/>
            <w:vAlign w:val="center"/>
          </w:tcPr>
          <w:p w14:paraId="0D031956">
            <w:r>
              <w:t>OPC UA</w:t>
            </w:r>
          </w:p>
        </w:tc>
        <w:tc>
          <w:tcPr>
            <w:tcW w:w="0" w:type="auto"/>
            <w:vAlign w:val="center"/>
          </w:tcPr>
          <w:p w14:paraId="14CB4527">
            <w:r>
              <w:t>Open Platform Communications Unified Architecture</w:t>
            </w:r>
          </w:p>
        </w:tc>
        <w:tc>
          <w:tcPr>
            <w:tcW w:w="0" w:type="auto"/>
            <w:vAlign w:val="center"/>
          </w:tcPr>
          <w:p w14:paraId="1DF99E7A">
            <w:r>
              <w:t>开放平台通信统一架构</w:t>
            </w:r>
          </w:p>
        </w:tc>
      </w:tr>
      <w:tr w14:paraId="5A7FAA19">
        <w:tblPrEx>
          <w:tblCellMar>
            <w:top w:w="0" w:type="dxa"/>
            <w:left w:w="0" w:type="dxa"/>
            <w:bottom w:w="0" w:type="dxa"/>
            <w:right w:w="0" w:type="dxa"/>
          </w:tblCellMar>
        </w:tblPrEx>
        <w:tc>
          <w:tcPr>
            <w:tcW w:w="0" w:type="auto"/>
            <w:vAlign w:val="center"/>
          </w:tcPr>
          <w:p w14:paraId="40B64629">
            <w:r>
              <w:t>CAD</w:t>
            </w:r>
          </w:p>
        </w:tc>
        <w:tc>
          <w:tcPr>
            <w:tcW w:w="0" w:type="auto"/>
            <w:vAlign w:val="center"/>
          </w:tcPr>
          <w:p w14:paraId="7157A41C">
            <w:r>
              <w:t>Computer-Aided Design</w:t>
            </w:r>
          </w:p>
        </w:tc>
        <w:tc>
          <w:tcPr>
            <w:tcW w:w="0" w:type="auto"/>
            <w:vAlign w:val="center"/>
          </w:tcPr>
          <w:p w14:paraId="24EA9DE8">
            <w:r>
              <w:t>计算机辅助设计</w:t>
            </w:r>
          </w:p>
        </w:tc>
      </w:tr>
      <w:tr w14:paraId="67C955DE">
        <w:tblPrEx>
          <w:tblCellMar>
            <w:top w:w="0" w:type="dxa"/>
            <w:left w:w="0" w:type="dxa"/>
            <w:bottom w:w="0" w:type="dxa"/>
            <w:right w:w="0" w:type="dxa"/>
          </w:tblCellMar>
        </w:tblPrEx>
        <w:tc>
          <w:tcPr>
            <w:tcW w:w="0" w:type="auto"/>
            <w:vAlign w:val="center"/>
          </w:tcPr>
          <w:p w14:paraId="6A1E84DA">
            <w:r>
              <w:t>ROI</w:t>
            </w:r>
          </w:p>
        </w:tc>
        <w:tc>
          <w:tcPr>
            <w:tcW w:w="0" w:type="auto"/>
            <w:vAlign w:val="center"/>
          </w:tcPr>
          <w:p w14:paraId="572009FA">
            <w:r>
              <w:t>Region of Interest</w:t>
            </w:r>
          </w:p>
        </w:tc>
        <w:tc>
          <w:tcPr>
            <w:tcW w:w="0" w:type="auto"/>
            <w:vAlign w:val="center"/>
          </w:tcPr>
          <w:p w14:paraId="75E32246">
            <w:r>
              <w:t>感兴趣区域</w:t>
            </w:r>
          </w:p>
        </w:tc>
      </w:tr>
      <w:tr w14:paraId="0D221329">
        <w:tblPrEx>
          <w:tblCellMar>
            <w:top w:w="0" w:type="dxa"/>
            <w:left w:w="0" w:type="dxa"/>
            <w:bottom w:w="0" w:type="dxa"/>
            <w:right w:w="0" w:type="dxa"/>
          </w:tblCellMar>
        </w:tblPrEx>
        <w:tc>
          <w:tcPr>
            <w:tcW w:w="0" w:type="auto"/>
            <w:vAlign w:val="center"/>
          </w:tcPr>
          <w:p w14:paraId="51FE12D5">
            <w:r>
              <w:t>HDR</w:t>
            </w:r>
          </w:p>
        </w:tc>
        <w:tc>
          <w:tcPr>
            <w:tcW w:w="0" w:type="auto"/>
            <w:vAlign w:val="center"/>
          </w:tcPr>
          <w:p w14:paraId="74B9A877">
            <w:r>
              <w:t>High Dynamic Range</w:t>
            </w:r>
          </w:p>
        </w:tc>
        <w:tc>
          <w:tcPr>
            <w:tcW w:w="0" w:type="auto"/>
            <w:vAlign w:val="center"/>
          </w:tcPr>
          <w:p w14:paraId="2A50746F">
            <w:r>
              <w:t>高动态范围</w:t>
            </w:r>
          </w:p>
        </w:tc>
      </w:tr>
      <w:tr w14:paraId="6398D84C">
        <w:tc>
          <w:tcPr>
            <w:tcW w:w="0" w:type="auto"/>
            <w:vAlign w:val="center"/>
          </w:tcPr>
          <w:p w14:paraId="340DD0E0">
            <w:r>
              <w:t>FPS</w:t>
            </w:r>
          </w:p>
        </w:tc>
        <w:tc>
          <w:tcPr>
            <w:tcW w:w="0" w:type="auto"/>
            <w:vAlign w:val="center"/>
          </w:tcPr>
          <w:p w14:paraId="67AB4819">
            <w:r>
              <w:t>Frames Per Second</w:t>
            </w:r>
          </w:p>
        </w:tc>
        <w:tc>
          <w:tcPr>
            <w:tcW w:w="0" w:type="auto"/>
            <w:vAlign w:val="center"/>
          </w:tcPr>
          <w:p w14:paraId="6356F9C6">
            <w:r>
              <w:t>每秒帧数</w:t>
            </w:r>
          </w:p>
        </w:tc>
      </w:tr>
    </w:tbl>
    <w:p w14:paraId="0FF46B0A">
      <w:pPr>
        <w:pStyle w:val="4"/>
      </w:pPr>
      <w:r>
        <w:t>A.3 维护记录表模板</w:t>
      </w:r>
    </w:p>
    <w:p w14:paraId="6F163870">
      <w:r>
        <w:rPr>
          <w:b/>
        </w:rPr>
        <w:t>日常维护记录表</w:t>
      </w:r>
    </w:p>
    <w:p w14:paraId="7C8AC698">
      <w:r>
        <w:t>日期：</w:t>
      </w:r>
      <w:r>
        <w:rPr>
          <w:u w:val="words"/>
        </w:rPr>
        <w:t>年__月__日</w:t>
      </w:r>
    </w:p>
    <w:p w14:paraId="5F34B30A">
      <w:pPr>
        <w:rPr>
          <w:u w:val="words"/>
        </w:rPr>
      </w:pPr>
      <w:r>
        <w:rPr>
          <w:u w:val="words"/>
        </w:rPr>
        <w:t>设备编号：</w:t>
      </w:r>
      <w:r>
        <w:t>____</w:t>
      </w:r>
    </w:p>
    <w:p w14:paraId="28F7E211">
      <w:r>
        <w:t>操作员：________</w:t>
      </w:r>
    </w:p>
    <w:tbl>
      <w:tblPr>
        <w:tblStyle w:val="50"/>
        <w:tblW w:w="0" w:type="auto"/>
        <w:tblInd w:w="0" w:type="dxa"/>
        <w:tblLayout w:type="fixed"/>
        <w:tblCellMar>
          <w:top w:w="0" w:type="dxa"/>
          <w:left w:w="0" w:type="dxa"/>
          <w:bottom w:w="0" w:type="dxa"/>
          <w:right w:w="0" w:type="dxa"/>
        </w:tblCellMar>
      </w:tblPr>
      <w:tblGrid>
        <w:gridCol w:w="1728"/>
        <w:gridCol w:w="1728"/>
        <w:gridCol w:w="1728"/>
        <w:gridCol w:w="1728"/>
        <w:gridCol w:w="1728"/>
      </w:tblGrid>
      <w:tr w14:paraId="0D48C5D7">
        <w:tblPrEx>
          <w:tblCellMar>
            <w:top w:w="0" w:type="dxa"/>
            <w:left w:w="0" w:type="dxa"/>
            <w:bottom w:w="0" w:type="dxa"/>
            <w:right w:w="0" w:type="dxa"/>
          </w:tblCellMar>
        </w:tblPrEx>
        <w:tc>
          <w:tcPr>
            <w:tcW w:w="0" w:type="auto"/>
            <w:vAlign w:val="center"/>
          </w:tcPr>
          <w:p w14:paraId="0E9849E6">
            <w:pPr>
              <w:jc w:val="center"/>
              <w:rPr>
                <w:b/>
              </w:rPr>
            </w:pPr>
            <w:r>
              <w:rPr>
                <w:b/>
              </w:rPr>
              <w:t>维护项目</w:t>
            </w:r>
          </w:p>
        </w:tc>
        <w:tc>
          <w:tcPr>
            <w:tcW w:w="0" w:type="auto"/>
            <w:vAlign w:val="center"/>
          </w:tcPr>
          <w:p w14:paraId="386C2681">
            <w:pPr>
              <w:jc w:val="center"/>
              <w:rPr>
                <w:b/>
              </w:rPr>
            </w:pPr>
            <w:r>
              <w:rPr>
                <w:b/>
              </w:rPr>
              <w:t>检查内容</w:t>
            </w:r>
          </w:p>
        </w:tc>
        <w:tc>
          <w:tcPr>
            <w:tcW w:w="0" w:type="auto"/>
            <w:vAlign w:val="center"/>
          </w:tcPr>
          <w:p w14:paraId="6B8E6E90">
            <w:pPr>
              <w:jc w:val="center"/>
              <w:rPr>
                <w:b/>
              </w:rPr>
            </w:pPr>
            <w:r>
              <w:rPr>
                <w:b/>
              </w:rPr>
              <w:t>检查结果（正常√/异常×）</w:t>
            </w:r>
          </w:p>
        </w:tc>
        <w:tc>
          <w:tcPr>
            <w:tcW w:w="0" w:type="auto"/>
            <w:vAlign w:val="center"/>
          </w:tcPr>
          <w:p w14:paraId="7C3D251F">
            <w:pPr>
              <w:jc w:val="center"/>
              <w:rPr>
                <w:b/>
              </w:rPr>
            </w:pPr>
            <w:r>
              <w:rPr>
                <w:b/>
              </w:rPr>
              <w:t>处理措施</w:t>
            </w:r>
          </w:p>
        </w:tc>
        <w:tc>
          <w:tcPr>
            <w:tcW w:w="0" w:type="auto"/>
            <w:vAlign w:val="center"/>
          </w:tcPr>
          <w:p w14:paraId="4702AFFE">
            <w:pPr>
              <w:jc w:val="center"/>
              <w:rPr>
                <w:b/>
              </w:rPr>
            </w:pPr>
            <w:r>
              <w:rPr>
                <w:b/>
              </w:rPr>
              <w:t>备注</w:t>
            </w:r>
          </w:p>
        </w:tc>
      </w:tr>
      <w:tr w14:paraId="4FE53DF5">
        <w:tblPrEx>
          <w:tblCellMar>
            <w:top w:w="0" w:type="dxa"/>
            <w:left w:w="0" w:type="dxa"/>
            <w:bottom w:w="0" w:type="dxa"/>
            <w:right w:w="0" w:type="dxa"/>
          </w:tblCellMar>
        </w:tblPrEx>
        <w:tc>
          <w:tcPr>
            <w:tcW w:w="0" w:type="auto"/>
            <w:vAlign w:val="center"/>
          </w:tcPr>
          <w:p w14:paraId="5FEC3234">
            <w:r>
              <w:t>电源系统</w:t>
            </w:r>
          </w:p>
        </w:tc>
        <w:tc>
          <w:tcPr>
            <w:tcW w:w="0" w:type="auto"/>
            <w:vAlign w:val="center"/>
          </w:tcPr>
          <w:p w14:paraId="5A1EAE47">
            <w:r>
              <w:t>三相电压（V）：____ ____ ____</w:t>
            </w:r>
          </w:p>
        </w:tc>
        <w:tc>
          <w:tcPr>
            <w:tcW w:w="0" w:type="auto"/>
            <w:vAlign w:val="center"/>
          </w:tcPr>
          <w:p w14:paraId="6E357A3F"/>
        </w:tc>
        <w:tc>
          <w:tcPr>
            <w:tcW w:w="0" w:type="auto"/>
            <w:vAlign w:val="center"/>
          </w:tcPr>
          <w:p w14:paraId="44B0D388"/>
        </w:tc>
        <w:tc>
          <w:tcPr>
            <w:tcW w:w="0" w:type="auto"/>
            <w:vAlign w:val="center"/>
          </w:tcPr>
          <w:p w14:paraId="043BED28"/>
        </w:tc>
      </w:tr>
      <w:tr w14:paraId="7D130700">
        <w:tblPrEx>
          <w:tblCellMar>
            <w:top w:w="0" w:type="dxa"/>
            <w:left w:w="0" w:type="dxa"/>
            <w:bottom w:w="0" w:type="dxa"/>
            <w:right w:w="0" w:type="dxa"/>
          </w:tblCellMar>
        </w:tblPrEx>
        <w:tc>
          <w:tcPr>
            <w:tcW w:w="0" w:type="auto"/>
            <w:vAlign w:val="center"/>
          </w:tcPr>
          <w:p w14:paraId="32C26ED3">
            <w:r>
              <w:t>冷却系统</w:t>
            </w:r>
          </w:p>
        </w:tc>
        <w:tc>
          <w:tcPr>
            <w:tcW w:w="0" w:type="auto"/>
            <w:vAlign w:val="center"/>
          </w:tcPr>
          <w:p w14:paraId="7999D6E7">
            <w:r>
              <w:t>风扇运行、水温（℃）：____</w:t>
            </w:r>
          </w:p>
        </w:tc>
        <w:tc>
          <w:tcPr>
            <w:tcW w:w="0" w:type="auto"/>
            <w:vAlign w:val="center"/>
          </w:tcPr>
          <w:p w14:paraId="05E0204A"/>
        </w:tc>
        <w:tc>
          <w:tcPr>
            <w:tcW w:w="0" w:type="auto"/>
            <w:vAlign w:val="center"/>
          </w:tcPr>
          <w:p w14:paraId="1E5AFEDB"/>
        </w:tc>
        <w:tc>
          <w:tcPr>
            <w:tcW w:w="0" w:type="auto"/>
            <w:vAlign w:val="center"/>
          </w:tcPr>
          <w:p w14:paraId="775504A6"/>
        </w:tc>
      </w:tr>
      <w:tr w14:paraId="363064D6">
        <w:tc>
          <w:tcPr>
            <w:tcW w:w="0" w:type="auto"/>
            <w:vAlign w:val="center"/>
          </w:tcPr>
          <w:p w14:paraId="571DA6DB">
            <w:r>
              <w:t>运动系统</w:t>
            </w:r>
          </w:p>
        </w:tc>
        <w:tc>
          <w:tcPr>
            <w:tcW w:w="0" w:type="auto"/>
            <w:vAlign w:val="center"/>
          </w:tcPr>
          <w:p w14:paraId="55043837">
            <w:r>
              <w:t>各轴运动有无异响、限位开关状态</w:t>
            </w:r>
          </w:p>
        </w:tc>
        <w:tc>
          <w:tcPr>
            <w:tcW w:w="0" w:type="auto"/>
            <w:vAlign w:val="center"/>
          </w:tcPr>
          <w:p w14:paraId="4185DFE8"/>
        </w:tc>
        <w:tc>
          <w:tcPr>
            <w:tcW w:w="0" w:type="auto"/>
            <w:vAlign w:val="center"/>
          </w:tcPr>
          <w:p w14:paraId="65C7D5F4"/>
        </w:tc>
        <w:tc>
          <w:tcPr>
            <w:tcW w:w="0" w:type="auto"/>
            <w:vAlign w:val="center"/>
          </w:tcPr>
          <w:p w14:paraId="2118BDF1"/>
        </w:tc>
      </w:tr>
      <w:tr w14:paraId="6A74CA0F">
        <w:tblPrEx>
          <w:tblCellMar>
            <w:top w:w="0" w:type="dxa"/>
            <w:left w:w="0" w:type="dxa"/>
            <w:bottom w:w="0" w:type="dxa"/>
            <w:right w:w="0" w:type="dxa"/>
          </w:tblCellMar>
        </w:tblPrEx>
        <w:tc>
          <w:tcPr>
            <w:tcW w:w="0" w:type="auto"/>
            <w:vAlign w:val="center"/>
          </w:tcPr>
          <w:p w14:paraId="1477A991">
            <w:r>
              <w:t>探测器</w:t>
            </w:r>
          </w:p>
        </w:tc>
        <w:tc>
          <w:tcPr>
            <w:tcW w:w="0" w:type="auto"/>
            <w:vAlign w:val="center"/>
          </w:tcPr>
          <w:p w14:paraId="33C3D1E6">
            <w:r>
              <w:t>表面清洁度、温度（℃）：____</w:t>
            </w:r>
          </w:p>
        </w:tc>
        <w:tc>
          <w:tcPr>
            <w:tcW w:w="0" w:type="auto"/>
            <w:vAlign w:val="center"/>
          </w:tcPr>
          <w:p w14:paraId="5E95F472"/>
        </w:tc>
        <w:tc>
          <w:tcPr>
            <w:tcW w:w="0" w:type="auto"/>
            <w:vAlign w:val="center"/>
          </w:tcPr>
          <w:p w14:paraId="01814B02"/>
        </w:tc>
        <w:tc>
          <w:tcPr>
            <w:tcW w:w="0" w:type="auto"/>
            <w:vAlign w:val="center"/>
          </w:tcPr>
          <w:p w14:paraId="450CA1CB"/>
        </w:tc>
      </w:tr>
      <w:tr w14:paraId="550458DF">
        <w:tblPrEx>
          <w:tblCellMar>
            <w:top w:w="0" w:type="dxa"/>
            <w:left w:w="0" w:type="dxa"/>
            <w:bottom w:w="0" w:type="dxa"/>
            <w:right w:w="0" w:type="dxa"/>
          </w:tblCellMar>
        </w:tblPrEx>
        <w:tc>
          <w:tcPr>
            <w:tcW w:w="0" w:type="auto"/>
            <w:vAlign w:val="center"/>
          </w:tcPr>
          <w:p w14:paraId="55CFB08E">
            <w:r>
              <w:t>安全装置</w:t>
            </w:r>
          </w:p>
        </w:tc>
        <w:tc>
          <w:tcPr>
            <w:tcW w:w="0" w:type="auto"/>
            <w:vAlign w:val="center"/>
          </w:tcPr>
          <w:p w14:paraId="527B5E28">
            <w:r>
              <w:t>安全门联锁、急停按钮响应</w:t>
            </w:r>
          </w:p>
        </w:tc>
        <w:tc>
          <w:tcPr>
            <w:tcW w:w="0" w:type="auto"/>
            <w:vAlign w:val="center"/>
          </w:tcPr>
          <w:p w14:paraId="7C52E23D"/>
        </w:tc>
        <w:tc>
          <w:tcPr>
            <w:tcW w:w="0" w:type="auto"/>
            <w:vAlign w:val="center"/>
          </w:tcPr>
          <w:p w14:paraId="61F4288E"/>
        </w:tc>
        <w:tc>
          <w:tcPr>
            <w:tcW w:w="0" w:type="auto"/>
            <w:vAlign w:val="center"/>
          </w:tcPr>
          <w:p w14:paraId="0491BED8"/>
        </w:tc>
      </w:tr>
      <w:tr w14:paraId="78298C07">
        <w:tblPrEx>
          <w:tblCellMar>
            <w:top w:w="0" w:type="dxa"/>
            <w:left w:w="0" w:type="dxa"/>
            <w:bottom w:w="0" w:type="dxa"/>
            <w:right w:w="0" w:type="dxa"/>
          </w:tblCellMar>
        </w:tblPrEx>
        <w:tc>
          <w:tcPr>
            <w:tcW w:w="0" w:type="auto"/>
            <w:vAlign w:val="center"/>
          </w:tcPr>
          <w:p w14:paraId="3CF40B22">
            <w:r>
              <w:t>当日检测数据</w:t>
            </w:r>
          </w:p>
        </w:tc>
        <w:tc>
          <w:tcPr>
            <w:tcW w:w="0" w:type="auto"/>
            <w:vAlign w:val="center"/>
          </w:tcPr>
          <w:p w14:paraId="6C0A4233">
            <w:r>
              <w:t>检测数量：____ 合格数：____ 合格率：____%</w:t>
            </w:r>
          </w:p>
        </w:tc>
        <w:tc>
          <w:tcPr>
            <w:tcW w:w="0" w:type="auto"/>
            <w:vAlign w:val="center"/>
          </w:tcPr>
          <w:p w14:paraId="72757E97"/>
        </w:tc>
        <w:tc>
          <w:tcPr>
            <w:tcW w:w="0" w:type="auto"/>
            <w:vAlign w:val="center"/>
          </w:tcPr>
          <w:p w14:paraId="08B746CC"/>
        </w:tc>
        <w:tc>
          <w:tcPr>
            <w:tcW w:w="0" w:type="auto"/>
            <w:vAlign w:val="center"/>
          </w:tcPr>
          <w:p w14:paraId="481BF555"/>
        </w:tc>
      </w:tr>
    </w:tbl>
    <w:p w14:paraId="000849EF">
      <w:r>
        <w:t>检查人：________</w:t>
      </w:r>
    </w:p>
    <w:p w14:paraId="2A29DD2F">
      <w:r>
        <w:t>审核人：________</w:t>
      </w:r>
    </w:p>
    <w:p w14:paraId="65513056">
      <w:r>
        <w:rPr>
          <w:b/>
        </w:rPr>
        <w:t>定期维护记录表（月度）</w:t>
      </w:r>
    </w:p>
    <w:p w14:paraId="465701F3">
      <w:r>
        <w:t>日期：</w:t>
      </w:r>
      <w:r>
        <w:rPr>
          <w:u w:val="words"/>
        </w:rPr>
        <w:t>年__月__日</w:t>
      </w:r>
    </w:p>
    <w:p w14:paraId="6DD56E23">
      <w:pPr>
        <w:rPr>
          <w:u w:val="words"/>
        </w:rPr>
      </w:pPr>
      <w:r>
        <w:rPr>
          <w:u w:val="words"/>
        </w:rPr>
        <w:t>设备编号：</w:t>
      </w:r>
      <w:r>
        <w:t>____</w:t>
      </w:r>
    </w:p>
    <w:p w14:paraId="655DAB76">
      <w:r>
        <w:t>维护员：________</w:t>
      </w:r>
    </w:p>
    <w:tbl>
      <w:tblPr>
        <w:tblStyle w:val="50"/>
        <w:tblW w:w="0" w:type="auto"/>
        <w:tblInd w:w="0" w:type="dxa"/>
        <w:tblLayout w:type="fixed"/>
        <w:tblCellMar>
          <w:top w:w="0" w:type="dxa"/>
          <w:left w:w="0" w:type="dxa"/>
          <w:bottom w:w="0" w:type="dxa"/>
          <w:right w:w="0" w:type="dxa"/>
        </w:tblCellMar>
      </w:tblPr>
      <w:tblGrid>
        <w:gridCol w:w="1728"/>
        <w:gridCol w:w="1728"/>
        <w:gridCol w:w="1728"/>
        <w:gridCol w:w="1728"/>
        <w:gridCol w:w="1728"/>
      </w:tblGrid>
      <w:tr w14:paraId="4ED63B7B">
        <w:tblPrEx>
          <w:tblCellMar>
            <w:top w:w="0" w:type="dxa"/>
            <w:left w:w="0" w:type="dxa"/>
            <w:bottom w:w="0" w:type="dxa"/>
            <w:right w:w="0" w:type="dxa"/>
          </w:tblCellMar>
        </w:tblPrEx>
        <w:tc>
          <w:tcPr>
            <w:tcW w:w="0" w:type="auto"/>
            <w:vAlign w:val="center"/>
          </w:tcPr>
          <w:p w14:paraId="1B39453E">
            <w:pPr>
              <w:jc w:val="center"/>
              <w:rPr>
                <w:b/>
              </w:rPr>
            </w:pPr>
            <w:r>
              <w:rPr>
                <w:b/>
              </w:rPr>
              <w:t>维护项目</w:t>
            </w:r>
          </w:p>
        </w:tc>
        <w:tc>
          <w:tcPr>
            <w:tcW w:w="0" w:type="auto"/>
            <w:vAlign w:val="center"/>
          </w:tcPr>
          <w:p w14:paraId="0FA1686D">
            <w:pPr>
              <w:jc w:val="center"/>
              <w:rPr>
                <w:b/>
              </w:rPr>
            </w:pPr>
            <w:r>
              <w:rPr>
                <w:b/>
              </w:rPr>
              <w:t>维护内容</w:t>
            </w:r>
          </w:p>
        </w:tc>
        <w:tc>
          <w:tcPr>
            <w:tcW w:w="0" w:type="auto"/>
            <w:vAlign w:val="center"/>
          </w:tcPr>
          <w:p w14:paraId="3470A6D0">
            <w:pPr>
              <w:jc w:val="center"/>
              <w:rPr>
                <w:b/>
              </w:rPr>
            </w:pPr>
            <w:r>
              <w:rPr>
                <w:b/>
              </w:rPr>
              <w:t>维护前数据</w:t>
            </w:r>
          </w:p>
        </w:tc>
        <w:tc>
          <w:tcPr>
            <w:tcW w:w="0" w:type="auto"/>
            <w:vAlign w:val="center"/>
          </w:tcPr>
          <w:p w14:paraId="0E454480">
            <w:pPr>
              <w:jc w:val="center"/>
              <w:rPr>
                <w:b/>
              </w:rPr>
            </w:pPr>
            <w:r>
              <w:rPr>
                <w:b/>
              </w:rPr>
              <w:t>维护后数据</w:t>
            </w:r>
          </w:p>
        </w:tc>
        <w:tc>
          <w:tcPr>
            <w:tcW w:w="0" w:type="auto"/>
            <w:vAlign w:val="center"/>
          </w:tcPr>
          <w:p w14:paraId="2EEEDBBE">
            <w:pPr>
              <w:jc w:val="center"/>
              <w:rPr>
                <w:b/>
              </w:rPr>
            </w:pPr>
            <w:r>
              <w:rPr>
                <w:b/>
              </w:rPr>
              <w:t>备注</w:t>
            </w:r>
          </w:p>
        </w:tc>
      </w:tr>
      <w:tr w14:paraId="4D9C7BC0">
        <w:tblPrEx>
          <w:tblCellMar>
            <w:top w:w="0" w:type="dxa"/>
            <w:left w:w="0" w:type="dxa"/>
            <w:bottom w:w="0" w:type="dxa"/>
            <w:right w:w="0" w:type="dxa"/>
          </w:tblCellMar>
        </w:tblPrEx>
        <w:tc>
          <w:tcPr>
            <w:tcW w:w="0" w:type="auto"/>
            <w:vAlign w:val="center"/>
          </w:tcPr>
          <w:p w14:paraId="23E5D2D2">
            <w:r>
              <w:t>光栅尺校准</w:t>
            </w:r>
          </w:p>
        </w:tc>
        <w:tc>
          <w:tcPr>
            <w:tcW w:w="0" w:type="auto"/>
            <w:vAlign w:val="center"/>
          </w:tcPr>
          <w:p w14:paraId="55E8C17A">
            <w:r>
              <w:t>X轴定位误差（mm）：</w:t>
            </w:r>
            <w:r>
              <w:rPr>
                <w:u w:val="words"/>
              </w:rPr>
              <w:t>→</w:t>
            </w:r>
          </w:p>
        </w:tc>
        <w:tc>
          <w:tcPr>
            <w:tcW w:w="0" w:type="auto"/>
            <w:vAlign w:val="center"/>
          </w:tcPr>
          <w:p w14:paraId="00CB2751"/>
        </w:tc>
        <w:tc>
          <w:tcPr>
            <w:tcW w:w="0" w:type="auto"/>
            <w:vAlign w:val="center"/>
          </w:tcPr>
          <w:p w14:paraId="2D421745"/>
        </w:tc>
        <w:tc>
          <w:tcPr>
            <w:tcW w:w="0" w:type="auto"/>
            <w:vAlign w:val="center"/>
          </w:tcPr>
          <w:p w14:paraId="3BE9D552"/>
        </w:tc>
      </w:tr>
      <w:tr w14:paraId="446DE9C1">
        <w:tblPrEx>
          <w:tblCellMar>
            <w:top w:w="0" w:type="dxa"/>
            <w:left w:w="0" w:type="dxa"/>
            <w:bottom w:w="0" w:type="dxa"/>
            <w:right w:w="0" w:type="dxa"/>
          </w:tblCellMar>
        </w:tblPrEx>
        <w:tc>
          <w:tcPr>
            <w:tcW w:w="0" w:type="auto"/>
            <w:vAlign w:val="center"/>
          </w:tcPr>
          <w:p w14:paraId="2F6A1C8B"/>
        </w:tc>
        <w:tc>
          <w:tcPr>
            <w:tcW w:w="0" w:type="auto"/>
            <w:vAlign w:val="center"/>
          </w:tcPr>
          <w:p w14:paraId="087B3FA1">
            <w:r>
              <w:t>Y轴定位误差（mm）：</w:t>
            </w:r>
            <w:r>
              <w:rPr>
                <w:u w:val="words"/>
              </w:rPr>
              <w:t>→</w:t>
            </w:r>
          </w:p>
        </w:tc>
        <w:tc>
          <w:tcPr>
            <w:tcW w:w="0" w:type="auto"/>
            <w:vAlign w:val="center"/>
          </w:tcPr>
          <w:p w14:paraId="32DB69A7"/>
        </w:tc>
        <w:tc>
          <w:tcPr>
            <w:tcW w:w="0" w:type="auto"/>
            <w:vAlign w:val="center"/>
          </w:tcPr>
          <w:p w14:paraId="42014F37"/>
        </w:tc>
        <w:tc>
          <w:tcPr>
            <w:tcW w:w="0" w:type="auto"/>
            <w:vAlign w:val="center"/>
          </w:tcPr>
          <w:p w14:paraId="626B86D5"/>
        </w:tc>
      </w:tr>
      <w:tr w14:paraId="57CBF660">
        <w:tc>
          <w:tcPr>
            <w:tcW w:w="0" w:type="auto"/>
            <w:vAlign w:val="center"/>
          </w:tcPr>
          <w:p w14:paraId="743F672A">
            <w:r>
              <w:t>探测器灰度校准</w:t>
            </w:r>
          </w:p>
        </w:tc>
        <w:tc>
          <w:tcPr>
            <w:tcW w:w="0" w:type="auto"/>
            <w:vAlign w:val="center"/>
          </w:tcPr>
          <w:p w14:paraId="30744573">
            <w:r>
              <w:t>暗场噪声（均值）：</w:t>
            </w:r>
            <w:r>
              <w:rPr>
                <w:u w:val="words"/>
              </w:rPr>
              <w:t>→</w:t>
            </w:r>
          </w:p>
        </w:tc>
        <w:tc>
          <w:tcPr>
            <w:tcW w:w="0" w:type="auto"/>
            <w:vAlign w:val="center"/>
          </w:tcPr>
          <w:p w14:paraId="6F88B868"/>
        </w:tc>
        <w:tc>
          <w:tcPr>
            <w:tcW w:w="0" w:type="auto"/>
            <w:vAlign w:val="center"/>
          </w:tcPr>
          <w:p w14:paraId="2151133D"/>
        </w:tc>
        <w:tc>
          <w:tcPr>
            <w:tcW w:w="0" w:type="auto"/>
            <w:vAlign w:val="center"/>
          </w:tcPr>
          <w:p w14:paraId="1034467F"/>
        </w:tc>
      </w:tr>
      <w:tr w14:paraId="456F2244">
        <w:tblPrEx>
          <w:tblCellMar>
            <w:top w:w="0" w:type="dxa"/>
            <w:left w:w="0" w:type="dxa"/>
            <w:bottom w:w="0" w:type="dxa"/>
            <w:right w:w="0" w:type="dxa"/>
          </w:tblCellMar>
        </w:tblPrEx>
        <w:tc>
          <w:tcPr>
            <w:tcW w:w="0" w:type="auto"/>
            <w:vAlign w:val="center"/>
          </w:tcPr>
          <w:p w14:paraId="5DF2157D"/>
        </w:tc>
        <w:tc>
          <w:tcPr>
            <w:tcW w:w="0" w:type="auto"/>
            <w:vAlign w:val="center"/>
          </w:tcPr>
          <w:p w14:paraId="1CD6F473">
            <w:r>
              <w:t>平场均匀性误差：</w:t>
            </w:r>
            <w:r>
              <w:rPr>
                <w:u w:val="words"/>
              </w:rPr>
              <w:t>%→</w:t>
            </w:r>
            <w:r>
              <w:t>%</w:t>
            </w:r>
          </w:p>
        </w:tc>
        <w:tc>
          <w:tcPr>
            <w:tcW w:w="0" w:type="auto"/>
            <w:vAlign w:val="center"/>
          </w:tcPr>
          <w:p w14:paraId="49469812"/>
        </w:tc>
        <w:tc>
          <w:tcPr>
            <w:tcW w:w="0" w:type="auto"/>
            <w:vAlign w:val="center"/>
          </w:tcPr>
          <w:p w14:paraId="0263E474"/>
        </w:tc>
        <w:tc>
          <w:tcPr>
            <w:tcW w:w="0" w:type="auto"/>
            <w:vAlign w:val="center"/>
          </w:tcPr>
          <w:p w14:paraId="275E3045"/>
        </w:tc>
      </w:tr>
      <w:tr w14:paraId="3D32220B">
        <w:tblPrEx>
          <w:tblCellMar>
            <w:top w:w="0" w:type="dxa"/>
            <w:left w:w="0" w:type="dxa"/>
            <w:bottom w:w="0" w:type="dxa"/>
            <w:right w:w="0" w:type="dxa"/>
          </w:tblCellMar>
        </w:tblPrEx>
        <w:tc>
          <w:tcPr>
            <w:tcW w:w="0" w:type="auto"/>
            <w:vAlign w:val="center"/>
          </w:tcPr>
          <w:p w14:paraId="0FF1AF85">
            <w:r>
              <w:t>润滑系统</w:t>
            </w:r>
          </w:p>
        </w:tc>
        <w:tc>
          <w:tcPr>
            <w:tcW w:w="0" w:type="auto"/>
            <w:vAlign w:val="center"/>
          </w:tcPr>
          <w:p w14:paraId="3627E056">
            <w:r>
              <w:t>丝杠导轨加注润滑脂（型号：____）</w:t>
            </w:r>
          </w:p>
        </w:tc>
        <w:tc>
          <w:tcPr>
            <w:tcW w:w="0" w:type="auto"/>
            <w:vAlign w:val="center"/>
          </w:tcPr>
          <w:p w14:paraId="716BCB3E"/>
        </w:tc>
        <w:tc>
          <w:tcPr>
            <w:tcW w:w="0" w:type="auto"/>
            <w:vAlign w:val="center"/>
          </w:tcPr>
          <w:p w14:paraId="0604C4AA"/>
        </w:tc>
        <w:tc>
          <w:tcPr>
            <w:tcW w:w="0" w:type="auto"/>
            <w:vAlign w:val="center"/>
          </w:tcPr>
          <w:p w14:paraId="1850687B"/>
        </w:tc>
      </w:tr>
      <w:tr w14:paraId="2C0CF40A">
        <w:tblPrEx>
          <w:tblCellMar>
            <w:top w:w="0" w:type="dxa"/>
            <w:left w:w="0" w:type="dxa"/>
            <w:bottom w:w="0" w:type="dxa"/>
            <w:right w:w="0" w:type="dxa"/>
          </w:tblCellMar>
        </w:tblPrEx>
        <w:tc>
          <w:tcPr>
            <w:tcW w:w="0" w:type="auto"/>
            <w:vAlign w:val="center"/>
          </w:tcPr>
          <w:p w14:paraId="1B19D7A6">
            <w:r>
              <w:t>气动系统</w:t>
            </w:r>
          </w:p>
        </w:tc>
        <w:tc>
          <w:tcPr>
            <w:tcW w:w="0" w:type="auto"/>
            <w:vAlign w:val="center"/>
          </w:tcPr>
          <w:p w14:paraId="237B689B">
            <w:r>
              <w:t>气源压力（MPa）：</w:t>
            </w:r>
            <w:r>
              <w:rPr>
                <w:u w:val="words"/>
              </w:rPr>
              <w:t>→</w:t>
            </w:r>
          </w:p>
        </w:tc>
        <w:tc>
          <w:tcPr>
            <w:tcW w:w="0" w:type="auto"/>
            <w:vAlign w:val="center"/>
          </w:tcPr>
          <w:p w14:paraId="13DAD5EF"/>
        </w:tc>
        <w:tc>
          <w:tcPr>
            <w:tcW w:w="0" w:type="auto"/>
            <w:vAlign w:val="center"/>
          </w:tcPr>
          <w:p w14:paraId="723D81B1"/>
        </w:tc>
        <w:tc>
          <w:tcPr>
            <w:tcW w:w="0" w:type="auto"/>
            <w:vAlign w:val="center"/>
          </w:tcPr>
          <w:p w14:paraId="383C89E8"/>
        </w:tc>
      </w:tr>
      <w:tr w14:paraId="62C0CCD0">
        <w:tc>
          <w:tcPr>
            <w:tcW w:w="0" w:type="auto"/>
            <w:vAlign w:val="center"/>
          </w:tcPr>
          <w:p w14:paraId="2F5DF67C">
            <w:r>
              <w:t>辐射剂量监测</w:t>
            </w:r>
          </w:p>
        </w:tc>
        <w:tc>
          <w:tcPr>
            <w:tcW w:w="0" w:type="auto"/>
            <w:vAlign w:val="center"/>
          </w:tcPr>
          <w:p w14:paraId="7642E5BB">
            <w:r>
              <w:t>设备周围剂量率（μSv/h）：____</w:t>
            </w:r>
          </w:p>
        </w:tc>
        <w:tc>
          <w:tcPr>
            <w:tcW w:w="0" w:type="auto"/>
            <w:vAlign w:val="center"/>
          </w:tcPr>
          <w:p w14:paraId="29EB005E"/>
        </w:tc>
        <w:tc>
          <w:tcPr>
            <w:tcW w:w="0" w:type="auto"/>
            <w:vAlign w:val="center"/>
          </w:tcPr>
          <w:p w14:paraId="5D1DC87E"/>
        </w:tc>
        <w:tc>
          <w:tcPr>
            <w:tcW w:w="0" w:type="auto"/>
            <w:vAlign w:val="center"/>
          </w:tcPr>
          <w:p w14:paraId="32D05221"/>
        </w:tc>
      </w:tr>
    </w:tbl>
    <w:p w14:paraId="27AD4196">
      <w:r>
        <w:t>维护人：________</w:t>
      </w:r>
    </w:p>
    <w:p w14:paraId="5342C7C6">
      <w:r>
        <w:t>验证人：________</w:t>
      </w:r>
    </w:p>
    <w:p w14:paraId="5379CF3A">
      <w:pPr>
        <w:pStyle w:val="31"/>
        <w:bidi w:val="0"/>
        <w:rPr>
          <w:rFonts w:hint="eastAsia"/>
          <w:lang w:val="en-US" w:eastAsia="zh-CN"/>
        </w:rPr>
      </w:pPr>
    </w:p>
    <w:bookmarkEnd w:id="0"/>
    <w:bookmarkEnd w:id="1"/>
    <w:sectPr>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mbria">
    <w:altName w:val="Georgia"/>
    <w:panose1 w:val="02040503050406030204"/>
    <w:charset w:val="86"/>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Copperplate">
    <w:altName w:val="仓耳屏显楷体 W04"/>
    <w:panose1 w:val="02000504000000020004"/>
    <w:charset w:val="00"/>
    <w:family w:val="auto"/>
    <w:pitch w:val="default"/>
    <w:sig w:usb0="00000000" w:usb1="00000000" w:usb2="00000000" w:usb3="00000000" w:csb0="20000111" w:csb1="40000000"/>
  </w:font>
  <w:font w:name="仓耳屏显楷体 W04">
    <w:panose1 w:val="02020400000000000000"/>
    <w:charset w:val="86"/>
    <w:family w:val="auto"/>
    <w:pitch w:val="default"/>
    <w:sig w:usb0="80000003" w:usb1="08012000" w:usb2="00000012"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E456F9"/>
    <w:multiLevelType w:val="singleLevel"/>
    <w:tmpl w:val="A7E456F9"/>
    <w:lvl w:ilvl="0" w:tentative="0">
      <w:start w:val="1"/>
      <w:numFmt w:val="decimal"/>
      <w:pStyle w:val="37"/>
      <w:lvlText w:val="%1."/>
      <w:lvlJc w:val="left"/>
      <w:pPr>
        <w:tabs>
          <w:tab w:val="left" w:pos="2040"/>
        </w:tabs>
        <w:ind w:left="2040" w:hanging="360"/>
      </w:pPr>
    </w:lvl>
  </w:abstractNum>
  <w:abstractNum w:abstractNumId="1">
    <w:nsid w:val="B1B9B92F"/>
    <w:multiLevelType w:val="singleLevel"/>
    <w:tmpl w:val="B1B9B92F"/>
    <w:lvl w:ilvl="0" w:tentative="0">
      <w:start w:val="1"/>
      <w:numFmt w:val="bullet"/>
      <w:pStyle w:val="15"/>
      <w:lvlText w:val=""/>
      <w:lvlJc w:val="left"/>
      <w:pPr>
        <w:tabs>
          <w:tab w:val="left" w:pos="1620"/>
        </w:tabs>
        <w:ind w:left="1620" w:hanging="360"/>
      </w:pPr>
      <w:rPr>
        <w:rFonts w:hint="default" w:ascii="Wingdings" w:hAnsi="Wingdings"/>
      </w:rPr>
    </w:lvl>
  </w:abstractNum>
  <w:abstractNum w:abstractNumId="2">
    <w:nsid w:val="B7BA28C9"/>
    <w:multiLevelType w:val="singleLevel"/>
    <w:tmpl w:val="B7BA28C9"/>
    <w:lvl w:ilvl="0" w:tentative="0">
      <w:start w:val="1"/>
      <w:numFmt w:val="decimal"/>
      <w:pStyle w:val="28"/>
      <w:lvlText w:val="%1."/>
      <w:lvlJc w:val="left"/>
      <w:pPr>
        <w:tabs>
          <w:tab w:val="left" w:pos="1620"/>
        </w:tabs>
        <w:ind w:left="1620" w:hanging="360"/>
      </w:pPr>
    </w:lvl>
  </w:abstractNum>
  <w:abstractNum w:abstractNumId="3">
    <w:nsid w:val="F47960A0"/>
    <w:multiLevelType w:val="singleLevel"/>
    <w:tmpl w:val="F47960A0"/>
    <w:lvl w:ilvl="0" w:tentative="0">
      <w:start w:val="1"/>
      <w:numFmt w:val="decimal"/>
      <w:pStyle w:val="22"/>
      <w:lvlText w:val="%1."/>
      <w:lvlJc w:val="left"/>
      <w:pPr>
        <w:tabs>
          <w:tab w:val="left" w:pos="1200"/>
        </w:tabs>
        <w:ind w:left="1200" w:hanging="360"/>
      </w:pPr>
    </w:lvl>
  </w:abstractNum>
  <w:abstractNum w:abstractNumId="4">
    <w:nsid w:val="FEB58EF3"/>
    <w:multiLevelType w:val="singleLevel"/>
    <w:tmpl w:val="FEB58EF3"/>
    <w:lvl w:ilvl="0" w:tentative="0">
      <w:start w:val="1"/>
      <w:numFmt w:val="bullet"/>
      <w:pStyle w:val="18"/>
      <w:lvlText w:val=""/>
      <w:lvlJc w:val="left"/>
      <w:pPr>
        <w:tabs>
          <w:tab w:val="left" w:pos="360"/>
        </w:tabs>
        <w:ind w:left="360" w:hanging="360"/>
      </w:pPr>
      <w:rPr>
        <w:rFonts w:hint="default" w:ascii="Wingdings" w:hAnsi="Wingdings"/>
      </w:rPr>
    </w:lvl>
  </w:abstractNum>
  <w:abstractNum w:abstractNumId="5">
    <w:nsid w:val="FF9BA098"/>
    <w:multiLevelType w:val="singleLevel"/>
    <w:tmpl w:val="FF9BA098"/>
    <w:lvl w:ilvl="0" w:tentative="0">
      <w:start w:val="1"/>
      <w:numFmt w:val="bullet"/>
      <w:pStyle w:val="26"/>
      <w:lvlText w:val=""/>
      <w:lvlJc w:val="left"/>
      <w:pPr>
        <w:tabs>
          <w:tab w:val="left" w:pos="780"/>
        </w:tabs>
        <w:ind w:left="780" w:hanging="360"/>
      </w:pPr>
      <w:rPr>
        <w:rFonts w:hint="default" w:ascii="Wingdings" w:hAnsi="Wingdings"/>
      </w:rPr>
    </w:lvl>
  </w:abstractNum>
  <w:abstractNum w:abstractNumId="6">
    <w:nsid w:val="FFA86893"/>
    <w:multiLevelType w:val="singleLevel"/>
    <w:tmpl w:val="FFA86893"/>
    <w:lvl w:ilvl="0" w:tentative="0">
      <w:start w:val="1"/>
      <w:numFmt w:val="bullet"/>
      <w:pStyle w:val="27"/>
      <w:lvlText w:val=""/>
      <w:lvlJc w:val="left"/>
      <w:pPr>
        <w:tabs>
          <w:tab w:val="left" w:pos="2040"/>
        </w:tabs>
        <w:ind w:left="2040" w:hanging="360"/>
      </w:pPr>
      <w:rPr>
        <w:rFonts w:hint="default" w:ascii="Wingdings" w:hAnsi="Wingdings"/>
      </w:rPr>
    </w:lvl>
  </w:abstractNum>
  <w:abstractNum w:abstractNumId="7">
    <w:nsid w:val="052FBF93"/>
    <w:multiLevelType w:val="singleLevel"/>
    <w:tmpl w:val="052FBF93"/>
    <w:lvl w:ilvl="0" w:tentative="0">
      <w:start w:val="1"/>
      <w:numFmt w:val="decimal"/>
      <w:pStyle w:val="16"/>
      <w:lvlText w:val="%1."/>
      <w:lvlJc w:val="left"/>
      <w:pPr>
        <w:tabs>
          <w:tab w:val="left" w:pos="360"/>
        </w:tabs>
        <w:ind w:left="360" w:hanging="360"/>
      </w:pPr>
    </w:lvl>
  </w:abstractNum>
  <w:abstractNum w:abstractNumId="8">
    <w:nsid w:val="1FFE05E1"/>
    <w:multiLevelType w:val="singleLevel"/>
    <w:tmpl w:val="1FFE05E1"/>
    <w:lvl w:ilvl="0" w:tentative="0">
      <w:start w:val="1"/>
      <w:numFmt w:val="bullet"/>
      <w:pStyle w:val="24"/>
      <w:lvlText w:val=""/>
      <w:lvlJc w:val="left"/>
      <w:pPr>
        <w:ind w:left="420" w:hanging="420"/>
      </w:pPr>
      <w:rPr>
        <w:rFonts w:hint="default" w:ascii="Wingdings" w:hAnsi="Wingdings"/>
      </w:rPr>
    </w:lvl>
  </w:abstractNum>
  <w:abstractNum w:abstractNumId="9">
    <w:nsid w:val="29AA8454"/>
    <w:multiLevelType w:val="multilevel"/>
    <w:tmpl w:val="29AA8454"/>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400"/>
      </w:pPr>
      <w:rPr>
        <w:rFonts w:hint="eastAsia" w:ascii="黑体" w:hAnsi="黑体" w:eastAsia="黑体"/>
      </w:rPr>
    </w:lvl>
    <w:lvl w:ilvl="3" w:tentative="0">
      <w:start w:val="1"/>
      <w:numFmt w:val="decimal"/>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6"/>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10">
    <w:nsid w:val="6FFE7285"/>
    <w:multiLevelType w:val="singleLevel"/>
    <w:tmpl w:val="6FFE7285"/>
    <w:lvl w:ilvl="0" w:tentative="0">
      <w:start w:val="1"/>
      <w:numFmt w:val="bullet"/>
      <w:pStyle w:val="21"/>
      <w:lvlText w:val=""/>
      <w:lvlJc w:val="left"/>
      <w:pPr>
        <w:tabs>
          <w:tab w:val="left" w:pos="1200"/>
        </w:tabs>
        <w:ind w:left="1200" w:hanging="360"/>
      </w:pPr>
      <w:rPr>
        <w:rFonts w:hint="default" w:ascii="Wingdings" w:hAnsi="Wingdings"/>
      </w:rPr>
    </w:lvl>
  </w:abstractNum>
  <w:abstractNum w:abstractNumId="11">
    <w:nsid w:val="7EFB0518"/>
    <w:multiLevelType w:val="singleLevel"/>
    <w:tmpl w:val="7EFB0518"/>
    <w:lvl w:ilvl="0" w:tentative="0">
      <w:start w:val="1"/>
      <w:numFmt w:val="decimal"/>
      <w:pStyle w:val="13"/>
      <w:lvlText w:val="%1."/>
      <w:lvlJc w:val="left"/>
      <w:pPr>
        <w:tabs>
          <w:tab w:val="left" w:pos="780"/>
        </w:tabs>
        <w:ind w:left="780" w:hanging="360"/>
      </w:pPr>
    </w:lvl>
  </w:abstractNum>
  <w:num w:numId="1">
    <w:abstractNumId w:val="9"/>
  </w:num>
  <w:num w:numId="2">
    <w:abstractNumId w:val="11"/>
  </w:num>
  <w:num w:numId="3">
    <w:abstractNumId w:val="1"/>
  </w:num>
  <w:num w:numId="4">
    <w:abstractNumId w:val="7"/>
  </w:num>
  <w:num w:numId="5">
    <w:abstractNumId w:val="4"/>
  </w:num>
  <w:num w:numId="6">
    <w:abstractNumId w:val="10"/>
  </w:num>
  <w:num w:numId="7">
    <w:abstractNumId w:val="3"/>
  </w:num>
  <w:num w:numId="8">
    <w:abstractNumId w:val="8"/>
  </w:num>
  <w:num w:numId="9">
    <w:abstractNumId w:val="5"/>
  </w:num>
  <w:num w:numId="10">
    <w:abstractNumId w:val="6"/>
  </w:num>
  <w:num w:numId="11">
    <w:abstractNumId w:val="2"/>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splitPgBreakAndParaMark/>
    <w:compatSetting w:name="compatibilityMode" w:uri="http://schemas.microsoft.com/office/word" w:val="12"/>
  </w:compat>
  <w:docVars>
    <w:docVar w:name="commondata" w:val="eyJoZGlkIjoiOTgxM2RjOGM4NmFhZTkyOTlkMmE4MWQ0Zjg2YjZhY2IifQ=="/>
  </w:docVars>
  <w:rsids>
    <w:rsidRoot w:val="00000000"/>
    <w:rsid w:val="01503613"/>
    <w:rsid w:val="0E925DBF"/>
    <w:rsid w:val="0FE732EF"/>
    <w:rsid w:val="15205ED3"/>
    <w:rsid w:val="17872A04"/>
    <w:rsid w:val="18A902D0"/>
    <w:rsid w:val="1A442B9B"/>
    <w:rsid w:val="1A5F56EF"/>
    <w:rsid w:val="1E896318"/>
    <w:rsid w:val="1F4965EB"/>
    <w:rsid w:val="25C83238"/>
    <w:rsid w:val="26CA0473"/>
    <w:rsid w:val="2B924E09"/>
    <w:rsid w:val="2CE307C7"/>
    <w:rsid w:val="2F436F36"/>
    <w:rsid w:val="31994BEB"/>
    <w:rsid w:val="3FEA17AB"/>
    <w:rsid w:val="3FF2F4D6"/>
    <w:rsid w:val="410B542B"/>
    <w:rsid w:val="41A71B16"/>
    <w:rsid w:val="427B35B9"/>
    <w:rsid w:val="435B43F6"/>
    <w:rsid w:val="45B00A41"/>
    <w:rsid w:val="4FD75668"/>
    <w:rsid w:val="55426F5C"/>
    <w:rsid w:val="55853555"/>
    <w:rsid w:val="575278AD"/>
    <w:rsid w:val="5DA12EF6"/>
    <w:rsid w:val="5DE3706A"/>
    <w:rsid w:val="608A7C71"/>
    <w:rsid w:val="61615C49"/>
    <w:rsid w:val="6401649C"/>
    <w:rsid w:val="653D4140"/>
    <w:rsid w:val="65907A54"/>
    <w:rsid w:val="665629F7"/>
    <w:rsid w:val="69F47232"/>
    <w:rsid w:val="6A2B7DCF"/>
    <w:rsid w:val="6B550DD6"/>
    <w:rsid w:val="6FE07705"/>
    <w:rsid w:val="6FFD907A"/>
    <w:rsid w:val="74A83031"/>
    <w:rsid w:val="76962A74"/>
    <w:rsid w:val="7B77B008"/>
    <w:rsid w:val="7FF6C12C"/>
    <w:rsid w:val="BCB98261"/>
    <w:rsid w:val="D7FD26C6"/>
    <w:rsid w:val="F3EB132D"/>
    <w:rsid w:val="FEF70171"/>
    <w:rsid w:val="FFCF9603"/>
    <w:rsid w:val="FFFB0BEF"/>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ind w:firstLine="601" w:firstLineChars="200"/>
      <w:jc w:val="both"/>
    </w:pPr>
    <w:rPr>
      <w:rFonts w:ascii="微软雅黑" w:hAnsi="微软雅黑" w:eastAsia="微软雅黑" w:cstheme="minorBidi"/>
      <w:sz w:val="24"/>
      <w:szCs w:val="24"/>
      <w:lang w:val="en-US" w:eastAsia="en-US" w:bidi="ar-SA"/>
    </w:rPr>
  </w:style>
  <w:style w:type="paragraph" w:styleId="2">
    <w:name w:val="heading 1"/>
    <w:basedOn w:val="1"/>
    <w:next w:val="1"/>
    <w:qFormat/>
    <w:uiPriority w:val="0"/>
    <w:pPr>
      <w:keepNext/>
      <w:keepLines/>
      <w:spacing w:before="260" w:beforeLines="0" w:beforeAutospacing="0" w:after="260" w:afterLines="0" w:afterAutospacing="0" w:line="413" w:lineRule="auto"/>
      <w:jc w:val="center"/>
      <w:outlineLvl w:val="0"/>
    </w:pPr>
    <w:rPr>
      <w:b/>
      <w:kern w:val="44"/>
      <w:sz w:val="30"/>
    </w:rPr>
  </w:style>
  <w:style w:type="paragraph" w:styleId="3">
    <w:name w:val="heading 2"/>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cs="Times New Roman"/>
      <w:b/>
      <w:sz w:val="28"/>
    </w:rPr>
  </w:style>
  <w:style w:type="paragraph" w:styleId="4">
    <w:name w:val="heading 3"/>
    <w:next w:val="1"/>
    <w:unhideWhenUsed/>
    <w:qFormat/>
    <w:uiPriority w:val="0"/>
    <w:pPr>
      <w:keepNext/>
      <w:keepLines/>
      <w:numPr>
        <w:ilvl w:val="0"/>
        <w:numId w:val="0"/>
      </w:numPr>
      <w:spacing w:before="260" w:beforeLines="0" w:beforeAutospacing="0" w:after="260" w:afterLines="0" w:afterAutospacing="0" w:line="413" w:lineRule="auto"/>
      <w:outlineLvl w:val="2"/>
    </w:pPr>
    <w:rPr>
      <w:rFonts w:ascii="Times New Roman" w:hAnsi="Times New Roman" w:eastAsia="微软雅黑" w:cs="Times New Roman"/>
      <w:b/>
      <w:sz w:val="24"/>
    </w:rPr>
  </w:style>
  <w:style w:type="paragraph" w:styleId="5">
    <w:name w:val="heading 4"/>
    <w:next w:val="1"/>
    <w:unhideWhenUsed/>
    <w:qFormat/>
    <w:uiPriority w:val="0"/>
    <w:pPr>
      <w:keepNext/>
      <w:keepLines/>
      <w:numPr>
        <w:ilvl w:val="0"/>
        <w:numId w:val="0"/>
      </w:numPr>
      <w:spacing w:before="280" w:beforeLines="0" w:beforeAutospacing="0" w:after="290" w:afterLines="0" w:afterAutospacing="0" w:line="372" w:lineRule="auto"/>
      <w:outlineLvl w:val="3"/>
    </w:pPr>
    <w:rPr>
      <w:rFonts w:ascii="Arial" w:hAnsi="Arial" w:eastAsia="微软雅黑" w:cs="Times New Roman"/>
      <w:i/>
      <w:sz w:val="24"/>
    </w:rPr>
  </w:style>
  <w:style w:type="paragraph" w:styleId="6">
    <w:name w:val="heading 5"/>
    <w:basedOn w:val="1"/>
    <w:next w:val="7"/>
    <w:unhideWhenUsed/>
    <w:qFormat/>
    <w:uiPriority w:val="9"/>
    <w:pPr>
      <w:keepNext/>
      <w:keepLines/>
      <w:numPr>
        <w:ilvl w:val="4"/>
        <w:numId w:val="1"/>
      </w:numPr>
      <w:spacing w:before="200" w:after="0"/>
      <w:ind w:firstLine="402"/>
      <w:outlineLvl w:val="4"/>
    </w:pPr>
    <w:rPr>
      <w:rFonts w:ascii="微软雅黑" w:hAnsi="微软雅黑" w:eastAsia="微软雅黑" w:cstheme="majorBidi"/>
      <w:iCs/>
      <w:color w:val="auto"/>
    </w:rPr>
  </w:style>
  <w:style w:type="paragraph" w:styleId="8">
    <w:name w:val="heading 6"/>
    <w:basedOn w:val="1"/>
    <w:next w:val="7"/>
    <w:unhideWhenUsed/>
    <w:qFormat/>
    <w:uiPriority w:val="9"/>
    <w:pPr>
      <w:keepNext/>
      <w:keepLines/>
      <w:numPr>
        <w:ilvl w:val="5"/>
        <w:numId w:val="1"/>
      </w:numPr>
      <w:spacing w:before="200" w:after="0"/>
      <w:ind w:firstLine="402"/>
      <w:outlineLvl w:val="5"/>
    </w:pPr>
    <w:rPr>
      <w:rFonts w:ascii="微软雅黑" w:hAnsi="微软雅黑" w:eastAsia="微软雅黑" w:cstheme="majorBidi"/>
      <w:color w:val="auto"/>
    </w:rPr>
  </w:style>
  <w:style w:type="paragraph" w:styleId="9">
    <w:name w:val="heading 7"/>
    <w:basedOn w:val="1"/>
    <w:next w:val="7"/>
    <w:unhideWhenUsed/>
    <w:qFormat/>
    <w:uiPriority w:val="9"/>
    <w:pPr>
      <w:keepNext/>
      <w:keepLines/>
      <w:numPr>
        <w:ilvl w:val="6"/>
        <w:numId w:val="1"/>
      </w:numPr>
      <w:spacing w:before="200" w:after="0"/>
      <w:ind w:firstLine="402"/>
      <w:outlineLvl w:val="6"/>
    </w:pPr>
    <w:rPr>
      <w:rFonts w:ascii="微软雅黑" w:hAnsi="微软雅黑" w:eastAsia="微软雅黑" w:cstheme="majorBidi"/>
      <w:color w:val="auto"/>
    </w:rPr>
  </w:style>
  <w:style w:type="paragraph" w:styleId="10">
    <w:name w:val="heading 8"/>
    <w:basedOn w:val="1"/>
    <w:next w:val="7"/>
    <w:unhideWhenUsed/>
    <w:qFormat/>
    <w:uiPriority w:val="9"/>
    <w:pPr>
      <w:keepNext/>
      <w:keepLines/>
      <w:numPr>
        <w:ilvl w:val="7"/>
        <w:numId w:val="1"/>
      </w:numPr>
      <w:spacing w:before="200" w:after="0"/>
      <w:ind w:firstLine="402"/>
      <w:outlineLvl w:val="7"/>
    </w:pPr>
    <w:rPr>
      <w:rFonts w:ascii="微软雅黑" w:hAnsi="微软雅黑" w:eastAsia="微软雅黑" w:cstheme="majorBidi"/>
      <w:color w:val="auto"/>
    </w:rPr>
  </w:style>
  <w:style w:type="paragraph" w:styleId="11">
    <w:name w:val="heading 9"/>
    <w:basedOn w:val="1"/>
    <w:next w:val="7"/>
    <w:unhideWhenUsed/>
    <w:qFormat/>
    <w:uiPriority w:val="9"/>
    <w:pPr>
      <w:keepNext/>
      <w:keepLines/>
      <w:numPr>
        <w:ilvl w:val="8"/>
        <w:numId w:val="1"/>
      </w:numPr>
      <w:spacing w:before="200" w:after="0"/>
      <w:ind w:firstLine="402"/>
      <w:outlineLvl w:val="8"/>
    </w:pPr>
    <w:rPr>
      <w:rFonts w:ascii="微软雅黑" w:hAnsi="微软雅黑" w:eastAsia="微软雅黑" w:cstheme="majorBidi"/>
      <w:color w:val="auto"/>
    </w:rPr>
  </w:style>
  <w:style w:type="character" w:default="1" w:styleId="51">
    <w:name w:val="Default Paragraph Font"/>
    <w:semiHidden/>
    <w:qFormat/>
    <w:uiPriority w:val="0"/>
  </w:style>
  <w:style w:type="table" w:default="1" w:styleId="50">
    <w:name w:val="Normal Table"/>
    <w:qFormat/>
    <w:uiPriority w:val="0"/>
    <w:tblPr>
      <w:tblCellMar>
        <w:top w:w="0" w:type="dxa"/>
        <w:left w:w="108" w:type="dxa"/>
        <w:bottom w:w="0" w:type="dxa"/>
        <w:right w:w="108" w:type="dxa"/>
      </w:tblCellMar>
    </w:tblPr>
  </w:style>
  <w:style w:type="paragraph" w:styleId="7">
    <w:name w:val="Body Text"/>
    <w:basedOn w:val="1"/>
    <w:link w:val="57"/>
    <w:qFormat/>
    <w:uiPriority w:val="0"/>
    <w:pPr>
      <w:spacing w:before="180" w:after="180"/>
      <w:ind w:firstLine="560" w:firstLineChars="200"/>
      <w:jc w:val="both"/>
    </w:pPr>
  </w:style>
  <w:style w:type="paragraph" w:styleId="12">
    <w:name w:val="List 3"/>
    <w:basedOn w:val="1"/>
    <w:qFormat/>
    <w:uiPriority w:val="0"/>
    <w:pPr>
      <w:ind w:left="100" w:leftChars="400" w:hanging="200" w:hangingChars="200"/>
    </w:pPr>
  </w:style>
  <w:style w:type="paragraph" w:styleId="13">
    <w:name w:val="List Number 2"/>
    <w:basedOn w:val="1"/>
    <w:qFormat/>
    <w:uiPriority w:val="0"/>
    <w:pPr>
      <w:numPr>
        <w:ilvl w:val="0"/>
        <w:numId w:val="2"/>
      </w:numPr>
    </w:pPr>
  </w:style>
  <w:style w:type="paragraph" w:styleId="14">
    <w:name w:val="table of authorities"/>
    <w:basedOn w:val="1"/>
    <w:next w:val="1"/>
    <w:qFormat/>
    <w:uiPriority w:val="0"/>
    <w:pPr>
      <w:ind w:left="420" w:leftChars="200"/>
    </w:pPr>
  </w:style>
  <w:style w:type="paragraph" w:styleId="15">
    <w:name w:val="List Bullet 4"/>
    <w:basedOn w:val="1"/>
    <w:qFormat/>
    <w:uiPriority w:val="0"/>
    <w:pPr>
      <w:numPr>
        <w:ilvl w:val="0"/>
        <w:numId w:val="3"/>
      </w:numPr>
    </w:pPr>
  </w:style>
  <w:style w:type="paragraph" w:styleId="16">
    <w:name w:val="List Number"/>
    <w:basedOn w:val="1"/>
    <w:qFormat/>
    <w:uiPriority w:val="0"/>
    <w:pPr>
      <w:numPr>
        <w:ilvl w:val="0"/>
        <w:numId w:val="4"/>
      </w:numPr>
    </w:pPr>
  </w:style>
  <w:style w:type="paragraph" w:styleId="17">
    <w:name w:val="caption"/>
    <w:basedOn w:val="1"/>
    <w:qFormat/>
    <w:uiPriority w:val="0"/>
    <w:pPr>
      <w:spacing w:before="0" w:after="120"/>
    </w:pPr>
    <w:rPr>
      <w:i/>
    </w:rPr>
  </w:style>
  <w:style w:type="paragraph" w:styleId="18">
    <w:name w:val="List Bullet"/>
    <w:basedOn w:val="1"/>
    <w:qFormat/>
    <w:uiPriority w:val="0"/>
    <w:pPr>
      <w:numPr>
        <w:ilvl w:val="0"/>
        <w:numId w:val="5"/>
      </w:numPr>
      <w:ind w:left="0" w:firstLine="0" w:firstLineChars="0"/>
    </w:pPr>
  </w:style>
  <w:style w:type="paragraph" w:styleId="19">
    <w:name w:val="Document Map"/>
    <w:basedOn w:val="1"/>
    <w:qFormat/>
    <w:uiPriority w:val="0"/>
    <w:pPr>
      <w:shd w:val="clear" w:color="auto" w:fill="000080"/>
    </w:pPr>
  </w:style>
  <w:style w:type="paragraph" w:styleId="20">
    <w:name w:val="annotation text"/>
    <w:basedOn w:val="1"/>
    <w:qFormat/>
    <w:uiPriority w:val="0"/>
    <w:pPr>
      <w:jc w:val="left"/>
    </w:pPr>
  </w:style>
  <w:style w:type="paragraph" w:styleId="21">
    <w:name w:val="List Bullet 3"/>
    <w:basedOn w:val="1"/>
    <w:qFormat/>
    <w:uiPriority w:val="0"/>
    <w:pPr>
      <w:numPr>
        <w:ilvl w:val="0"/>
        <w:numId w:val="6"/>
      </w:numPr>
    </w:pPr>
  </w:style>
  <w:style w:type="paragraph" w:styleId="22">
    <w:name w:val="List Number 3"/>
    <w:basedOn w:val="1"/>
    <w:qFormat/>
    <w:uiPriority w:val="0"/>
    <w:pPr>
      <w:numPr>
        <w:ilvl w:val="0"/>
        <w:numId w:val="7"/>
      </w:numPr>
    </w:pPr>
  </w:style>
  <w:style w:type="paragraph" w:styleId="23">
    <w:name w:val="List 2"/>
    <w:basedOn w:val="1"/>
    <w:qFormat/>
    <w:uiPriority w:val="0"/>
    <w:pPr>
      <w:ind w:left="100" w:leftChars="200" w:hanging="200" w:hangingChars="200"/>
    </w:pPr>
  </w:style>
  <w:style w:type="paragraph" w:styleId="24">
    <w:name w:val="List Continue"/>
    <w:basedOn w:val="1"/>
    <w:qFormat/>
    <w:uiPriority w:val="0"/>
    <w:pPr>
      <w:numPr>
        <w:ilvl w:val="0"/>
        <w:numId w:val="8"/>
      </w:numPr>
      <w:spacing w:after="120" w:afterLines="0" w:afterAutospacing="0"/>
      <w:ind w:left="0" w:leftChars="200" w:firstLine="0" w:firstLineChars="0"/>
    </w:pPr>
  </w:style>
  <w:style w:type="paragraph" w:styleId="25">
    <w:name w:val="Block Text"/>
    <w:basedOn w:val="7"/>
    <w:next w:val="7"/>
    <w:unhideWhenUsed/>
    <w:qFormat/>
    <w:uiPriority w:val="9"/>
    <w:pPr>
      <w:spacing w:before="100" w:after="100"/>
      <w:ind w:left="480" w:right="480" w:firstLine="0"/>
    </w:pPr>
  </w:style>
  <w:style w:type="paragraph" w:styleId="26">
    <w:name w:val="List Bullet 2"/>
    <w:basedOn w:val="1"/>
    <w:qFormat/>
    <w:uiPriority w:val="0"/>
    <w:pPr>
      <w:numPr>
        <w:ilvl w:val="0"/>
        <w:numId w:val="9"/>
      </w:numPr>
    </w:pPr>
  </w:style>
  <w:style w:type="paragraph" w:styleId="27">
    <w:name w:val="List Bullet 5"/>
    <w:basedOn w:val="1"/>
    <w:qFormat/>
    <w:uiPriority w:val="0"/>
    <w:pPr>
      <w:numPr>
        <w:ilvl w:val="0"/>
        <w:numId w:val="10"/>
      </w:numPr>
    </w:pPr>
  </w:style>
  <w:style w:type="paragraph" w:styleId="28">
    <w:name w:val="List Number 4"/>
    <w:basedOn w:val="1"/>
    <w:qFormat/>
    <w:uiPriority w:val="0"/>
    <w:pPr>
      <w:numPr>
        <w:ilvl w:val="0"/>
        <w:numId w:val="11"/>
      </w:numPr>
    </w:pPr>
  </w:style>
  <w:style w:type="paragraph" w:styleId="29">
    <w:name w:val="Date"/>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styleId="30">
    <w:name w:val="endnote text"/>
    <w:basedOn w:val="1"/>
    <w:qFormat/>
    <w:uiPriority w:val="0"/>
    <w:pPr>
      <w:snapToGrid w:val="0"/>
      <w:jc w:val="left"/>
    </w:pPr>
  </w:style>
  <w:style w:type="paragraph" w:styleId="31">
    <w:name w:val="Balloon Text"/>
    <w:basedOn w:val="1"/>
    <w:qFormat/>
    <w:uiPriority w:val="0"/>
    <w:pPr>
      <w:ind w:firstLine="0" w:firstLineChars="0"/>
    </w:pPr>
    <w:rPr>
      <w:sz w:val="18"/>
    </w:rPr>
  </w:style>
  <w:style w:type="paragraph" w:styleId="32">
    <w:name w:val="footer"/>
    <w:basedOn w:val="1"/>
    <w:qFormat/>
    <w:uiPriority w:val="0"/>
    <w:pPr>
      <w:tabs>
        <w:tab w:val="center" w:pos="4153"/>
        <w:tab w:val="right" w:pos="8306"/>
      </w:tabs>
      <w:snapToGrid w:val="0"/>
      <w:jc w:val="left"/>
    </w:pPr>
    <w:rPr>
      <w:sz w:val="18"/>
    </w:rPr>
  </w:style>
  <w:style w:type="paragraph" w:styleId="3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34">
    <w:name w:val="toc 1"/>
    <w:basedOn w:val="1"/>
    <w:next w:val="1"/>
    <w:qFormat/>
    <w:uiPriority w:val="0"/>
  </w:style>
  <w:style w:type="paragraph" w:styleId="35">
    <w:name w:val="Subtitle"/>
    <w:basedOn w:val="36"/>
    <w:next w:val="7"/>
    <w:qFormat/>
    <w:uiPriority w:val="0"/>
    <w:pPr>
      <w:keepNext/>
      <w:keepLines/>
      <w:spacing w:before="240" w:after="240"/>
      <w:jc w:val="center"/>
    </w:pPr>
    <w:rPr>
      <w:rFonts w:ascii="微软雅黑" w:hAnsi="微软雅黑"/>
      <w:sz w:val="30"/>
      <w:szCs w:val="30"/>
    </w:rPr>
  </w:style>
  <w:style w:type="paragraph" w:styleId="36">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37">
    <w:name w:val="List Number 5"/>
    <w:basedOn w:val="1"/>
    <w:qFormat/>
    <w:uiPriority w:val="0"/>
    <w:pPr>
      <w:numPr>
        <w:ilvl w:val="0"/>
        <w:numId w:val="12"/>
      </w:numPr>
    </w:pPr>
  </w:style>
  <w:style w:type="paragraph" w:styleId="38">
    <w:name w:val="List"/>
    <w:basedOn w:val="1"/>
    <w:qFormat/>
    <w:uiPriority w:val="0"/>
    <w:pPr>
      <w:ind w:left="200" w:hanging="200" w:hangingChars="200"/>
    </w:pPr>
  </w:style>
  <w:style w:type="paragraph" w:styleId="39">
    <w:name w:val="footnote text"/>
    <w:basedOn w:val="1"/>
    <w:unhideWhenUsed/>
    <w:qFormat/>
    <w:uiPriority w:val="9"/>
    <w:rPr>
      <w:rFonts w:ascii="微软雅黑" w:hAnsi="微软雅黑" w:eastAsia="微软雅黑"/>
    </w:rPr>
  </w:style>
  <w:style w:type="paragraph" w:styleId="40">
    <w:name w:val="List 5"/>
    <w:basedOn w:val="1"/>
    <w:qFormat/>
    <w:uiPriority w:val="0"/>
    <w:pPr>
      <w:ind w:left="100" w:leftChars="800" w:hanging="200" w:hangingChars="200"/>
    </w:pPr>
  </w:style>
  <w:style w:type="paragraph" w:styleId="41">
    <w:name w:val="table of figures"/>
    <w:basedOn w:val="1"/>
    <w:next w:val="1"/>
    <w:qFormat/>
    <w:uiPriority w:val="0"/>
    <w:pPr>
      <w:ind w:leftChars="0" w:firstLine="0" w:firstLineChars="0"/>
      <w:jc w:val="left"/>
    </w:pPr>
    <w:rPr>
      <w:rFonts w:ascii="微软雅黑" w:hAnsi="微软雅黑" w:eastAsia="微软雅黑"/>
    </w:rPr>
  </w:style>
  <w:style w:type="paragraph" w:styleId="42">
    <w:name w:val="List 4"/>
    <w:basedOn w:val="1"/>
    <w:qFormat/>
    <w:uiPriority w:val="0"/>
    <w:pPr>
      <w:ind w:left="100" w:leftChars="600" w:hanging="200" w:hangingChars="200"/>
    </w:pPr>
  </w:style>
  <w:style w:type="paragraph" w:styleId="43">
    <w:name w:val="List Continue 2"/>
    <w:basedOn w:val="1"/>
    <w:qFormat/>
    <w:uiPriority w:val="0"/>
    <w:pPr>
      <w:spacing w:after="120" w:afterLines="0" w:afterAutospacing="0"/>
      <w:ind w:left="840" w:leftChars="400"/>
    </w:pPr>
  </w:style>
  <w:style w:type="paragraph" w:styleId="4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45">
    <w:name w:val="Normal (Web)"/>
    <w:basedOn w:val="1"/>
    <w:qFormat/>
    <w:uiPriority w:val="0"/>
    <w:pPr>
      <w:spacing w:before="-2147483648" w:beforeAutospacing="1" w:after="-2147483648" w:afterAutospacing="1"/>
      <w:ind w:left="0" w:right="0" w:firstLine="560" w:firstLineChars="200"/>
      <w:jc w:val="both"/>
    </w:pPr>
    <w:rPr>
      <w:rFonts w:ascii="微软雅黑" w:hAnsi="微软雅黑" w:eastAsia="微软雅黑"/>
      <w:lang w:eastAsia="zh-CN" w:bidi="ar"/>
    </w:rPr>
  </w:style>
  <w:style w:type="paragraph" w:styleId="46">
    <w:name w:val="List Continue 3"/>
    <w:basedOn w:val="1"/>
    <w:qFormat/>
    <w:uiPriority w:val="0"/>
    <w:pPr>
      <w:spacing w:after="120" w:afterLines="0" w:afterAutospacing="0"/>
      <w:ind w:left="1260" w:leftChars="600"/>
    </w:pPr>
  </w:style>
  <w:style w:type="paragraph" w:styleId="47">
    <w:name w:val="index 1"/>
    <w:basedOn w:val="1"/>
    <w:next w:val="1"/>
    <w:qFormat/>
    <w:uiPriority w:val="0"/>
  </w:style>
  <w:style w:type="paragraph" w:styleId="48">
    <w:name w:val="index 2"/>
    <w:basedOn w:val="1"/>
    <w:next w:val="1"/>
    <w:qFormat/>
    <w:uiPriority w:val="0"/>
    <w:pPr>
      <w:ind w:left="200" w:leftChars="200"/>
    </w:pPr>
  </w:style>
  <w:style w:type="paragraph" w:styleId="49">
    <w:name w:val="annotation subject"/>
    <w:basedOn w:val="20"/>
    <w:next w:val="20"/>
    <w:qFormat/>
    <w:uiPriority w:val="0"/>
    <w:rPr>
      <w:b/>
    </w:rPr>
  </w:style>
  <w:style w:type="character" w:styleId="52">
    <w:name w:val="endnote reference"/>
    <w:basedOn w:val="51"/>
    <w:qFormat/>
    <w:uiPriority w:val="0"/>
    <w:rPr>
      <w:vertAlign w:val="superscript"/>
    </w:rPr>
  </w:style>
  <w:style w:type="character" w:styleId="53">
    <w:name w:val="page number"/>
    <w:basedOn w:val="51"/>
    <w:qFormat/>
    <w:uiPriority w:val="0"/>
  </w:style>
  <w:style w:type="character" w:styleId="54">
    <w:name w:val="Emphasis"/>
    <w:basedOn w:val="51"/>
    <w:qFormat/>
    <w:uiPriority w:val="0"/>
    <w:rPr>
      <w:i/>
    </w:rPr>
  </w:style>
  <w:style w:type="character" w:styleId="55">
    <w:name w:val="line number"/>
    <w:basedOn w:val="51"/>
    <w:qFormat/>
    <w:uiPriority w:val="0"/>
  </w:style>
  <w:style w:type="character" w:styleId="56">
    <w:name w:val="Hyperlink"/>
    <w:basedOn w:val="57"/>
    <w:qFormat/>
    <w:uiPriority w:val="0"/>
    <w:rPr>
      <w:color w:val="0070C0"/>
      <w:u w:val="single"/>
    </w:rPr>
  </w:style>
  <w:style w:type="character" w:customStyle="1" w:styleId="57">
    <w:name w:val="Body Text Char"/>
    <w:basedOn w:val="51"/>
    <w:link w:val="7"/>
    <w:qFormat/>
    <w:uiPriority w:val="0"/>
    <w:rPr>
      <w:rFonts w:ascii="微软雅黑" w:hAnsi="微软雅黑" w:eastAsia="微软雅黑"/>
    </w:rPr>
  </w:style>
  <w:style w:type="character" w:styleId="58">
    <w:name w:val="annotation reference"/>
    <w:basedOn w:val="51"/>
    <w:qFormat/>
    <w:uiPriority w:val="0"/>
    <w:rPr>
      <w:sz w:val="21"/>
    </w:rPr>
  </w:style>
  <w:style w:type="character" w:styleId="59">
    <w:name w:val="footnote reference"/>
    <w:basedOn w:val="57"/>
    <w:qFormat/>
    <w:uiPriority w:val="0"/>
    <w:rPr>
      <w:vertAlign w:val="superscript"/>
    </w:rPr>
  </w:style>
  <w:style w:type="paragraph" w:customStyle="1" w:styleId="60">
    <w:name w:val="First Paragraph"/>
    <w:basedOn w:val="7"/>
    <w:next w:val="7"/>
    <w:qFormat/>
    <w:uiPriority w:val="0"/>
    <w:pPr>
      <w:ind w:firstLine="720" w:firstLineChars="200"/>
      <w:jc w:val="both"/>
    </w:pPr>
  </w:style>
  <w:style w:type="paragraph" w:customStyle="1" w:styleId="61">
    <w:name w:val="Compact"/>
    <w:basedOn w:val="7"/>
    <w:qFormat/>
    <w:uiPriority w:val="0"/>
    <w:pPr>
      <w:spacing w:before="36" w:after="36"/>
    </w:pPr>
  </w:style>
  <w:style w:type="paragraph" w:customStyle="1" w:styleId="62">
    <w:name w:val="Author"/>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customStyle="1" w:styleId="63">
    <w:name w:val="Abstract Title"/>
    <w:basedOn w:val="1"/>
    <w:next w:val="64"/>
    <w:qFormat/>
    <w:uiPriority w:val="0"/>
    <w:pPr>
      <w:keepNext/>
      <w:keepLines/>
      <w:spacing w:before="300" w:after="0"/>
      <w:jc w:val="center"/>
    </w:pPr>
    <w:rPr>
      <w:b/>
      <w:color w:val="345A8A"/>
      <w:sz w:val="20"/>
      <w:szCs w:val="20"/>
    </w:rPr>
  </w:style>
  <w:style w:type="paragraph" w:customStyle="1" w:styleId="64">
    <w:name w:val="Abstract"/>
    <w:basedOn w:val="1"/>
    <w:next w:val="7"/>
    <w:qFormat/>
    <w:uiPriority w:val="0"/>
    <w:pPr>
      <w:keepNext/>
      <w:keepLines/>
      <w:spacing w:before="100" w:after="300"/>
    </w:pPr>
    <w:rPr>
      <w:rFonts w:ascii="微软雅黑" w:hAnsi="微软雅黑" w:eastAsia="微软雅黑"/>
      <w:sz w:val="20"/>
      <w:szCs w:val="20"/>
    </w:rPr>
  </w:style>
  <w:style w:type="paragraph" w:customStyle="1" w:styleId="65">
    <w:name w:val="Bibliography"/>
    <w:basedOn w:val="1"/>
    <w:qFormat/>
    <w:uiPriority w:val="0"/>
  </w:style>
  <w:style w:type="paragraph" w:customStyle="1" w:styleId="66">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8">
    <w:name w:val="Definition Term"/>
    <w:basedOn w:val="1"/>
    <w:next w:val="69"/>
    <w:qFormat/>
    <w:uiPriority w:val="0"/>
    <w:pPr>
      <w:keepNext/>
      <w:keepLines/>
      <w:spacing w:after="0"/>
    </w:pPr>
    <w:rPr>
      <w:rFonts w:ascii="微软雅黑" w:hAnsi="微软雅黑" w:eastAsia="微软雅黑"/>
      <w:b/>
    </w:rPr>
  </w:style>
  <w:style w:type="paragraph" w:customStyle="1" w:styleId="69">
    <w:name w:val="Definition"/>
    <w:basedOn w:val="1"/>
    <w:qFormat/>
    <w:uiPriority w:val="0"/>
    <w:rPr>
      <w:rFonts w:ascii="微软雅黑" w:hAnsi="微软雅黑" w:eastAsia="微软雅黑"/>
    </w:rPr>
  </w:style>
  <w:style w:type="paragraph" w:customStyle="1" w:styleId="70">
    <w:name w:val="Table Caption"/>
    <w:basedOn w:val="17"/>
    <w:qFormat/>
    <w:uiPriority w:val="0"/>
    <w:pPr>
      <w:keepNext/>
    </w:pPr>
    <w:rPr>
      <w:rFonts w:ascii="微软雅黑" w:hAnsi="微软雅黑" w:eastAsia="微软雅黑"/>
    </w:rPr>
  </w:style>
  <w:style w:type="paragraph" w:customStyle="1" w:styleId="71">
    <w:name w:val="Image Caption"/>
    <w:basedOn w:val="17"/>
    <w:qFormat/>
    <w:uiPriority w:val="0"/>
    <w:rPr>
      <w:rFonts w:ascii="微软雅黑" w:hAnsi="微软雅黑" w:eastAsia="微软雅黑"/>
    </w:rPr>
  </w:style>
  <w:style w:type="paragraph" w:customStyle="1" w:styleId="72">
    <w:name w:val="Figure"/>
    <w:basedOn w:val="1"/>
    <w:qFormat/>
    <w:uiPriority w:val="0"/>
  </w:style>
  <w:style w:type="paragraph" w:customStyle="1" w:styleId="73">
    <w:name w:val="Captioned Figure"/>
    <w:basedOn w:val="72"/>
    <w:qFormat/>
    <w:uiPriority w:val="0"/>
    <w:pPr>
      <w:keepNext/>
    </w:pPr>
  </w:style>
  <w:style w:type="character" w:customStyle="1" w:styleId="74">
    <w:name w:val="Verbatim Char"/>
    <w:basedOn w:val="57"/>
    <w:qFormat/>
    <w:uiPriority w:val="0"/>
    <w:rPr>
      <w:rFonts w:ascii="Copperplate" w:hAnsi="Copperplate"/>
      <w:sz w:val="22"/>
    </w:rPr>
  </w:style>
  <w:style w:type="character" w:customStyle="1" w:styleId="75">
    <w:name w:val="Section Number"/>
    <w:basedOn w:val="57"/>
    <w:qFormat/>
    <w:uiPriority w:val="0"/>
  </w:style>
  <w:style w:type="paragraph" w:customStyle="1" w:styleId="76">
    <w:name w:val="TOC Heading"/>
    <w:basedOn w:val="2"/>
    <w:next w:val="7"/>
    <w:unhideWhenUsed/>
    <w:qFormat/>
    <w:uiPriority w:val="39"/>
    <w:pPr>
      <w:tabs>
        <w:tab w:val="left" w:pos="0"/>
      </w:tabs>
      <w:spacing w:before="240" w:line="259" w:lineRule="auto"/>
      <w:outlineLvl w:val="9"/>
    </w:pPr>
    <w:rPr>
      <w:rFonts w:asciiTheme="majorHAnsi" w:hAnsiTheme="majorHAnsi" w:eastAsiaTheme="majorEastAsia" w:cstheme="majorBidi"/>
      <w:b w:val="0"/>
      <w:color w:val="366091" w:themeColor="accent1" w:themeShade="BF"/>
    </w:rPr>
  </w:style>
  <w:style w:type="paragraph" w:customStyle="1" w:styleId="77">
    <w:name w:val="Source Code"/>
    <w:qFormat/>
    <w:uiPriority w:val="0"/>
    <w:pPr>
      <w:wordWrap w:val="0"/>
    </w:pPr>
    <w:rPr>
      <w:rFonts w:asciiTheme="minorHAnsi" w:hAnsiTheme="minorHAnsi" w:eastAsiaTheme="minorHAnsi" w:cstheme="minorBidi"/>
    </w:rPr>
  </w:style>
  <w:style w:type="character" w:customStyle="1" w:styleId="78">
    <w:name w:val="KeywordTok"/>
    <w:qFormat/>
    <w:uiPriority w:val="0"/>
    <w:rPr>
      <w:b/>
      <w:color w:val="007020"/>
    </w:rPr>
  </w:style>
  <w:style w:type="character" w:customStyle="1" w:styleId="79">
    <w:name w:val="DataTypeTok"/>
    <w:qFormat/>
    <w:uiPriority w:val="0"/>
    <w:rPr>
      <w:color w:val="902000"/>
    </w:rPr>
  </w:style>
  <w:style w:type="character" w:customStyle="1" w:styleId="80">
    <w:name w:val="DecValTok"/>
    <w:qFormat/>
    <w:uiPriority w:val="0"/>
    <w:rPr>
      <w:color w:val="40A070"/>
    </w:rPr>
  </w:style>
  <w:style w:type="character" w:customStyle="1" w:styleId="81">
    <w:name w:val="BaseNTok"/>
    <w:qFormat/>
    <w:uiPriority w:val="0"/>
    <w:rPr>
      <w:color w:val="40A070"/>
    </w:rPr>
  </w:style>
  <w:style w:type="character" w:customStyle="1" w:styleId="82">
    <w:name w:val="FloatTok"/>
    <w:qFormat/>
    <w:uiPriority w:val="0"/>
    <w:rPr>
      <w:color w:val="40A070"/>
    </w:rPr>
  </w:style>
  <w:style w:type="character" w:customStyle="1" w:styleId="83">
    <w:name w:val="ConstantTok"/>
    <w:qFormat/>
    <w:uiPriority w:val="0"/>
    <w:rPr>
      <w:color w:val="880000"/>
    </w:rPr>
  </w:style>
  <w:style w:type="character" w:customStyle="1" w:styleId="84">
    <w:name w:val="CharTok"/>
    <w:qFormat/>
    <w:uiPriority w:val="0"/>
    <w:rPr>
      <w:color w:val="4070A0"/>
    </w:rPr>
  </w:style>
  <w:style w:type="character" w:customStyle="1" w:styleId="85">
    <w:name w:val="SpecialCharTok"/>
    <w:qFormat/>
    <w:uiPriority w:val="0"/>
    <w:rPr>
      <w:color w:val="4070A0"/>
    </w:rPr>
  </w:style>
  <w:style w:type="character" w:customStyle="1" w:styleId="86">
    <w:name w:val="StringTok"/>
    <w:qFormat/>
    <w:uiPriority w:val="0"/>
    <w:rPr>
      <w:color w:val="4070A0"/>
    </w:rPr>
  </w:style>
  <w:style w:type="character" w:customStyle="1" w:styleId="87">
    <w:name w:val="VerbatimStringTok"/>
    <w:qFormat/>
    <w:uiPriority w:val="0"/>
    <w:rPr>
      <w:color w:val="4070A0"/>
    </w:rPr>
  </w:style>
  <w:style w:type="character" w:customStyle="1" w:styleId="88">
    <w:name w:val="SpecialStringTok"/>
    <w:qFormat/>
    <w:uiPriority w:val="0"/>
    <w:rPr>
      <w:color w:val="BB6688"/>
    </w:rPr>
  </w:style>
  <w:style w:type="character" w:customStyle="1" w:styleId="89">
    <w:name w:val="ImportTok"/>
    <w:qFormat/>
    <w:uiPriority w:val="0"/>
    <w:rPr>
      <w:b/>
      <w:color w:val="008000"/>
    </w:rPr>
  </w:style>
  <w:style w:type="character" w:customStyle="1" w:styleId="90">
    <w:name w:val="CommentTok"/>
    <w:qFormat/>
    <w:uiPriority w:val="0"/>
    <w:rPr>
      <w:i/>
      <w:color w:val="60A0B0"/>
    </w:rPr>
  </w:style>
  <w:style w:type="character" w:customStyle="1" w:styleId="91">
    <w:name w:val="DocumentationTok"/>
    <w:qFormat/>
    <w:uiPriority w:val="0"/>
    <w:rPr>
      <w:i/>
      <w:color w:val="BA2121"/>
    </w:rPr>
  </w:style>
  <w:style w:type="character" w:customStyle="1" w:styleId="92">
    <w:name w:val="AnnotationTok"/>
    <w:qFormat/>
    <w:uiPriority w:val="0"/>
    <w:rPr>
      <w:b/>
      <w:i/>
      <w:color w:val="60A0B0"/>
    </w:rPr>
  </w:style>
  <w:style w:type="character" w:customStyle="1" w:styleId="93">
    <w:name w:val="CommentVarTok"/>
    <w:qFormat/>
    <w:uiPriority w:val="0"/>
    <w:rPr>
      <w:b/>
      <w:i/>
      <w:color w:val="60A0B0"/>
    </w:rPr>
  </w:style>
  <w:style w:type="character" w:customStyle="1" w:styleId="94">
    <w:name w:val="OtherTok"/>
    <w:qFormat/>
    <w:uiPriority w:val="0"/>
    <w:rPr>
      <w:color w:val="007020"/>
    </w:rPr>
  </w:style>
  <w:style w:type="character" w:customStyle="1" w:styleId="95">
    <w:name w:val="FunctionTok"/>
    <w:qFormat/>
    <w:uiPriority w:val="0"/>
    <w:rPr>
      <w:color w:val="06287E"/>
    </w:rPr>
  </w:style>
  <w:style w:type="character" w:customStyle="1" w:styleId="96">
    <w:name w:val="VariableTok"/>
    <w:qFormat/>
    <w:uiPriority w:val="0"/>
    <w:rPr>
      <w:color w:val="19177C"/>
    </w:rPr>
  </w:style>
  <w:style w:type="character" w:customStyle="1" w:styleId="97">
    <w:name w:val="ControlFlowTok"/>
    <w:qFormat/>
    <w:uiPriority w:val="0"/>
    <w:rPr>
      <w:b/>
      <w:color w:val="007020"/>
    </w:rPr>
  </w:style>
  <w:style w:type="character" w:customStyle="1" w:styleId="98">
    <w:name w:val="OperatorTok"/>
    <w:qFormat/>
    <w:uiPriority w:val="0"/>
    <w:rPr>
      <w:color w:val="666666"/>
    </w:rPr>
  </w:style>
  <w:style w:type="character" w:customStyle="1" w:styleId="99">
    <w:name w:val="BuiltInTok"/>
    <w:qFormat/>
    <w:uiPriority w:val="0"/>
    <w:rPr>
      <w:color w:val="008000"/>
    </w:rPr>
  </w:style>
  <w:style w:type="character" w:customStyle="1" w:styleId="100">
    <w:name w:val="ExtensionTok"/>
    <w:qFormat/>
    <w:uiPriority w:val="0"/>
  </w:style>
  <w:style w:type="character" w:customStyle="1" w:styleId="101">
    <w:name w:val="PreprocessorTok"/>
    <w:qFormat/>
    <w:uiPriority w:val="0"/>
    <w:rPr>
      <w:color w:val="BC7A00"/>
    </w:rPr>
  </w:style>
  <w:style w:type="character" w:customStyle="1" w:styleId="102">
    <w:name w:val="AttributeTok"/>
    <w:qFormat/>
    <w:uiPriority w:val="0"/>
    <w:rPr>
      <w:color w:val="7D9029"/>
    </w:rPr>
  </w:style>
  <w:style w:type="character" w:customStyle="1" w:styleId="103">
    <w:name w:val="RegionMarkerTok"/>
    <w:qFormat/>
    <w:uiPriority w:val="0"/>
  </w:style>
  <w:style w:type="character" w:customStyle="1" w:styleId="104">
    <w:name w:val="InformationTok"/>
    <w:qFormat/>
    <w:uiPriority w:val="0"/>
    <w:rPr>
      <w:b/>
      <w:i/>
      <w:color w:val="60A0B0"/>
    </w:rPr>
  </w:style>
  <w:style w:type="character" w:customStyle="1" w:styleId="105">
    <w:name w:val="WarningTok"/>
    <w:qFormat/>
    <w:uiPriority w:val="0"/>
    <w:rPr>
      <w:b/>
      <w:i/>
      <w:color w:val="60A0B0"/>
    </w:rPr>
  </w:style>
  <w:style w:type="character" w:customStyle="1" w:styleId="106">
    <w:name w:val="AlertTok"/>
    <w:qFormat/>
    <w:uiPriority w:val="0"/>
    <w:rPr>
      <w:b/>
      <w:color w:val="FF0000"/>
    </w:rPr>
  </w:style>
  <w:style w:type="character" w:customStyle="1" w:styleId="107">
    <w:name w:val="ErrorTok"/>
    <w:qFormat/>
    <w:uiPriority w:val="0"/>
    <w:rPr>
      <w:b/>
      <w:color w:val="FF0000"/>
    </w:rPr>
  </w:style>
  <w:style w:type="character" w:customStyle="1" w:styleId="108">
    <w:name w:val="NormalTok"/>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10</Pages>
  <Words>450</Words>
  <Characters>502</Characters>
  <Lines>12</Lines>
  <Paragraphs>8</Paragraphs>
  <TotalTime>12</TotalTime>
  <ScaleCrop>false</ScaleCrop>
  <LinksUpToDate>false</LinksUpToDate>
  <CharactersWithSpaces>502</CharactersWithSpaces>
  <Application>WPS Office WWO_wpscloud_20250925191819-314b3f48ed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2024-11-15T15:05:00Z</dcterms:created>
  <dc:creator>bowen</dc:creator>
  <cp:lastModifiedBy>张运哲</cp:lastModifiedBy>
  <dcterms:modified xsi:type="dcterms:W3CDTF">2025-10-06T21:01:09Z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2052-12.9.0.23117</vt:lpwstr>
  </property>
  <property fmtid="{D5CDD505-2E9C-101B-9397-08002B2CF9AE}" pid="3" name="ICV">
    <vt:lpwstr>F94A4B67FF52DB0B95BDE368E109AA91_43</vt:lpwstr>
  </property>
  <property fmtid="{D5CDD505-2E9C-101B-9397-08002B2CF9AE}" pid="4" name="KSOTemplateDocerSaveRecord">
    <vt:lpwstr>eyJoZGlkIjoiNzI4YmNmYThhZjA0NTVhODllNDhjMGZiNmFkMDJjN2YiLCJ1c2VySWQiOiIxNjA5OTI0MDI0In0=</vt:lpwstr>
  </property>
</Properties>
</file>