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00E4D">
      <w:pPr>
        <w:pStyle w:val="2"/>
      </w:pPr>
    </w:p>
    <w:p w14:paraId="2B50DEA5">
      <w:pPr>
        <w:pStyle w:val="2"/>
      </w:pPr>
      <w:r>
        <w:t>干变浇注车间X光检测系统台车技术手册</w:t>
      </w:r>
    </w:p>
    <w:p w14:paraId="23E34785">
      <w:pPr>
        <w:pStyle w:val="3"/>
      </w:pPr>
      <w:r>
        <w:t>一、设备概述</w:t>
      </w:r>
    </w:p>
    <w:p w14:paraId="18E11F0C">
      <w:pPr>
        <w:pStyle w:val="4"/>
      </w:pPr>
      <w:r>
        <w:t>1.1 设备用途与工作环境</w:t>
      </w:r>
    </w:p>
    <w:p w14:paraId="603B72DF">
      <w:r>
        <w:t>干变浇注车间X光检测系统台车（以下简称“检测台车”）是干式变压器生产过程中的关键专用设备，主要用于环氧树脂浇注线圈的内部质量无损检测，可精准识别线圈内部的气泡、裂纹、夹杂等缺陷，为干式变压器的绝缘性能和机械强度提供重要质量保障。该设备主要适用于SCB系列（如SCB10、SCB13等）环氧树脂浇注干式变压器线圈，检测对象涵盖容量从50kVA至2500kVA的各类规格线圈，检测范围包括线圈绕组的层间绝缘、浇注体致密性及内部预埋件位置精度。</w:t>
      </w:r>
    </w:p>
    <w:p w14:paraId="2F1015EC">
      <w:r>
        <w:t>设备工作环境为干变浇注车间，需满足以下条件：环境温度-10℃至50℃，相对湿度≤95%（无凝结），车间粉尘浓度≤10mg/m³，且远离强电磁干扰源（如中频炉、大型焊接设备）。设备运行区域需设置独立的检测隔间，隔间墙体应具备与设备防护等级匹配的辐射屏蔽能力，确保周边环境辐射安全。根据GBZ 117-2015《工业X射线探伤放射防护要求》，设备运行时非操作区的辐射泄漏剂量需≤1μSv/h，操作区需配备辐射剂量监测仪，实时显示环境辐射水平。</w:t>
      </w:r>
    </w:p>
    <w:p w14:paraId="4D1B514F">
      <w:pPr>
        <w:pStyle w:val="4"/>
      </w:pPr>
      <w:r>
        <w:t>1.2 主要技术参数</w:t>
      </w:r>
    </w:p>
    <w:p w14:paraId="67B07EE8">
      <w:r>
        <w:t>检测台车的核心技术参数如下表所示，其中设计值参考行业主流设备配置，标准值依据相关国家及行业规范制定：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28AA2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44AD78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6B24B92D">
            <w:pPr>
              <w:jc w:val="center"/>
              <w:rPr>
                <w:b/>
              </w:rPr>
            </w:pPr>
            <w:r>
              <w:rPr>
                <w:b/>
              </w:rPr>
              <w:t>具体参数项</w:t>
            </w:r>
          </w:p>
        </w:tc>
        <w:tc>
          <w:tcPr>
            <w:tcW w:w="0" w:type="auto"/>
            <w:vAlign w:val="center"/>
          </w:tcPr>
          <w:p w14:paraId="0624A6C5">
            <w:pPr>
              <w:jc w:val="center"/>
              <w:rPr>
                <w:b/>
              </w:rPr>
            </w:pPr>
            <w:r>
              <w:rPr>
                <w:b/>
              </w:rPr>
              <w:t>设计值</w:t>
            </w:r>
          </w:p>
        </w:tc>
        <w:tc>
          <w:tcPr>
            <w:tcW w:w="0" w:type="auto"/>
            <w:vAlign w:val="center"/>
          </w:tcPr>
          <w:p w14:paraId="6BED78CA">
            <w:pPr>
              <w:jc w:val="center"/>
              <w:rPr>
                <w:b/>
              </w:rPr>
            </w:pPr>
            <w:r>
              <w:rPr>
                <w:b/>
              </w:rPr>
              <w:t>标准值依据</w:t>
            </w:r>
          </w:p>
        </w:tc>
      </w:tr>
      <w:tr w14:paraId="5274B8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63F0C89">
            <w:r>
              <w:t>机械性能</w:t>
            </w:r>
          </w:p>
        </w:tc>
        <w:tc>
          <w:tcPr>
            <w:tcW w:w="0" w:type="auto"/>
            <w:vAlign w:val="center"/>
          </w:tcPr>
          <w:p w14:paraId="5D1855FE">
            <w:r>
              <w:t>承载平台额定负载</w:t>
            </w:r>
          </w:p>
        </w:tc>
        <w:tc>
          <w:tcPr>
            <w:tcW w:w="0" w:type="auto"/>
            <w:vAlign w:val="center"/>
          </w:tcPr>
          <w:p w14:paraId="4FD4F9CA">
            <w:r>
              <w:t>≥500kg</w:t>
            </w:r>
          </w:p>
        </w:tc>
        <w:tc>
          <w:tcPr>
            <w:tcW w:w="0" w:type="auto"/>
            <w:vAlign w:val="center"/>
          </w:tcPr>
          <w:p w14:paraId="61375158">
            <w:r>
              <w:t>满足2500kVA线圈（约300kg）检测需求</w:t>
            </w:r>
          </w:p>
        </w:tc>
      </w:tr>
      <w:tr w14:paraId="71BEF7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CF4D7F"/>
        </w:tc>
        <w:tc>
          <w:tcPr>
            <w:tcW w:w="0" w:type="auto"/>
            <w:vAlign w:val="center"/>
          </w:tcPr>
          <w:p w14:paraId="577F5CF7">
            <w:r>
              <w:t>X轴（横向）行程</w:t>
            </w:r>
          </w:p>
        </w:tc>
        <w:tc>
          <w:tcPr>
            <w:tcW w:w="0" w:type="auto"/>
            <w:vAlign w:val="center"/>
          </w:tcPr>
          <w:p w14:paraId="086CBFA3">
            <w:r>
              <w:t>1.5-3m</w:t>
            </w:r>
          </w:p>
        </w:tc>
        <w:tc>
          <w:tcPr>
            <w:tcW w:w="0" w:type="auto"/>
            <w:vAlign w:val="center"/>
          </w:tcPr>
          <w:p w14:paraId="253E2771">
            <w:r>
              <w:t>适配最大线圈直径1.2m的检测范围</w:t>
            </w:r>
          </w:p>
        </w:tc>
      </w:tr>
      <w:tr w14:paraId="36AD2A21">
        <w:tc>
          <w:tcPr>
            <w:tcW w:w="0" w:type="auto"/>
            <w:vAlign w:val="center"/>
          </w:tcPr>
          <w:p w14:paraId="1096B950"/>
        </w:tc>
        <w:tc>
          <w:tcPr>
            <w:tcW w:w="0" w:type="auto"/>
            <w:vAlign w:val="center"/>
          </w:tcPr>
          <w:p w14:paraId="30D5362A">
            <w:r>
              <w:t>Y轴（纵向）行程</w:t>
            </w:r>
          </w:p>
        </w:tc>
        <w:tc>
          <w:tcPr>
            <w:tcW w:w="0" w:type="auto"/>
            <w:vAlign w:val="center"/>
          </w:tcPr>
          <w:p w14:paraId="2C036365">
            <w:r>
              <w:t>0.8-1.2m</w:t>
            </w:r>
          </w:p>
        </w:tc>
        <w:tc>
          <w:tcPr>
            <w:tcW w:w="0" w:type="auto"/>
            <w:vAlign w:val="center"/>
          </w:tcPr>
          <w:p w14:paraId="4E8BA14D">
            <w:r>
              <w:t>覆盖线圈前后方向检测需求</w:t>
            </w:r>
          </w:p>
        </w:tc>
      </w:tr>
      <w:tr w14:paraId="02B78F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943F78"/>
        </w:tc>
        <w:tc>
          <w:tcPr>
            <w:tcW w:w="0" w:type="auto"/>
            <w:vAlign w:val="center"/>
          </w:tcPr>
          <w:p w14:paraId="31FF39AD">
            <w:r>
              <w:t>Z轴（升降）行程</w:t>
            </w:r>
          </w:p>
        </w:tc>
        <w:tc>
          <w:tcPr>
            <w:tcW w:w="0" w:type="auto"/>
            <w:vAlign w:val="center"/>
          </w:tcPr>
          <w:p w14:paraId="03BAA0F8">
            <w:r>
              <w:t>0.5-1m</w:t>
            </w:r>
          </w:p>
        </w:tc>
        <w:tc>
          <w:tcPr>
            <w:tcW w:w="0" w:type="auto"/>
            <w:vAlign w:val="center"/>
          </w:tcPr>
          <w:p w14:paraId="06FC0E63">
            <w:r>
              <w:t>适配线圈高度（300-800mm）调节需求</w:t>
            </w:r>
          </w:p>
        </w:tc>
      </w:tr>
      <w:tr w14:paraId="6A0184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4FDE0B"/>
        </w:tc>
        <w:tc>
          <w:tcPr>
            <w:tcW w:w="0" w:type="auto"/>
            <w:vAlign w:val="center"/>
          </w:tcPr>
          <w:p w14:paraId="199D72AC">
            <w:r>
              <w:t>三维定位精度</w:t>
            </w:r>
          </w:p>
        </w:tc>
        <w:tc>
          <w:tcPr>
            <w:tcW w:w="0" w:type="auto"/>
            <w:vAlign w:val="center"/>
          </w:tcPr>
          <w:p w14:paraId="17B55AAD">
            <w:r>
              <w:t>±0.1mm</w:t>
            </w:r>
          </w:p>
        </w:tc>
        <w:tc>
          <w:tcPr>
            <w:tcW w:w="0" w:type="auto"/>
            <w:vAlign w:val="center"/>
          </w:tcPr>
          <w:p w14:paraId="562F847B">
            <w:r>
              <w:t>JB/T 10557-2006《工业X射线检测设备通用技术条件》</w:t>
            </w:r>
          </w:p>
        </w:tc>
      </w:tr>
      <w:tr w14:paraId="61825D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8E6B1D2"/>
        </w:tc>
        <w:tc>
          <w:tcPr>
            <w:tcW w:w="0" w:type="auto"/>
            <w:vAlign w:val="center"/>
          </w:tcPr>
          <w:p w14:paraId="664FCF7C">
            <w:r>
              <w:t>最大运行速度</w:t>
            </w:r>
          </w:p>
        </w:tc>
        <w:tc>
          <w:tcPr>
            <w:tcW w:w="0" w:type="auto"/>
            <w:vAlign w:val="center"/>
          </w:tcPr>
          <w:p w14:paraId="15C04FB0">
            <w:r>
              <w:t>2mm/s</w:t>
            </w:r>
          </w:p>
        </w:tc>
        <w:tc>
          <w:tcPr>
            <w:tcW w:w="0" w:type="auto"/>
            <w:vAlign w:val="center"/>
          </w:tcPr>
          <w:p w14:paraId="2E228428">
            <w:r>
              <w:t>兼顾检测效率与成像清晰度</w:t>
            </w:r>
          </w:p>
        </w:tc>
      </w:tr>
      <w:tr w14:paraId="0C880126">
        <w:tc>
          <w:tcPr>
            <w:tcW w:w="0" w:type="auto"/>
            <w:vAlign w:val="center"/>
          </w:tcPr>
          <w:p w14:paraId="6BF13C7D">
            <w:r>
              <w:t>X射线系统</w:t>
            </w:r>
          </w:p>
        </w:tc>
        <w:tc>
          <w:tcPr>
            <w:tcW w:w="0" w:type="auto"/>
            <w:vAlign w:val="center"/>
          </w:tcPr>
          <w:p w14:paraId="684241B8">
            <w:r>
              <w:t>管电压调节范围</w:t>
            </w:r>
          </w:p>
        </w:tc>
        <w:tc>
          <w:tcPr>
            <w:tcW w:w="0" w:type="auto"/>
            <w:vAlign w:val="center"/>
          </w:tcPr>
          <w:p w14:paraId="07F466A5">
            <w:r>
              <w:t>0-160kV</w:t>
            </w:r>
          </w:p>
        </w:tc>
        <w:tc>
          <w:tcPr>
            <w:tcW w:w="0" w:type="auto"/>
            <w:vAlign w:val="center"/>
          </w:tcPr>
          <w:p w14:paraId="780CBA8F">
            <w:r>
              <w:t>适配环氧树脂材料（厚度20-100mm）检测</w:t>
            </w:r>
          </w:p>
        </w:tc>
      </w:tr>
      <w:tr w14:paraId="7DADE9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295F8A"/>
        </w:tc>
        <w:tc>
          <w:tcPr>
            <w:tcW w:w="0" w:type="auto"/>
            <w:vAlign w:val="center"/>
          </w:tcPr>
          <w:p w14:paraId="514FA483">
            <w:r>
              <w:t>焦点尺寸</w:t>
            </w:r>
          </w:p>
        </w:tc>
        <w:tc>
          <w:tcPr>
            <w:tcW w:w="0" w:type="auto"/>
            <w:vAlign w:val="center"/>
          </w:tcPr>
          <w:p w14:paraId="22833E9D">
            <w:r>
              <w:t>≤0.4mm</w:t>
            </w:r>
          </w:p>
        </w:tc>
        <w:tc>
          <w:tcPr>
            <w:tcW w:w="0" w:type="auto"/>
            <w:vAlign w:val="center"/>
          </w:tcPr>
          <w:p w14:paraId="44D60165">
            <w:r>
              <w:t>确保微小缺陷（≥0.1mm）识别能力</w:t>
            </w:r>
          </w:p>
        </w:tc>
      </w:tr>
      <w:tr w14:paraId="647A6A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AD8E5E"/>
        </w:tc>
        <w:tc>
          <w:tcPr>
            <w:tcW w:w="0" w:type="auto"/>
            <w:vAlign w:val="center"/>
          </w:tcPr>
          <w:p w14:paraId="70160A2D">
            <w:r>
              <w:t>曝光时间范围</w:t>
            </w:r>
          </w:p>
        </w:tc>
        <w:tc>
          <w:tcPr>
            <w:tcW w:w="0" w:type="auto"/>
            <w:vAlign w:val="center"/>
          </w:tcPr>
          <w:p w14:paraId="60D2D1A7">
            <w:r>
              <w:t>0.5-3s</w:t>
            </w:r>
          </w:p>
        </w:tc>
        <w:tc>
          <w:tcPr>
            <w:tcW w:w="0" w:type="auto"/>
            <w:vAlign w:val="center"/>
          </w:tcPr>
          <w:p w14:paraId="5C49D520">
            <w:r>
              <w:t>根据工件厚度自动匹配</w:t>
            </w:r>
          </w:p>
        </w:tc>
      </w:tr>
      <w:tr w14:paraId="5C5CCCC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3ACB468"/>
        </w:tc>
        <w:tc>
          <w:tcPr>
            <w:tcW w:w="0" w:type="auto"/>
            <w:vAlign w:val="center"/>
          </w:tcPr>
          <w:p w14:paraId="0CFDE27C">
            <w:r>
              <w:t>探测器像素尺寸</w:t>
            </w:r>
          </w:p>
        </w:tc>
        <w:tc>
          <w:tcPr>
            <w:tcW w:w="0" w:type="auto"/>
            <w:vAlign w:val="center"/>
          </w:tcPr>
          <w:p w14:paraId="4C9B0D8E">
            <w:r>
              <w:t>127μm</w:t>
            </w:r>
          </w:p>
        </w:tc>
        <w:tc>
          <w:tcPr>
            <w:tcW w:w="0" w:type="auto"/>
            <w:vAlign w:val="center"/>
          </w:tcPr>
          <w:p w14:paraId="1CC35610">
            <w:r>
              <w:t>线阵列探测器行业通用规格</w:t>
            </w:r>
          </w:p>
        </w:tc>
      </w:tr>
      <w:tr w14:paraId="2C4DBC76">
        <w:tc>
          <w:tcPr>
            <w:tcW w:w="0" w:type="auto"/>
            <w:vAlign w:val="center"/>
          </w:tcPr>
          <w:p w14:paraId="4F86AB8B">
            <w:r>
              <w:t>辐射防护</w:t>
            </w:r>
          </w:p>
        </w:tc>
        <w:tc>
          <w:tcPr>
            <w:tcW w:w="0" w:type="auto"/>
            <w:vAlign w:val="center"/>
          </w:tcPr>
          <w:p w14:paraId="596C7EA8">
            <w:r>
              <w:t>防护铅板当量</w:t>
            </w:r>
          </w:p>
        </w:tc>
        <w:tc>
          <w:tcPr>
            <w:tcW w:w="0" w:type="auto"/>
            <w:vAlign w:val="center"/>
          </w:tcPr>
          <w:p w14:paraId="4BB0C09F">
            <w:r>
              <w:t>≥2mm</w:t>
            </w:r>
          </w:p>
        </w:tc>
        <w:tc>
          <w:tcPr>
            <w:tcW w:w="0" w:type="auto"/>
            <w:vAlign w:val="center"/>
          </w:tcPr>
          <w:p w14:paraId="3CF4C27C">
            <w:r>
              <w:t>GBZ 117-2015《工业X射线探伤放射防护要求》</w:t>
            </w:r>
          </w:p>
        </w:tc>
      </w:tr>
      <w:tr w14:paraId="048766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2FDEBA"/>
        </w:tc>
        <w:tc>
          <w:tcPr>
            <w:tcW w:w="0" w:type="auto"/>
            <w:vAlign w:val="center"/>
          </w:tcPr>
          <w:p w14:paraId="4C2BE89E">
            <w:r>
              <w:t>铅玻璃观察窗当量</w:t>
            </w:r>
          </w:p>
        </w:tc>
        <w:tc>
          <w:tcPr>
            <w:tcW w:w="0" w:type="auto"/>
            <w:vAlign w:val="center"/>
          </w:tcPr>
          <w:p w14:paraId="0D3DFAF3">
            <w:r>
              <w:t>1.5mm</w:t>
            </w:r>
          </w:p>
        </w:tc>
        <w:tc>
          <w:tcPr>
            <w:tcW w:w="0" w:type="auto"/>
            <w:vAlign w:val="center"/>
          </w:tcPr>
          <w:p w14:paraId="72D0F1B2">
            <w:r>
              <w:t>同上</w:t>
            </w:r>
          </w:p>
        </w:tc>
      </w:tr>
      <w:tr w14:paraId="282BE9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6F62B2"/>
        </w:tc>
        <w:tc>
          <w:tcPr>
            <w:tcW w:w="0" w:type="auto"/>
            <w:vAlign w:val="center"/>
          </w:tcPr>
          <w:p w14:paraId="297D7B7F">
            <w:r>
              <w:t>泄漏辐射剂量</w:t>
            </w:r>
          </w:p>
        </w:tc>
        <w:tc>
          <w:tcPr>
            <w:tcW w:w="0" w:type="auto"/>
            <w:vAlign w:val="center"/>
          </w:tcPr>
          <w:p w14:paraId="199452AB">
            <w:r>
              <w:t>≤1μSv/h</w:t>
            </w:r>
          </w:p>
        </w:tc>
        <w:tc>
          <w:tcPr>
            <w:tcW w:w="0" w:type="auto"/>
            <w:vAlign w:val="center"/>
          </w:tcPr>
          <w:p w14:paraId="059BBE62">
            <w:r>
              <w:t>同上</w:t>
            </w:r>
          </w:p>
        </w:tc>
      </w:tr>
      <w:tr w14:paraId="087216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394BA02">
            <w:r>
              <w:t>环境适应性</w:t>
            </w:r>
          </w:p>
        </w:tc>
        <w:tc>
          <w:tcPr>
            <w:tcW w:w="0" w:type="auto"/>
            <w:vAlign w:val="center"/>
          </w:tcPr>
          <w:p w14:paraId="172BCBFB">
            <w:r>
              <w:t>工作温度范围</w:t>
            </w:r>
          </w:p>
        </w:tc>
        <w:tc>
          <w:tcPr>
            <w:tcW w:w="0" w:type="auto"/>
            <w:vAlign w:val="center"/>
          </w:tcPr>
          <w:p w14:paraId="246FC7E9">
            <w:r>
              <w:t>-10℃至50℃</w:t>
            </w:r>
          </w:p>
        </w:tc>
        <w:tc>
          <w:tcPr>
            <w:tcW w:w="0" w:type="auto"/>
            <w:vAlign w:val="center"/>
          </w:tcPr>
          <w:p w14:paraId="68D9283A">
            <w:r>
              <w:t>GB/T 13306-2011《标牌》环境要求</w:t>
            </w:r>
          </w:p>
        </w:tc>
      </w:tr>
      <w:tr w14:paraId="6611B03E">
        <w:tc>
          <w:tcPr>
            <w:tcW w:w="0" w:type="auto"/>
            <w:vAlign w:val="center"/>
          </w:tcPr>
          <w:p w14:paraId="2B06A5AE"/>
        </w:tc>
        <w:tc>
          <w:tcPr>
            <w:tcW w:w="0" w:type="auto"/>
            <w:vAlign w:val="center"/>
          </w:tcPr>
          <w:p w14:paraId="5484DAA5">
            <w:r>
              <w:t>相对湿度</w:t>
            </w:r>
          </w:p>
        </w:tc>
        <w:tc>
          <w:tcPr>
            <w:tcW w:w="0" w:type="auto"/>
            <w:vAlign w:val="center"/>
          </w:tcPr>
          <w:p w14:paraId="63E4E57D">
            <w:r>
              <w:t>≤95%（无凝结）</w:t>
            </w:r>
          </w:p>
        </w:tc>
        <w:tc>
          <w:tcPr>
            <w:tcW w:w="0" w:type="auto"/>
            <w:vAlign w:val="center"/>
          </w:tcPr>
          <w:p w14:paraId="0ED85F58">
            <w:r>
              <w:t>同上</w:t>
            </w:r>
          </w:p>
        </w:tc>
      </w:tr>
      <w:tr w14:paraId="4C3E9C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F6D7F5"/>
        </w:tc>
        <w:tc>
          <w:tcPr>
            <w:tcW w:w="0" w:type="auto"/>
            <w:vAlign w:val="center"/>
          </w:tcPr>
          <w:p w14:paraId="3A327AF1">
            <w:r>
              <w:t>振动控制</w:t>
            </w:r>
          </w:p>
        </w:tc>
        <w:tc>
          <w:tcPr>
            <w:tcW w:w="0" w:type="auto"/>
            <w:vAlign w:val="center"/>
          </w:tcPr>
          <w:p w14:paraId="398F506C">
            <w:r>
              <w:t>≤2.8mm/s</w:t>
            </w:r>
          </w:p>
        </w:tc>
        <w:tc>
          <w:tcPr>
            <w:tcW w:w="0" w:type="auto"/>
            <w:vAlign w:val="center"/>
          </w:tcPr>
          <w:p w14:paraId="5B775489">
            <w:r>
              <w:t>ISO 10816《机械振动评价标准》</w:t>
            </w:r>
          </w:p>
        </w:tc>
      </w:tr>
    </w:tbl>
    <w:p w14:paraId="4FB0FF3F">
      <w:pPr>
        <w:pStyle w:val="4"/>
      </w:pPr>
      <w:r>
        <w:t>1.3 设备主要组成</w:t>
      </w:r>
    </w:p>
    <w:p w14:paraId="2A381C7A">
      <w:r>
        <w:t>检测台车由机械系统、X射线发生与接收系统、控制系统及辐射防护系统四部分组成。机械系统包含承载平台、运动驱动机构及辅助支撑组件；X射线系统由封闭式X射线管、平板探测器及高压发生器构成；控制系统以PLC为核心，集成伺服驱动、传感器及人机交互界面；辐射防护系统则通过铅屏蔽体、安全联锁装置实现辐射安全控制。各系统协同工作，实现从工件上料到检测报告生成的全流程自动化。</w:t>
      </w:r>
    </w:p>
    <w:p w14:paraId="5B829BA2">
      <w:pPr>
        <w:pStyle w:val="3"/>
      </w:pPr>
      <w:r>
        <w:t>二、结构组成与功能说明</w:t>
      </w:r>
    </w:p>
    <w:p w14:paraId="6BDBAD9F">
      <w:pPr>
        <w:pStyle w:val="4"/>
      </w:pPr>
      <w:r>
        <w:t>2.1 承载平台模块</w:t>
      </w:r>
    </w:p>
    <w:p w14:paraId="1DC11A3D">
      <w:r>
        <w:t>承载平台是检测台车的工件支撑核心，采用“型钢框架+面板”复合结构设计。主体框架选用10号槽钢与8mm厚Q235钢板焊接而成，通过有限元分析优化结构应力分布，确保在500kg负载下的最大变形量≤0.5mm。平台表面铺设2mm厚防滑绝缘橡胶板，橡胶板表面压制菱形花纹（深度1.5mm），可有效防止工件吊装过程中发生滑动，同时具备良好的绝缘性能（表面电阻≥10⁸Ω），避免检测过程中产生静电干扰。</w:t>
      </w:r>
    </w:p>
    <w:p w14:paraId="09FFFAE7">
      <w:r>
        <w:t>平台底部四角配置聚氨酯减震脚垫（直径100mm，硬度60 Shore A），通过螺栓与框架刚性连接，可吸收设备运行时的机械振动，使传递至地面的振动加速度≤0.1g。平台两侧设置可拆卸式定位挡板（高度150mm），挡板内侧安装聚氨酯缓冲条（厚度20mm），防止工件吊装时与平台刚性碰撞。针对不同规格线圈，平台配备可更换的定位销组件（直径16mm/20mm两种规格），定位销与线圈底座预留孔的配合间隙控制在0.1-0.2mm，确保工件检测时的位置重复性≤±0.05mm。</w:t>
      </w:r>
    </w:p>
    <w:p w14:paraId="4AA8AF0E">
      <w:r>
        <w:t>平台下方集成气动夹紧装置，包含4组水平气缸（缸径50mm，行程100mm），通过PLC控制实现工件自动定心夹紧。气缸工作压力设定为0.6MPa，夹紧力可达1.5kN，确保检测过程中工件无位移。夹紧装置配备压力传感器（精度±1%FS），实时监测夹紧状态，若压力低于0.4MPa，系统自动报警并停止检测流程。</w:t>
      </w:r>
    </w:p>
    <w:p w14:paraId="330728A7">
      <w:pPr>
        <w:pStyle w:val="4"/>
      </w:pPr>
      <w:r>
        <w:t>2.2 运动驱动系统</w:t>
      </w:r>
    </w:p>
    <w:p w14:paraId="6B1FF13B">
      <w:r>
        <w:t>运动驱动系统实现检测台车的三维空间运动，采用“伺服电机+精密滚珠丝杠”驱动方案，分为X轴（横向）、Y轴（纵向）、Z轴（升降）三个运动轴，各轴独立控制且具备联动功能。</w:t>
      </w:r>
    </w:p>
    <w:p w14:paraId="184A252B">
      <w:r>
        <w:t>X轴驱动机构安装于车间地面轨道上，采用两根平行布置的精密滚珠丝杠（直径32mm，导程10mm，精度等级C3），通过联轴器与松下MSME152GCG伺服电机（额定功率1.5kW，额定转速3000rpm）直连。电机配置20位绝对值编码器，实现全闭环位置反馈，定位精度可达±0.05mm，重复定位精度±0.02mm。X轴有效行程2.5m，运行速度0.1-2mm/s无级可调，加减速时间设定为0.5s，避免启动冲击。轨道采用45#钢淬火处理（硬度HRC58-62），表面粗糙度Ra0.8μm，配合高精度滑块（间隙≤0.01mm），确保运行平稳性。</w:t>
      </w:r>
    </w:p>
    <w:p w14:paraId="32FEEC19">
      <w:r>
        <w:t>Y轴驱动机构集成于X轴移动平台上，采用单滚珠丝杠驱动（直径25mm，导程8mm，C3级），伺服电机选用松下MSME102GCG（额定功率1.0kW），行程1.0m，定位精度±0.08mm。Y轴运动方向与X轴垂直，通过线性导轨（型号HGW20CA）导向，导轨平行度误差≤0.05mm/m。</w:t>
      </w:r>
    </w:p>
    <w:p w14:paraId="71CC7CA4">
      <w:r>
        <w:t>Z轴驱动机构用于调节X射线源与探测器的高度，采用双立柱龙门式结构，两侧立柱通过螺栓与Y轴平台刚性连接。升降驱动采用滚珠丝杠（直径20mm，导程5mm，C3级）与伺服电机（松下MSME082GCG，0.75kW）组合，行程0.8m，定位精度±0.1mm。Z轴导轨选用方形导轨（型号SBR20），配合刮屑板与防尘罩（风琴式结构，拉伸比1:5），有效防止浇注车间粉尘进入导轨内部。</w:t>
      </w:r>
    </w:p>
    <w:p w14:paraId="463F9AA8">
      <w:r>
        <w:t>各轴驱动系统均配置制动装置，X/Y轴采用电磁制动器（制动力矩2.5N·m），Z轴采用失电制动器（制动力矩1.5N·m），确保电机断电时轴系无滑行，制动响应时间≤50ms。驱动系统润滑采用集中供油方式，通过电动润滑泵（储油量500mL）定期向丝杠与导轨供油，供油周期设定为每运行1小时供油1次，每次供油时间2秒，润滑油选用ISO VG32导轨油。</w:t>
      </w:r>
    </w:p>
    <w:p w14:paraId="1137E47B">
      <w:pPr>
        <w:pStyle w:val="4"/>
      </w:pPr>
      <w:r>
        <w:t>2.3 X射线发生与接收单元</w:t>
      </w:r>
    </w:p>
    <w:p w14:paraId="07471F94">
      <w:r>
        <w:t>X射线发生与接收单元是检测台车的核心功能部件，采用对置式安装结构，分别固定于Z轴龙门架的两侧横梁上。X射线发生端包含封闭式X射线管、高压发生器及冷却系统；接收端配置平板探测器及图像采集卡，两者中心轴线同轴度误差控制在≤0.1mm/m。</w:t>
      </w:r>
    </w:p>
    <w:p w14:paraId="4EA133CE">
      <w:r>
        <w:t>X射线管选用国产XXG-160型定向陶瓷管，管电压调节范围40-160kV（步距1kV），管电流0-10mA（步距0.1mA），焦点尺寸0.4mm×0.4mm（有效焦点），阳极靶材为钨（W），靶角12°。射线管外壳采用铸铅防护（铅当量5mm），前端窗口为铍窗（厚度0.5mm），窗口处配置可更换的滤光片（铜滤片0.5mm/1mm两种规格），用于调节射线谱硬度。射线管工作温度范围5-40℃，冷却方式为油浸自冷，油箱容量2L，油温超过50℃时系统自动启动风冷散热（风扇转速2800rpm）。</w:t>
      </w:r>
    </w:p>
    <w:p w14:paraId="3F87E457">
      <w:r>
        <w:t>高压发生器与射线管一体化设计，输入电压AC220V±10%，50Hz，最大功率1.6kW，高压纹波系数≤3%（在160kV时）。发生器内部集成过压、过流保护电路，当管电压超过设定值5%或管电流超过额定值10%时，保护电路动作并切断高压输出，响应时间≤10μs。</w:t>
      </w:r>
    </w:p>
    <w:p w14:paraId="1207D98A">
      <w:r>
        <w:t>平板探测器选用 amorphous silicon 材质，有效检测面积200mm×250mm，像素尺寸127μm，像素数量1584×1984，A/D转换位数16bit，灰度分辨率65536级。探测器帧率最高可达30fps（全分辨率模式），动态范围≥1600:1。探测器前端安装0.1mm厚铝过滤层，可吸收低能散射线，提高图像信噪比。探测器与X射线管的距离可通过Z轴调节，调节范围500-1500mm，以适应不同厚度工件的检测需求。</w:t>
      </w:r>
    </w:p>
    <w:p w14:paraId="7F8E008D">
      <w:r>
        <w:t>图像采集系统采用PCI-E接口图像采集卡（传输速率4GB/s），可实现探测器数据的实时采集与预处理。采集卡支持多种图像格式输出（BMP、TIFF、DICOM），并具备图像增强（对比度拉伸、边缘锐化）、缺陷测量（距离、面积、周长）等基本分析功能。</w:t>
      </w:r>
    </w:p>
    <w:p w14:paraId="3A63F21C">
      <w:pPr>
        <w:pStyle w:val="4"/>
      </w:pPr>
      <w:r>
        <w:t>2.4 防护屏蔽组件</w:t>
      </w:r>
    </w:p>
    <w:p w14:paraId="11F7D576">
      <w:r>
        <w:t>防护屏蔽组件是保障设备辐射安全的关键，采用“主体屏蔽+局部防护”的复合防护方案，确保设备运行时的辐射泄漏剂量符合国家标准。</w:t>
      </w:r>
    </w:p>
    <w:p w14:paraId="7B52D420">
      <w:r>
        <w:t>台车主体防护结构为铅钢复合屏蔽体，框架采用5mm厚Q235钢板焊接而成，内部填充2mm厚纯铅板（纯度99.99%），铅板与钢板通过环氧树脂胶（剪切强度≥15MPa）粘合，外部覆盖1.5mm厚不锈钢装饰板（304材质）。屏蔽体尺寸为3m（长）×2m（宽）×2.5m（高），正面设置双开防护门（门洞尺寸1.2m×2m），门体结构与主体屏蔽一致（铅当量2mm），门边缘配置“L”型铅密封条（宽度50mm，厚度2mm），可有效防止门缝处辐射泄漏。</w:t>
      </w:r>
    </w:p>
    <w:p w14:paraId="55DAD30A">
      <w:r>
        <w:t>防护门配备机械联锁装置与电气联锁开关，机械联锁采用偏心轮压紧结构，关门时需旋转手柄（旋转角度90°）使门体与门框紧密贴合，贴合间隙≤0.5mm；电气联锁包含2组行程开关（IP67防护等级），只有当防护门完全关闭且机械联锁到位后，行程开关接通，系统才能启动X射线照射。门外侧安装红色警示灯（LED光源，亮度≥500cd/m²）与蜂鸣器（音量≥85dB），X射线照射时警示灯闪烁，蜂鸣器发出间歇报警声（间隔1s）。</w:t>
      </w:r>
    </w:p>
    <w:p w14:paraId="3E148CDC">
      <w:r>
        <w:t>操作面设置铅玻璃观察窗（尺寸600mm×400mm），采用双层复合结构（1.5mm铅当量），内层为3mm厚铅玻璃，外层为5mm厚钢化玻璃，中间夹0.3mm厚PVB胶片，透光率≥80%，可清晰观察内部检测状态。观察窗下方配置手动操作孔（直径150mm），孔内安装铅防护手套（铅当量0.5mm，长度600mm），便于在紧急情况下进行手动干预。</w:t>
      </w:r>
    </w:p>
    <w:p w14:paraId="7E0B4DCF">
      <w:r>
        <w:t>设备顶部安装辐射剂量监测仪（型号JB4000，测量范围0.01μSv/h-10mSv/h），监测数据实时传输至控制系统，当检测到辐射剂量超过1μSv/h时，系统自动切断X射线源并发出声光报警。屏蔽体底部设置防辐射裙边（高度150mm，铅当量1mm），与地面贴合间隙≤5mm，防止射线从底部泄漏。</w:t>
      </w:r>
    </w:p>
    <w:p w14:paraId="55867958">
      <w:pPr>
        <w:pStyle w:val="3"/>
      </w:pPr>
      <w:r>
        <w:t>三、机械原理与工作流程</w:t>
      </w:r>
    </w:p>
    <w:p w14:paraId="764F741B">
      <w:pPr>
        <w:pStyle w:val="4"/>
      </w:pPr>
      <w:r>
        <w:t>3.1 机械动作逻辑</w:t>
      </w:r>
    </w:p>
    <w:p w14:paraId="6553730C">
      <w:r>
        <w:t>检测台车的机械动作基于三维坐标运动与X射线曝光的协同控制，核心逻辑是通过伺服系统驱动工件与射线源/探测器的相对运动，实现线圈全区域的扫描检测。其机械动作原理可分为单轴独立运动控制与多轴联动控制两种模式。</w:t>
      </w:r>
    </w:p>
    <w:p w14:paraId="447E5D7E">
      <w:r>
        <w:t>单轴独立运动控制中，各轴通过“伺服电机-滚珠丝杠-导轨”传动链将电机旋转运动转化为直线运动。以X轴为例，伺服电机接收PLC发出的脉冲指令（脉冲当量10000脉冲/rev），驱动电机输出轴旋转，通过联轴器带动滚珠丝杠同步旋转，丝杠螺母副将旋转运动转化为滑块的直线运动，滑块与X轴移动平台刚性连接，从而实现平台的横向移动。导轨通过约束滑块的自由度（仅保留轴向移动），确保运动轨迹的直线度（每米误差≤0.02mm）。轴端安装原点限位开关（光电式，检测距离5mm）与极限限位开关（机械式，触发力5N），原点开关用于轴系回零定位（重复定位精度±0.01mm），极限开关用于防止轴系超程运行（动作行程2mm）。</w:t>
      </w:r>
    </w:p>
    <w:p w14:paraId="761A5AFC">
      <w:r>
        <w:t>多轴联动控制主要用于复杂检测路径的实现，如螺旋扫描、扇形扫描等。以螺旋扫描为例，控制系统同时向X轴与Y轴发送运动指令，使两轴按设定的速度比例（如X轴1mm/s，Y轴0.5mm/s）协同运动，形成倾斜的直线运动轨迹；同时Z轴按设定步长（如5mm/步）周期性升降，X射线源按设定间隔（如每移动1mm曝光1次）触发曝光，最终实现对圆柱形线圈的螺旋式全覆盖检测。联动控制的同步误差通过电子齿轮功能补偿，X/Y轴同步误差控制在≤0.05mm，X/Z轴同步误差≤0.1mm。</w:t>
      </w:r>
    </w:p>
    <w:p w14:paraId="767D9255">
      <w:r>
        <w:t>液压辅助动作主要用于重型工件的辅助支撑，检测台车配备小型液压站（油箱容量20L，工作压力16MPa），驱动4组升降支撑缸（缸径80mm，行程50mm）。当检测2500kVA及以上规格线圈时，支撑缸伸出顶紧工件底部，提供额外支撑力（单缸支撑力≥80kN），防止工件在检测过程中因自重产生变形（变形量≤0.1mm/m）。液压系统采用电磁换向阀（响应时间≤10ms）控制油路通断，配备压力传感器（测量范围0-25MPa，精度±0.5%FS）实时监测系统压力，当压力低于14MPa时，系统发出低压报警并停止检测。</w:t>
      </w:r>
    </w:p>
    <w:p w14:paraId="73C9CAA0">
      <w:pPr>
        <w:pStyle w:val="4"/>
      </w:pPr>
      <w:r>
        <w:t>3.2 运动同步性与负载要求</w:t>
      </w:r>
    </w:p>
    <w:p w14:paraId="3DF8CFE3">
      <w:r>
        <w:t>运动同步性是保证检测图像质量的关键，检测台车通过“硬件+软件”双重措施实现高精度同步控制。硬件层面，各轴伺服电机配置17位绝对值编码器（分辨率131072脉冲/rev），编码器信号通过高速差分线路（传输速率10Mbps）反馈至PLC，PLC采用西门子S7-1214C DC/DC/DC型号，具备4轴脉冲输出功能（最高频率200kHz），可实现运动指令的高速发送。软件层面，采用“电子凸轮”同步控制算法，通过预设的同步曲线（如线性、S型）规划各轴运动轨迹，使X/Y轴运动与X射线曝光触发信号的时间偏差≤0.1ms。</w:t>
      </w:r>
    </w:p>
    <w:p w14:paraId="71C269F4">
      <w:r>
        <w:t>以连续扫描模式为例，同步控制流程如下：1）PLC根据工件尺寸计算扫描路径，生成X轴位置指令（如从0mm移动至2000mm）；2）Y轴按设定比例（如X轴移动10mm，Y轴移动5mm）生成跟随指令；3）编码器实时反馈X轴实际位置，当位置偏差≤0.05mm时，PLC向X射线源发出曝光触发信号；4）探测器同步采集图像，图像采集与X轴运动的位置对应误差≤0.02mm。通过上述控制，扫描图像的拼接精度可达±0.1mm，确保缺陷定位准确性。</w:t>
      </w:r>
    </w:p>
    <w:p w14:paraId="5B44CD40">
      <w:r>
        <w:t>承载平台的负载设计依据干式变压器线圈的重量分布特性，2500kVA线圈的最大重量约300kg，重心高度约600mm，平台设计负载≥500kg，具备1.67倍的安全系数。平台结构的强度校核通过ANSYS软件完成，在500kg均布载荷下，最大应力出现在平台中部横梁（应力值≤150MPa），远低于Q235钢的屈服强度（235MPa）；最大变形量为0.3mm，位于平台中心位置，满足检测对工件稳定性的要求（变形量≤0.5mm）。</w:t>
      </w:r>
    </w:p>
    <w:p w14:paraId="4EE9CA5B">
      <w:r>
        <w:t>运动轴系的负载能力按“额定负载+附加惯性负载”设计，X轴移动部件总质量约800kg（含Y轴、Z轴及X射线系统），加速过程中的惯性力F=ma=800kg×0.4m/s²=320N（加速度0.4m/s²），滚珠丝杠的额定动载荷需≥320N×10（安全系数）=3200N，选用的直径32mm丝杠额定动载荷为12000N，满足使用要求。各轴电机功率按公式P=Tn/9550计算（T为扭矩，n为转速），X轴电机额定扭矩T=9550P/n=9550×1.5kW/3000rpm≈4.77N·m，实际运行时最大扭矩≤3N·m（出现在加速阶段），电机功率储备系数≥1.5倍。</w:t>
      </w:r>
    </w:p>
    <w:p w14:paraId="70BA5986">
      <w:pPr>
        <w:pStyle w:val="4"/>
      </w:pPr>
      <w:r>
        <w:t>3.3 工作流程详解</w:t>
      </w:r>
    </w:p>
    <w:p w14:paraId="60846590">
      <w:r>
        <w:t>检测台车的工作流程分为上料、参数设置、自动检测、下料四个阶段，全流程通过PLC自动控制，操作人员仅需在关键环节进行确认操作。</w:t>
      </w:r>
    </w:p>
    <w:p w14:paraId="2CD67050">
      <w:r>
        <w:rPr>
          <w:b/>
        </w:rPr>
        <w:t>上料阶段</w:t>
      </w:r>
      <w:r>
        <w:t>：操作人员通过行车将浇注固化后的线圈（温度≤60℃）吊装至检测台车承载平台。吊装前，需确认平台定位销规格与线圈底座匹配，手动调整定位挡板位置；启动平台气动夹紧装置，通过HMI界面点击“自动定心”按钮，系统控制4组气缸同步伸出，将工件推至平台中心位置并夹紧，夹紧完成后HMI显示“工件定位完成”，同时平台底部的称重传感器（量程1000kg，精度±0.5%）自动检测工件重量，若重量超过500kg，系统发出超载报警并禁止进入下一阶段。上料阶段耗时约3-5分钟，主要取决于工件吊装难度。</w:t>
      </w:r>
    </w:p>
    <w:p w14:paraId="7AAF0298">
      <w:r>
        <w:rPr>
          <w:b/>
        </w:rPr>
        <w:t>参数设置阶段</w:t>
      </w:r>
      <w:r>
        <w:t>：操作人员在HMI界面选择“新建检测任务”，输入工件型号（如SCB10-2500/10），系统自动调用该型号的默认检测参数；若为新型号工件，需手动设置以下参数：工件直径（300-1200mm）、高度（300-800mm）、材料厚度（20-100mm）、检测模式（步进扫描/连续扫描）。根据材料厚度，系统自动推荐X射线参数：材料厚度20-50mm时，管电压80-100kV，管电流3-5mA，曝光时间0.5-1s；材料厚度50-100mm时，管电压100-120kV，管电流5-8mA，曝光时间1-3s。参数设置完成后，操作人员需点击“参数确认”，系统进行参数合理性校验（如曝光时间≥管电流×0.1s），校验通过后进入待检测状态。</w:t>
      </w:r>
    </w:p>
    <w:p w14:paraId="37A93463">
      <w:r>
        <w:rPr>
          <w:b/>
        </w:rPr>
        <w:t>自动检测阶段</w:t>
      </w:r>
      <w:r>
        <w:t>：操作人员确认防护门关闭后，在HMI点击“开始检测”，系统执行以下步骤：1）轴系回零：X/Y/Z轴依次回归机械原点，原点指示灯亮；2）路径规划：PLC根据工件尺寸生成螺旋扫描路径，路径间隔5mm（沿Z轴方向），每层扫描线间距1mm（沿X/Y轴方向）；3）真空预处理：若配置真空检测舱，系统启动真空泵（极限真空度≤10Pa），抽真空时间5分钟，排除空气对射线衰减的干扰；4）扫描检测：Z轴带动X射线源与探测器降至初始检测高度（距工件表面100mm），X/Y轴按规划路径运动，每移动1mm触发一次X射线曝光，探测器同步采集图像并传输至工业计算机；5）图像实时处理：计算机对采集的图像进行降噪（中值滤波，窗口3×3）、对比度增强（灰度拉伸范围50-200）处理，实时显示检测图像；6）缺陷识别：系统自动识别灰度值异常区域（灰度差超过50），标记为疑似缺陷并记录坐标。自动检测阶段耗时与工件尺寸相关，2500kVA线圈单次检测耗时约20-30分钟。</w:t>
      </w:r>
    </w:p>
    <w:p w14:paraId="384A53FA">
      <w:r>
        <w:rPr>
          <w:b/>
        </w:rPr>
        <w:t>下料阶段</w:t>
      </w:r>
      <w:r>
        <w:t>：检测完成后，系统自动执行以下动作：X/Y/Z轴回归初始位置，X射线源断电，真空舱充气（若启用），气动夹紧装置松开；HMI显示检测结果（合格/不合格）及缺陷报告（包含缺陷数量、位置坐标、尺寸），操作人员可通过U盘导出报告（格式PDF/CSV）；合格件由行车吊至下一工序，不合格件标记后转入返修区。下料阶段耗时约2-3分钟，主要取决于报告导出与工件吊装时间。</w:t>
      </w:r>
    </w:p>
    <w:p w14:paraId="3953005C">
      <w:pPr>
        <w:pStyle w:val="3"/>
      </w:pPr>
      <w:r>
        <w:t>四、控制系统原理与操作说明</w:t>
      </w:r>
    </w:p>
    <w:p w14:paraId="2E021B2E">
      <w:pPr>
        <w:pStyle w:val="4"/>
      </w:pPr>
      <w:r>
        <w:t>4.1 控制系统硬件组成</w:t>
      </w:r>
    </w:p>
    <w:p w14:paraId="2C66517C">
      <w:r>
        <w:t>检测台车控制系统采用“PLC+伺服驱动+人机界面”的经典架构，实现对设备运动、X射线发生、图像采集的一体化控制，硬件组成包括核心控制单元、运动控制单元、传感检测单元、人机交互单元四部分。</w:t>
      </w:r>
    </w:p>
    <w:p w14:paraId="773BB2FA">
      <w:r>
        <w:t>核心控制单元以西门子S7-1214C DC/DC/DC PLC为核心，该PLC具备14点数字量输入（DI）、10点数字量输出（DO）、2点模拟量输入（AI）、2点模拟量输出（AO），通过扩展模块EM DT32增加32点DI/DO，满足设备所有开关量信号的采集与控制。PLC集成PROFINET接口（传输速率100Mbps），可与伺服驱动器、HMI、工业计算机实现高速数据通信，通信周期设定为10ms。PLC工作电源为DC24V（波动范围±10%），功耗≤30W，具备过载（150%额定电流，持续5s）和短路保护功能。</w:t>
      </w:r>
    </w:p>
    <w:p w14:paraId="6773A4D4">
      <w:r>
        <w:t>运动控制单元包含4套伺服驱动系统（X/Y/Z轴及辅助轴），伺服驱动器选用松下MDDLN55SE型号（适配1.5kW以下伺服电机），支持位置、速度、扭矩三种控制模式，位置控制模式下脉冲输入频率最高可达2MHz。驱动器通过PROFINET与PLC通信，接收运动指令并反馈电机运行状态（转速、电流、温度）。伺服电机配置电磁制动器，断电时制动器自动抱闸，制动响应时间≤100ms，防止电机失电时轴系滑行。</w:t>
      </w:r>
    </w:p>
    <w:p w14:paraId="7E7F0A21">
      <w:r>
        <w:t>传感检测单元包含多种传感器：位置检测采用Omron E3Z光电传感器（检测距离5-100mm可调，响应时间≤1ms）作为原点与极限限位；位置反馈采用伺服电机内置编码器（17位绝对值）；工件定位采用Omron E2B接近开关（检测距离8mm，NPN输出）；压力检测采用SICK PBT-RB020SG1SBA压力传感器（测量范围0-1MPa，4-20mA输出）；辐射剂量检测采用上海仁机JB4000型X-γ辐射剂量率仪（测量范围0.01μSv/h-10mSv/h，精度±10%）。所有传感器均具备IP67防护等级，适应车间粉尘环境。</w:t>
      </w:r>
    </w:p>
    <w:p w14:paraId="41132E25">
      <w:r>
        <w:t>人机交互单元包括15英寸触摸屏（型号昆仑通态TPC1561Hi）和工业计算机（研华IPC-610L，配置i5-8500处理器、8GB内存、512GB SSD）。触摸屏用于设备状态监控、参数设置、手动操作，界面采用中文显示，包含主控界面、参数设置界面、报警信息界面、I/O监控界面等；工业计算机用于图像采集与处理，安装专用检测软件（版本V3.2），可实现图像实时显示、缺陷标记、报告生成等功能，通过千兆以太网与PLC通信，图像数据传输速率≥100MB/s。</w:t>
      </w:r>
    </w:p>
    <w:p w14:paraId="2C04478A">
      <w:pPr>
        <w:pStyle w:val="4"/>
      </w:pPr>
      <w:r>
        <w:t>4.2 控制逻辑与信号传输</w:t>
      </w:r>
    </w:p>
    <w:p w14:paraId="65388530">
      <w:r>
        <w:t>控制系统的核心控制逻辑通过PLC程序实现，采用结构化编程思想，分为主程序、运动控制子程序、X射线控制子程序、安全联锁子程序等模块，各模块通过数据块交换信息，程序扫描周期控制在≤20ms。</w:t>
      </w:r>
    </w:p>
    <w:p w14:paraId="2EFD1DA1">
      <w:r>
        <w:t>运动控制逻辑基于“位置环-速度环-电流环”三环控制：位置环由PLC实现，根据设定路径规划位置指令（单位mm），通过PROFINET发送至伺服驱动器；速度环由伺服驱动器内部实现，将位置指令转化为速度指令（单位r/min），并通过PID调节使实际速度跟随指令速度，速度环带宽≥200Hz；电流环由驱动器根据速度环输出的扭矩指令调节电机电流，电流环响应时间≤1ms。位置环控制算法采用比例-前馈控制，比例增益（Kp）设置为5-10（根据轴系惯量调整），前馈增益（Kf）设置为0.8-0.9，可有效减小位置跟踪误差（≤0.05mm）。</w:t>
      </w:r>
    </w:p>
    <w:p w14:paraId="17FCB432">
      <w:r>
        <w:t>X射线控制逻辑采用“使能-准备-曝光”三级控制：使能信号由PLC在满足安全条件（防护门关闭、急停正常、伺服就绪）时发出；准备信号由X射线控制器在管电压、管电流达到设定值后反馈；曝光信号由PLC根据运动位置触发，曝光持续时间通过定时器精确控制（精度±1ms）。X射线控制时序要求：使能信号有效后至少延迟2s才能发送曝光信号，确保X射线管预热充分；曝光间隔时间≥1s，防止高压发生器过热。</w:t>
      </w:r>
    </w:p>
    <w:p w14:paraId="3067929B">
      <w:r>
        <w:t>信号传输采用分层抗干扰设计：数字量信号（如限位开关、按钮）采用双绞线传输（绞距20mm），并在信号两端并联100nF陶瓷电容抑制高频干扰；模拟量信号（如压力、温度）采用屏蔽双绞线（屏蔽层单端接地），并通过信号隔离器（隔离电压≥2500V）与PLC连接；高速脉冲信号（如编码器信号）采用差分线路传输，传输距离≤10m时无需中继，超过10m时增加信号中继器。控制系统接地采用独立接地极（接地电阻≤4Ω），与动力接地、防雷接地间距≥5m，防止地环流干扰。</w:t>
      </w:r>
    </w:p>
    <w:p w14:paraId="6C7E17F6">
      <w:r>
        <w:t>安全联锁逻辑是控制系统的重点，采用“硬件联锁+软件联锁”双重保护：硬件层面，急停回路采用双通道设计，所有急停按钮（操作面板2个、防护门2个）串联接入安全继电器（Siemens 3TK2828），安全继电器输出控制伺服驱动器使能、X射线高压使能，急停触发时安全继电器断电，切断所有危险输出；软件层面，PLC程序设置多级安全检查，如防护门未关闭时禁止X射线启动，工件未夹紧时禁止轴系运动，伺服故障时禁止曝光等。安全联锁响应时间≤200ms，确保紧急情况下设备快速停机。</w:t>
      </w:r>
    </w:p>
    <w:p w14:paraId="4AA23B0D">
      <w:pPr>
        <w:pStyle w:val="4"/>
      </w:pPr>
      <w:r>
        <w:t>4.3 操作步骤与参数设置</w:t>
      </w:r>
    </w:p>
    <w:p w14:paraId="6598F30E">
      <w:r>
        <w:t>检测台车的操作分为手动操作与自动操作两种模式，手动模式用于设备调试与维护，自动模式用于正常检测流程，两种模式通过操作面板的“模式切换”钥匙开关切换。</w:t>
      </w:r>
    </w:p>
    <w:p w14:paraId="78EBFB39">
      <w:r>
        <w:rPr>
          <w:b/>
        </w:rPr>
        <w:t>手动操作步骤</w:t>
      </w:r>
      <w:r>
        <w:t>：1）将模式开关旋至“手动”位置，HMI显示手动操作界面；2）点击“轴系手动”按钮，进入单轴控制界面，界面显示X/Y/Z轴当前位置坐标（分辨率0.01mm）；3）通过界面上的“+”“-”按钮控制各轴点动运行，点动速度可通过滑块调节（范围0.1-10mm/s）；4）X射线手动控制：点击“X射线手动”按钮，进入射线参数设置界面，设置管电压（40-160kV）、管电流（0-10mA），点击“射线开启”按钮，X射线源预热2s后开始出束，曝光时间通过“曝光”按钮手动控制（单次曝光最长3s）；5）手动操作完成后，点击“回零”按钮，各轴自动回归原点，模式开关旋回“自动”位置。</w:t>
      </w:r>
    </w:p>
    <w:p w14:paraId="0C685A40">
      <w:r>
        <w:rPr>
          <w:b/>
        </w:rPr>
        <w:t>自动操作步骤</w:t>
      </w:r>
      <w:r>
        <w:t>：1）上料完成后，模式开关置于“自动”位置，HMI显示自动控制主界面；2）点击“参数设置”按钮，进入参数设置界面，输入工件型号或手动设置参数：工件直径500mm、高度600mm、材料厚度40mm、检测模式选择“步进扫描”；3）系统自动推荐X射线参数：管电压90kV、管电流4mA、曝光时间0.8s，操作人员可根据实际情况微调（调整范围±20%）；4）点击“程序预览”按钮，HMI显示生成的检测路径图形，确认路径覆盖工件全区域；5）关闭防护门，观察操作面板上的“门联锁”指示灯亮（绿色）；6）点击HMI“开始检测”按钮，系统弹出确认对话框，点击“确认”后设备开始自动检测流程；7）检测过程中，HMI实时显示当前检测位置、已曝光次数、剩余时间，操作人员可通过观察窗或HMI图像窗口监控检测状态；8）检测完成后，系统自动回零并提示“检测完成”，打开防护门，吊出工件。</w:t>
      </w:r>
    </w:p>
    <w:p w14:paraId="20139747">
      <w:r>
        <w:rPr>
          <w:b/>
        </w:rPr>
        <w:t>典型工件参数设置示例</w:t>
      </w:r>
      <w:r>
        <w:t>（以SCB10-1000/10干式变压器线圈为例）：工件型号SCB10-1000/10，额定容量1000kVA，线圈直径600mm，高度500mm，环氧树脂浇注厚度35mm。参数设置如下：检测模式选择“连续扫描”，扫描速度0.5mm/s；X射线参数：管电压85kV，管电流3.5mA，曝光时间0.6s；扫描路径：Z轴起始高度100mm，终止高度600mm，步长5mm（共100层），每层X轴扫描范围0-600mm，Y轴偏移量2.5mm/层；图像分辨率设置为127μm（探测器原生分辨率），图像存储格式选择“DICOM”（便于后续分析）。参数设置完成后，系统预估检测时间约15分钟，曝光次数约1200次。</w:t>
      </w:r>
    </w:p>
    <w:p w14:paraId="57780627">
      <w:r>
        <w:rPr>
          <w:b/>
        </w:rPr>
        <w:t>参数设置注意事项</w:t>
      </w:r>
      <w:r>
        <w:t>：1）管电压设置需根据材料厚度调整，厚度每增加10mm，管电压提高10-15kV，但最高不超过160kV；2）曝光时间与管电流乘积（mAs）决定图像亮度，对于35mm厚环氧树脂，推荐mAs值为2.5-3.5（如3.5mA×0.8s=2.8mAs）；3）扫描路径步长不宜过大，建议不超过探测器像素尺寸的2倍（即≤0.254mm），否则可能遗漏微小缺陷；4）新工件首次检测时，建议先进行“试曝光”，即选择工件局部区域（如100mm×100mm）进行小范围检测，根据试曝光图像质量调整参数，避免因参数不当导致全工件检测质量不合格。</w:t>
      </w:r>
    </w:p>
    <w:p w14:paraId="206A5337">
      <w:pPr>
        <w:pStyle w:val="4"/>
      </w:pPr>
      <w:r>
        <w:t>4.4 常见操作故障处理</w:t>
      </w:r>
    </w:p>
    <w:p w14:paraId="7A05EA2F">
      <w:r>
        <w:t>检测台车在操作过程中可能出现参数设置错误、传感器信号异常、运动干涉等操作类故障，此类故障通常可通过HMI报警信息提示，操作人员可根据报警代码快速定位并处理。</w:t>
      </w:r>
    </w:p>
    <w:p w14:paraId="14A84BAF">
      <w:r>
        <w:rPr>
          <w:b/>
        </w:rPr>
        <w:t>参数设置错误及处理</w:t>
      </w:r>
      <w:r>
        <w:t>：常见错误包括“曝光时间过长”（报警代码E010）、“扫描路径超出轴系行程”（E011）、“X射线参数超出安全范围”（E012）。E010报警原因为曝光时间设置超过管电流×5（如管电流3mA时，曝光时间&gt;15s），处理方法：在参数设置界面减小曝光时间或增大管电流，确保mAs值在推荐范围内；E011报警原因为工件直径/高度超过轴系最大行程（如X轴行程2.5m时，工件直径设置3m），处理方法：重新测量工件尺寸，修改参数或更换更大行程的检测台车；E012报警原因为管电压&gt;160kV或管电流&gt;10mA，处理方法：将参数调整至额定范围内，若确需更高参数，需联系厂家进行硬件升级。</w:t>
      </w:r>
    </w:p>
    <w:p w14:paraId="4C6A6E14">
      <w:r>
        <w:rPr>
          <w:b/>
        </w:rPr>
        <w:t>传感器信号异常及处理</w:t>
      </w:r>
      <w:r>
        <w:t>：常见故障包括“原点开关无信号”（E020）、“工件未定位”（E021）、“防护门联锁故障”（E022）。E020报警通常因原点光电传感器镜头污染或位置偏移，处理方法：1）关闭设备电源，使用无尘布蘸无水乙醇清洁传感器镜头；2）检查传感器与感应片的间隙（标准5mm），松动时重新紧固支架；3）通电后手动将轴系移至原点附近，观察传感器指示灯是否正常闪烁（遮挡时灯灭，无遮挡时灯亮）；E021报警原因为工件定位接近开关未检测到信号，处理方法：检查工件是否放置到位，定位销是否插入工件底座孔，接近开关线缆是否松动；E022报警可能是防护门未完全关闭或联锁开关故障，处理方法：检查防护门是否关严，机械联锁手柄是否旋转到位，若门已关闭仍报警，需检查联锁行程开关（调整触发片位置或更换开关）。</w:t>
      </w:r>
    </w:p>
    <w:p w14:paraId="5FAB6D63">
      <w:r>
        <w:rPr>
          <w:b/>
        </w:rPr>
        <w:t>运动干涉及处理</w:t>
      </w:r>
      <w:r>
        <w:t>：操作过程中若误操作导致轴系运动干涉（如工件与龙门架碰撞），系统会触发“轴系过载”报警（E030），此时伺服驱动器显示过载代码（如松下驱动器AL.15）。处理方法：1）按下急停按钮，检查碰撞部位是否有零件损坏或变形；2）手动旋转伺服电机轴，确认轴系是否卡滞，若卡滞需拆解检查导轨、丝杠是否损坏；3）故障排除后，复位急停按钮，在手动模式下将轴系移开干涉位置；4）通过伺服驱动器软件（如松下MEXE02）清除过载报警记录，重新上电后设备恢复正常。</w:t>
      </w:r>
    </w:p>
    <w:p w14:paraId="5518F07C">
      <w:r>
        <w:rPr>
          <w:b/>
        </w:rPr>
        <w:t>图像质量异常及处理</w:t>
      </w:r>
      <w:r>
        <w:t>：自动检测时若发现图像过暗/过亮、有条纹、局部模糊等质量问题，多为参数设置不当或探测器故障。图像过暗通常因管电压/电流过低，处理方法：在手动模式下进行试曝光，逐步提高管电压（每次增加5kV）直至图像亮度适中；图像过亮则降低管电压或缩短曝光时间；图像出现横向条纹可能是探测器数据线接触不良，处理方法：关闭X射线高压，重新插拔探测器与采集卡的连接线缆；图像局部模糊可能是X射线源焦点偏移，需联系厂家进行射线管位置校准。</w:t>
      </w:r>
    </w:p>
    <w:p w14:paraId="35BA71CB">
      <w:pPr>
        <w:pStyle w:val="3"/>
      </w:pPr>
      <w:r>
        <w:t>五、常见故障诊断与维修对策</w:t>
      </w:r>
    </w:p>
    <w:p w14:paraId="53FD41F3">
      <w:pPr>
        <w:pStyle w:val="4"/>
      </w:pPr>
      <w:r>
        <w:t>5.1 机械系统故障</w:t>
      </w:r>
    </w:p>
    <w:p w14:paraId="4E106BC9">
      <w:pPr>
        <w:pStyle w:val="5"/>
      </w:pPr>
      <w:r>
        <w:t>5.1.1 行走异响与定位偏差</w:t>
      </w:r>
    </w:p>
    <w:p w14:paraId="10D98FF2">
      <w:r>
        <w:t>行走异响与定位偏差是检测台车机械系统的高频故障，主要发生在X轴与Y轴运动机构，故障频次约占机械故障总数的40%。典型表现为轴系运行时发出“咔咔”或“嗡嗡”异常声响，定位精度超差（&gt;±0.1mm），严重时导致图像拼接错位。</w:t>
      </w:r>
    </w:p>
    <w:p w14:paraId="72945D2D">
      <w:r>
        <w:rPr>
          <w:b/>
        </w:rPr>
        <w:t>故障成因分析</w:t>
      </w:r>
      <w:r>
        <w:t>：1）齿轮箱缺油或润滑油老化：X轴驱动齿轮箱（若为齿轮齿条传动）长期运行后润滑油（N320齿轮油）损耗或氧化，导致齿轮啮合时摩擦增大，产生异响并加剧磨损；2）导轨异物卡滞：浇注车间粉尘（环氧树脂粉末、金属碎屑）进入导轨滑块，形成磨料磨损，导致运行阻力不均，产生周期性异响；3）电机轴承磨损：伺服电机前端轴承（通常为深沟球轴承6205）因润滑不良或过载运行，导致轴承游隙增大（正常游隙0.01-0.02mm，磨损后可达0.1mm以上），运行时产生低频振动噪声；4）滚珠丝杠螺母副磨损：丝杠长期运行后，滚珠与滚道表面产生疲劳点蚀，导致传动间隙增大（正常≤0.05mm，磨损后&gt;0.1mm），定位精度下降。</w:t>
      </w:r>
    </w:p>
    <w:p w14:paraId="74EED5A6">
      <w:r>
        <w:rPr>
          <w:b/>
        </w:rPr>
        <w:t>诊断方法</w:t>
      </w:r>
      <w:r>
        <w:t>：采用“听-测-拆”三级诊断法：1）听诊法：使用机械听诊器（如SKF TMST3）接触电机、齿轮箱、导轨等部位，异响频率&gt;1kHz多为轴承问题，低频“嗡嗡”声多为导轨或丝杠问题；2）振动监测：使用便携式振动分析仪（如CSI 2140）测量轴系运行时的振动速度，X/Y轴水平方向振动速度&gt;2.8mm/s时判定为异常（ISO 10816标准）；3）精度检测：使用激光干涉仪（如Renishaw XL-80）测量轴系定位精度，若单向定位误差&gt;±0.1mm或反向间隙&gt;0.08mm，需拆解检查丝杠螺母副。</w:t>
      </w:r>
    </w:p>
    <w:p w14:paraId="4B24376A">
      <w:r>
        <w:rPr>
          <w:b/>
        </w:rPr>
        <w:t>维修对策</w:t>
      </w:r>
      <w:r>
        <w:t>：1）齿轮箱润滑不良：放出旧油，清洗齿轮箱内部（使用煤油冲洗），重新加注N320极压齿轮油至油位线（约占齿轮箱容积的2/3），建议每运行2000小时更换一次润滑油；2）导轨异物卡滞：拆卸导轨防尘罩，使用压缩空气（压力0.5MPa）吹扫导轨沟槽，用导轨专用清洁剂（如壳牌Perfecto）擦拭导轨表面，涂抹锂基润滑脂（NLGI 2级），装配防尘罩后手动往复移动轴系，确保运行顺畅；3）电机轴承磨损：拆卸电机端盖，使用拉马工具取出旧轴承，更换同型号SKF 6205-2RS1轴承（游隙C3组），装配时轴承内圈涂抹少量润滑脂（填充量1/3轴承空间），紧固端盖时均匀用力（扭矩8-10N·m）；4）丝杠螺母副磨损：若丝杠滚道无明显点蚀，可调整螺母预紧力（通过增减垫片厚度，预紧力控制在10-15N）；若滚道点蚀面积&gt;30%，需更换丝杠螺母副（建议更换原厂配件，确保精度匹配）。</w:t>
      </w:r>
    </w:p>
    <w:p w14:paraId="70616759">
      <w:pPr>
        <w:pStyle w:val="5"/>
      </w:pPr>
      <w:r>
        <w:t>5.1.2 升降机构故障</w:t>
      </w:r>
    </w:p>
    <w:p w14:paraId="3C43D4B9">
      <w:r>
        <w:t>升降机构（Z轴）故障主要表现为升降速度不均（速度波动&gt;10%）、升降过程中抖动、无法升降等，故障频次约占机械故障总数的25%，多与液压系统或机械传动部件相关。</w:t>
      </w:r>
    </w:p>
    <w:p w14:paraId="0A9CEA96">
      <w:r>
        <w:rPr>
          <w:b/>
        </w:rPr>
        <w:t>故障成因分析</w:t>
      </w:r>
      <w:r>
        <w:t>：1）液压系统漏油：升降支撑缸密封件（如活塞杆密封圈、缸盖O型圈）因老化（使用寿命约8000小时）或液压油污染（颗粒度&gt;NAS 8级）导致密封失效，表现为缸筒外壁有油迹或活塞杆下行时缓慢沉降（沉降量&gt;5mm/h）；2）液压泵压力不稳定：液压泵（齿轮泵或叶片泵）因磨损导致内泄漏增大，输出压力波动（波动范围&gt;0.5MPa），或泵吸入空气（油箱油位过低、吸油管接头漏气）导致压力忽高忽低；3）导轨卡滞：Z轴方形导轨若润滑不足或进入异物，会导致升降阻力增大，电机负载电流超过额定值（1.5kW电机额定电流6.5A，卡滞时可达10A以上），触发过载保护；4）丝杠螺母副异响：Z轴滚珠丝杠若安装平行度超差（&gt;0.1mm/m），运行时会产生周期性“咯吱”声，长期运行会加剧丝杠磨损。</w:t>
      </w:r>
    </w:p>
    <w:p w14:paraId="7D0E7027">
      <w:r>
        <w:rPr>
          <w:b/>
        </w:rPr>
        <w:t>诊断方法</w:t>
      </w:r>
      <w:r>
        <w:t>：1）液压系统漏油诊断：擦净缸筒外壁，启动液压系统使支撑缸反复升降3-5次，观察漏油部位，活塞杆伸出时漏油为活塞杆密封圈故障，静止时漏油为缸盖O型圈故障；2）液压泵压力检测：在液压泵出口安装压力表（量程0-25MPa），启动液压系统，观察压力是否稳定在16MPa，若压力波动&gt;0.5MPa或无法达到设定值，判定为泵故障；3）导轨阻力检测：在手动模式下断开Z轴伺服使能，用弹簧秤拉动升降平台，测量移动阻力，正常应≤50N，若&gt;100N判定为导轨卡滞；4）丝杠平行度检测：使用百分表（量程10mm，精度0.01mm）固定在升降平台上，测头触及丝杠母线，手动移动平台，记录百分表读数变化，变化量&gt;0.1mm/m时判定为平行度超差。</w:t>
      </w:r>
    </w:p>
    <w:p w14:paraId="3121EB7C">
      <w:r>
        <w:rPr>
          <w:b/>
        </w:rPr>
        <w:t>维修对策</w:t>
      </w:r>
      <w:r>
        <w:t>：1）液压系统漏油处理：拆卸支撑缸，使用专用工具取出旧密封件（注意勿损伤活塞杆表面），更换新密封件（推荐使用氟橡胶材质，耐油温度-20℃至120℃），装配时在密封件表面涂抹液压油（ISO VG46），按规定扭矩紧固缸盖螺栓（M12螺栓扭矩35N·m）；2）液压泵压力不稳定处理：若油位过低，补充液压油至油箱2/3高度（推荐使用L-HM46抗磨液压油）；若吸油管漏气，重新紧固接头或更换O型圈；泵磨损时需更换液压泵，更换后需清洗油箱及过滤器（滤芯精度10μm）；3）导轨卡滞处理：拆卸导轨防护罩，用毛刷清除导轨沟槽内的粉尘，涂抹锂基润滑脂（NLGI 2级），往复移动平台数次，确保润滑充分；若导轨表面有划痕（深度&gt;0.1mm），需使用细砂纸（800#）手工研磨修复；4）丝杠平行度调整：松开丝杠两端轴承座固定螺栓，通过调整垫片厚度（精度0.01mm）使丝杠与导轨平行，调整后重新紧固螺栓，再次检测平行度直至≤0.1mm/m。</w:t>
      </w:r>
    </w:p>
    <w:p w14:paraId="42E1950E">
      <w:pPr>
        <w:pStyle w:val="4"/>
      </w:pPr>
      <w:r>
        <w:t>5.2 电气控制系统故障</w:t>
      </w:r>
    </w:p>
    <w:p w14:paraId="4DB23317">
      <w:pPr>
        <w:pStyle w:val="5"/>
      </w:pPr>
      <w:r>
        <w:t>5.2.1 PLC与传感器信号故障</w:t>
      </w:r>
    </w:p>
    <w:p w14:paraId="38B00625">
      <w:r>
        <w:t>PLC与传感器信号故障是电气系统的常见故障类型，主要表现为信号丢失、信号干扰、信号误报等，故障频次约占电气故障总数的35%，直接影响设备的自动化运行。</w:t>
      </w:r>
    </w:p>
    <w:p w14:paraId="033AB56B">
      <w:r>
        <w:rPr>
          <w:b/>
        </w:rPr>
        <w:t>故障成因分析</w:t>
      </w:r>
      <w:r>
        <w:t>：1）接近开关信号丢失：检测台车使用的Omron E2B接近开关（DC24V，NPN输出）若长期工作在粉尘环境，传感器头部会覆盖一层环氧树脂粉末，导致检测距离缩短（标准8mm，污染后可能&lt;3mm）；或因线缆受机械拉扯导致内部断线（多发生在传感器出线根部）；2）编码器信号干扰：伺服电机编码器线缆若与强电电缆（如X射线高压电缆）并行敷设，会受到电磁干扰，导致位置反馈信号出现杂波，表现为轴系运行时抖动（振幅&gt;0.1mm）；3）PLC输入输出模块故障：PLC数字量输入模块（EM DT32）若长期工作在高湿度环境（&gt;95%RH），可能导致内部光电耦合器失效，表现为某一输入点始终为ON或OFF；输出模块继电器触点若频繁通断感性负载（如电磁阀线圈），会导致触点氧化（接触电阻&gt;100mΩ），输出信号无法有效驱动负载；4）接地不良：控制系统若未采用独立接地（接地电阻&gt;4Ω），或零线与地线混接，会导致共模干扰，表现为模拟量信号（如压力传感器4-20mA）波动（波动范围&gt;0.1mA）。</w:t>
      </w:r>
    </w:p>
    <w:p w14:paraId="0D164A15">
      <w:r>
        <w:rPr>
          <w:b/>
        </w:rPr>
        <w:t>诊断方法</w:t>
      </w:r>
      <w:r>
        <w:t>：1）接近开关信号诊断：使用万用表（直流电压档）测量传感器输出端与0V之间的电压，无金属物体接近时应为DC24V（高电平），有金属物体接近时应&lt;DC1V（低电平），若电压始终为24V或0V，更换同型号传感器测试；2）编码器信号干扰诊断：使用示波器（带宽≥100MHz）测量编码器A/B相脉冲信号，正常信号应为方波（占空比50%±10%），若波形畸变或有明显毛刺，判定为干扰；3）PLC模块故障诊断：通过PLC编程软件（TIA Portal）监控输入输出状态，若实际输入信号与监控状态不符，更换输入模块；输出模块故障可通过替换法判断（将故障通道与备用通道互换）；4）接地不良诊断：使用接地电阻测试仪（如Fluke 1625）测量系统接地电阻，若&gt;4Ω需重新处理接地极（增加接地体数量或使用降阻剂）；测量零线与地线之间的电压，正常应&lt;1V，若&gt;5V说明存在接地回路问题。</w:t>
      </w:r>
    </w:p>
    <w:p w14:paraId="199DF923">
      <w:r>
        <w:rPr>
          <w:b/>
        </w:rPr>
        <w:t>维修对策</w:t>
      </w:r>
      <w:r>
        <w:t>：1）接近开关信号丢失处理：定期（每周）使用压缩空气清洁传感器头部，出线根部加装螺旋保护管（PU材质，直径10mm）防止线缆拉扯；更换传感器时注意型号匹配（检测距离、输出类型），接线时确保棕色线接DC24V+，蓝色线接0V，黑色线接PLC输入点；2）编码器信号干扰处理：重新敷设编码器线缆，与强电电缆间距≥300mm，或穿金属管屏蔽（金属管接地）；编码器线缆两端加装终端电阻（120Ω，0.25W），减少信号反射；3）PLC模块故障处理：更换故障的输入/输出模块，更换前需记录模块型号（如EM DT32的订货号6ES7 223-3BD30-0XB0），确保与原模块兼容；输出模块驱动感性负载时，在负载两端并联续流二极管（如1N4007），保护继电器触点；4）接地不良处理：重新制作接地极（采用2.5m长50×50mm镀锌角钢，垂直打入地下，周围填充降阻剂），接地极与设备之间用35mm²铜缆连接（接地电阻≤4Ω）；严格区分零线（N）与保护地线（PE），禁止共用端子排。</w:t>
      </w:r>
    </w:p>
    <w:p w14:paraId="72F5D053">
      <w:pPr>
        <w:pStyle w:val="5"/>
      </w:pPr>
      <w:r>
        <w:t>5.2.2 伺服驱动与执行元件故障</w:t>
      </w:r>
    </w:p>
    <w:p w14:paraId="4FD0EFB5">
      <w:r>
        <w:t>伺服驱动与执行元件故障主要涉及伺服驱动器报警、电机不转、电磁阀不动作等，故障频次约占电气故障总数的30%，直接影响设备的运动控制精度。</w:t>
      </w:r>
    </w:p>
    <w:p w14:paraId="6CA78CEA">
      <w:r>
        <w:rPr>
          <w:b/>
        </w:rPr>
        <w:t>故障成因分析</w:t>
      </w:r>
      <w:r>
        <w:t>：1）伺服驱动器过载报警（松下驱动器AL.15）：多因电机负载过大（如机械卡滞）、电机三相绕组不平衡（不平衡度&gt;5%）、驱动器散热不良（环境温度&gt;50℃或散热风扇堵塞）；2）伺服电机不转：可能是电机动力线断线（U/V/W相某一相断线）、编码器信号丢失（如编码器线缆插头松动）、驱动器未接收到使能信号（安全继电器未吸合）；3）电磁阀不动作：气动夹紧装置的电磁阀（DC24V）若线圈烧毁（直流电阻正常约150Ω，烧毁后为无穷大），或阀芯被异物卡住（如压缩空气中的水分导致阀芯锈蚀），会导致气缸不动作；4）HMI无显示：人机界面若供电电源故障（DC24V电压&lt;20V）、触摸屏与PLC通信中断（PROFINET网线松动或IP地址冲突）、触摸屏内部液晶屏损坏，会导致HMI无显示或黑屏。</w:t>
      </w:r>
    </w:p>
    <w:p w14:paraId="61E42FE2">
      <w:r>
        <w:rPr>
          <w:b/>
        </w:rPr>
        <w:t>诊断方法</w:t>
      </w:r>
      <w:r>
        <w:t>：1）伺服驱动器过载诊断：使用万用表测量电机三相绕组电阻（正常应平衡，如1.5kW电机约2.3Ω±0.2Ω），若某相电阻为无穷大，判定为绕组断线；检查驱动器散热风扇是否转动，清理风扇滤网；2）伺服电机不转诊断：检查驱动器使能信号（SON端子）是否为DC24V，若无电压，检查安全继电器输出；用手转动电机轴，若无法转动，排查机械卡滞；检查编码器插头是否插紧，线缆是否有破损；3）电磁阀故障诊断：测量电磁阀线圈两端电阻，若为无穷大，判定为线圈烧毁；若电阻正常（150Ω左右），手动推动电磁阀手动杆，若气缸动作，判定为阀芯卡滞；4）HMI无显示诊断：用万用表测量HMI供电电压（DC24V），若电压正常，检查触摸屏与PLC的PROFINET连接（ping触摸屏IP地址，超时则检查网线或交换机）；若屏幕背光不亮，可能是液晶屏或驱动板故障。</w:t>
      </w:r>
    </w:p>
    <w:p w14:paraId="53F0AFB8">
      <w:r>
        <w:rPr>
          <w:b/>
        </w:rPr>
        <w:t>维修对策</w:t>
      </w:r>
      <w:r>
        <w:t>：1）伺服驱动器过载处理：若电机绕组断线，需拆卸电机进行绕组重绕（建议返厂维修）；机械卡滞时按5.1.1节方法处理；驱动器散热不良时，清理散热风扇滤网（每2个月清理一次），环境温度过高时加装轴流风扇（风量≥0.3m³/min）强制降温；2）伺服电机不转处理：检查安全回路，确保急停按钮、防护门联锁正常，安全继电器吸合；编码器线缆破损时更换同型号线缆（带屏蔽层），插头松动时重新插拔并紧固；3）电磁阀故障处理：线圈烧毁时更换电磁阀（型号与原阀一致，如SMC SY5120-5LZD-01）；阀芯卡滞时拆卸电磁阀，用煤油清洗阀芯与阀体，装配时在阀芯表面涂抹润滑脂（硅基润滑脂，耐老化），同时检查压缩空气过滤器（每周排水，每月更换滤芯）；4）HMI无显示处理：检查供电电源，更换损坏的DC24V电源模块（输出电流≥5A）；PROFINET通信故障时，检查IP地址设置（PLC与HMI在同一网段，如PLC 192.168.0.1，HMI 192.168.0.2），更换故障网线或交换机端口；触摸屏损坏时更换同型号HMI（昆仑通态TPC1561Hi），并重新下载项目程序。</w:t>
      </w:r>
    </w:p>
    <w:p w14:paraId="7A55ED43">
      <w:pPr>
        <w:pStyle w:val="4"/>
      </w:pPr>
      <w:r>
        <w:t>5.3 成像系统故障</w:t>
      </w:r>
    </w:p>
    <w:p w14:paraId="06073325">
      <w:pPr>
        <w:pStyle w:val="5"/>
      </w:pPr>
      <w:r>
        <w:t>5.3.1 X射线源故障</w:t>
      </w:r>
    </w:p>
    <w:p w14:paraId="68F29DBC">
      <w:r>
        <w:t>X射线源是检测台车的核心部件，故障主要表现为无射线输出、射线剂量不足、图像有条纹等，故障频次约占成像系统故障总数的40%，直接影响检测图像质量。</w:t>
      </w:r>
    </w:p>
    <w:p w14:paraId="35229F35">
      <w:r>
        <w:rPr>
          <w:b/>
        </w:rPr>
        <w:t>故障成因分析</w:t>
      </w:r>
      <w:r>
        <w:t>：1）X射线管无高压输出：高压发生器内部高压变压器匝间短路、高压硅堆击穿、X射线管阳极靶面烧毁（长期过载使用导致），或高压使能信号未到达（PLC安全联锁未通过）；2）射线剂量不足：管电压/管电流设置过低（未按材料厚度调整）、X射线管窗口铍窗氧化（透光率下降）、高压电缆老化（绝缘电阻&lt;100MΩ）导致高压泄漏；3）图像出现周期性条纹：X射线管冷却系统故障（油温&gt;60℃导致阳极靶面过热）、高压发生器纹波系数超标（&gt;5%）、射线管灯丝振动（灯丝引脚松动）；4）射线管寿命到期：X射线管灯丝发射电流随使用时间增长而衰减（使用寿命约5000小时），表现为相同管电压下管电流偏低（如设置5mA实际仅3mA）。</w:t>
      </w:r>
    </w:p>
    <w:p w14:paraId="078A007A">
      <w:r>
        <w:rPr>
          <w:b/>
        </w:rPr>
        <w:t>诊断方法</w:t>
      </w:r>
      <w:r>
        <w:t>：1）无高压输出诊断：使用万用表测量高压发生器使能信号（ENA端子）是否为DC24V，若无，检查PLC安全联锁；断开高压电缆，用兆欧表测量高压发生器输出端绝缘电阻（应&gt;500MΩ），若为零，判定为发生器内部短路；2）剂量不足诊断：使用X射线剂量仪（如Fluke 451B）测量射线剂量率（标准0.5-2.0mGy/min），若剂量偏低，检查管电压/管电流实际值（通过高压发生器面板显示或PLC监控）；拆卸射线管窗口保护盖，观察铍窗是否有氧化斑点；3）条纹故障诊断：触摸X射线管外壳温度，若&gt;60℃，检查冷却风扇是否转动；使用示波器测量高压发生器输出波形（需专用高压探头），纹波系数&gt;5%时判定为发生器故障；4）寿命诊断：记录射线管使用时间，若接近5000小时，且管电流衰减&gt;30%，判定为寿命到期。</w:t>
      </w:r>
    </w:p>
    <w:p w14:paraId="4946B296">
      <w:r>
        <w:rPr>
          <w:b/>
        </w:rPr>
        <w:t>维修对策</w:t>
      </w:r>
      <w:r>
        <w:t>：1）无高压输出处理：若安全联锁故障，按4.4节方法排查急停、防护门联锁；若高压发生器短路，需更换同型号高压发生器（如XXG-160型）；若射线管阳极靶面烧毁，更换X射线管（注意型号匹配，如焦点尺寸0.4mm）；2）剂量不足处理：按材料厚度重新设置管电压/管电流参数；铍窗氧化时，用专用清洁剂（如异丙醇）轻轻擦拭，禁止使用硬物刮擦；高压电缆老化时更换专用高压电缆（带金属屏蔽层，长度≤3m）；3）条纹故障处理：冷却风扇故障时更换风扇（电压DC24V，风量≥10CFM）；高压发生器纹波超标时返厂维修或更换；灯丝引脚松动时重新焊接引脚（需专业人员操作）；4）寿命到期处理：更换新X射线管，更换后需进行参数校准（调整管电压/电流反馈电位器，使实际值与设定值偏差≤±5%）。</w:t>
      </w:r>
    </w:p>
    <w:p w14:paraId="76CDD5C5">
      <w:pPr>
        <w:pStyle w:val="5"/>
      </w:pPr>
      <w:r>
        <w:t>5.3.2 探测器与图像质量问题</w:t>
      </w:r>
    </w:p>
    <w:p w14:paraId="7FB207AC">
      <w:r>
        <w:t>探测器与图像质量问题主要影响缺陷识别精度，表现为图像模糊、局部缺失、噪声过大等，故障频次约占成像系统故障总数的35%。</w:t>
      </w:r>
    </w:p>
    <w:p w14:paraId="060CAF62">
      <w:r>
        <w:rPr>
          <w:b/>
        </w:rPr>
        <w:t>故障成因分析</w:t>
      </w:r>
      <w:r>
        <w:t>：1）探测器图像模糊：平板探测器（amorphous silicon）若窗口玻璃污染（灰尘、油污）、探测器与射线源同轴度超差（&gt;0.1mm/m）、图像采集卡驱动程序异常；2）图像局部缺失：探测器阵列中某一模块损坏（如探测器数据线接触不良、模块供电故障）、图像采集卡某一通道损坏；3）噪声过大：探测器温度过高（环境温度&gt;40℃）、高压发生器纹波过大、图像采集增益设置过高（增益&gt;40dB）；4）图像拼接错位：探测器与运动轴位置同步误差&gt;0.1mm（编码器信号延迟、PLC同步算法参数设置不当）。</w:t>
      </w:r>
    </w:p>
    <w:p w14:paraId="1820BF94">
      <w:r>
        <w:rPr>
          <w:b/>
        </w:rPr>
        <w:t>诊断方法</w:t>
      </w:r>
      <w:r>
        <w:t>：1）模糊故障诊断：用无尘布蘸异丙醇清洁探测器窗口玻璃；使用激光准直仪检查探测器与射线源的同轴度（偏差&gt;0.1mm/m时调整）；重新安装图像采集卡驱动程序（如Windows系统下的SDK驱动）；2）局部缺失诊断：运行探测器诊断软件（厂家提供），执行“逐点检测”功能，若某一区域像素值为零，判定为探测器模块损坏；更换图像采集卡插槽或用备用通道测试，排查采集卡故障；3）噪声诊断：测量探测器外壳温度，若&gt;40℃，检查探测器散热风扇；用示波器测量高压纹波，&gt;5%时处理高压发生器；降低图像采集增益至20-30dB；4）拼接错位诊断：使用激光干涉仪测量运动轴位置同步误差，&gt;0.1mm时调整PLC电子凸轮参数。</w:t>
      </w:r>
    </w:p>
    <w:p w14:paraId="03886FBA">
      <w:r>
        <w:rPr>
          <w:b/>
        </w:rPr>
        <w:t>维修对策</w:t>
      </w:r>
      <w:r>
        <w:t>：1）模糊故障处理：定期（每周）清洁探测器窗口，保持环境洁净；调整探测器安装位置，通过调节探测器支架上的调节螺钉（精度0.01mm）使同轴度≤0.1mm/m；重新安装驱动程序并重启工业计算机；2）局部缺失处理：探测器模块损坏时联系厂家更换探测器（成本较高，建议备用）；采集卡通道故障时更换图像采集卡（如PCI-E接口，传输速率4GB/s）；3）噪声处理：探测器散热不良时加装散热片或更换风扇（转速3000rpm）；高压纹波过大时处理高压发生器；增益设置过高时在图像软件中降低增益，同时适当增加曝光时间补偿亮度；4）拼接错位处理：在PLC程序中调整电子凸轮同步曲线参数（如X/Y轴速度比例系数），使同步误差≤0.05mm；重新校准编码器信号延迟（通过驱动器参数设置补偿值）。</w:t>
      </w:r>
    </w:p>
    <w:p w14:paraId="26AF30D3">
      <w:pPr>
        <w:pStyle w:val="3"/>
      </w:pPr>
      <w:r>
        <w:t>六、维护保养与安全规范</w:t>
      </w:r>
    </w:p>
    <w:p w14:paraId="5854BBF3">
      <w:pPr>
        <w:pStyle w:val="4"/>
      </w:pPr>
      <w:r>
        <w:t>6.1 日常维护与定期保养</w:t>
      </w:r>
    </w:p>
    <w:p w14:paraId="73F96D76">
      <w:r>
        <w:t>检测台车的维护保养采用“预防性维护+预测性维护”相结合的方式，通过制定详细的维护计划，可有效降低故障率（维护到位后故障率可降低50%以上），延长设备使用寿命。</w:t>
      </w:r>
    </w:p>
    <w:p w14:paraId="6E94522C">
      <w:r>
        <w:rPr>
          <w:b/>
        </w:rPr>
        <w:t>日常维护（每班/每日）</w:t>
      </w:r>
      <w:r>
        <w:t>：操作人员在每班开机前需执行以下维护项目：1）外观检查：检查设备各部件是否完好，有无松动、变形、漏油现象，电缆有无破损；2）清洁保养：用压缩空气（压力0.4MPa）清洁操作台、HMI屏幕、传感器镜头，用无尘布蘸清水擦拭防护铅玻璃观察窗；3）润滑检查：检查各轴导轨表面润滑脂是否充足，不足时补充锂基润滑脂（NLGI 2级）；4）气源检查：打开气动三联件排水阀排水，检查减压阀输出压力（应稳定在0.6MPa），油雾器油位低于1/3时添加透平油（ISO VG32）；5）开机自检：启动设备，观察各轴回零是否顺畅，HMI有无报警信息，X射线指示灯是否正常。</w:t>
      </w:r>
    </w:p>
    <w:p w14:paraId="393692A5">
      <w:r>
        <w:rPr>
          <w:b/>
        </w:rPr>
        <w:t>每周维护</w:t>
      </w:r>
      <w:r>
        <w:t>：由设备工程师执行，包括：1）传感器校准：使用标准块（已知尺寸0.1mm缺陷）校准图像检测精度，若偏差&gt;0.02mm，通过软件进行参数补偿；2）运动精度检查：使用百分表测量X/Y轴定位精度，超差时重新校准（通过PLC参数设置电子齿轮比）；3）液压系统检查：检查液压站油位（应在液位计1/2-2/3处），油液是否浑浊（若透明度降低，需取样送检），紧固油管接头防止漏油；4）电气柜检查：打开电气柜门，用压缩空气清洁柜内灰尘，检查端子排接线是否松动，断路器、继电器有无过热痕迹。</w:t>
      </w:r>
    </w:p>
    <w:p w14:paraId="35AEDC3D">
      <w:r>
        <w:rPr>
          <w:b/>
        </w:rPr>
        <w:t>每月维护</w:t>
      </w:r>
      <w:r>
        <w:t>：由维修班组执行，包括：1）伺服系统检查：使用伺服调试软件（如松下MEXE02）读取驱动器运行数据（电流、温度、报警记录），清除历史报警；检查电机轴承温度（运行时≤65℃），异常时补充润滑脂；2）X射线系统检查：使用剂量仪测量辐射泄漏剂量（应≤1μSv/h），检查防护铅板有无变形、裂缝；3）机械部件检查：测量导轨间隙（用塞尺检查，应&lt;0.15mm），滚珠丝杠螺母副预紧力（用扭矩扳手测量，应保持10-15N）；4）过滤器更换：更换液压油滤芯（精度10μm）、压缩空气过滤器滤芯（精度5μm），记录更换日期。</w:t>
      </w:r>
    </w:p>
    <w:p w14:paraId="6AA109BC">
      <w:r>
        <w:rPr>
          <w:b/>
        </w:rPr>
        <w:t>季度维护</w:t>
      </w:r>
      <w:r>
        <w:t>：由技术主管组织，包括：1）精度校准：使用激光干涉仪全面校准X/Y/Z轴定位精度和重复定位精度，出具校准报告，超差时调整机械或参数补偿；2）X射线参数校准：使用标准剂量仪校准管电压/管电流实际值，与设定值偏差应≤±5%，超差时调整高压发生器内部电位器；3）安全联锁测试：模拟急停、防护门开启、过载等故障，验证安全联锁是否可靠动作，响应时间应≤200ms；4）备件检查：检查关键备件库存（如接近开关、密封圈、保险丝），低于最低库存时提交采购申请。</w:t>
      </w:r>
    </w:p>
    <w:p w14:paraId="17891596">
      <w:r>
        <w:rPr>
          <w:b/>
        </w:rPr>
        <w:t>年度大修</w:t>
      </w:r>
      <w:r>
        <w:t>：由厂家工程师配合完成，包括：1）机械部件更换：更换使用接近寿命的滚珠丝杠、导轨滑块、轴承等易损件；2）电气部件检测：使用绝缘电阻表测量电机、电缆绝缘电阻（应&gt;100MΩ），更换老化的接触器、继电器；3）控制系统升级：更新PLC程序、HMI界面、图像分析软件至最新版本；4）全面性能测试：按照设备出厂标准进行各项性能测试，出具大修报告。</w:t>
      </w:r>
    </w:p>
    <w:p w14:paraId="4BA38B11">
      <w:pPr>
        <w:pStyle w:val="4"/>
      </w:pPr>
      <w:r>
        <w:t>6.2 安全操作规范</w:t>
      </w:r>
    </w:p>
    <w:p w14:paraId="3D4C1319">
      <w:r>
        <w:t>检测台车涉及X射线辐射、机械运动、高压电气等危险因素，必须严格遵守安全操作规范，防止人身伤害和设备损坏。</w:t>
      </w:r>
    </w:p>
    <w:p w14:paraId="3BF77742">
      <w:r>
        <w:rPr>
          <w:b/>
        </w:rPr>
        <w:t>辐射安全规范</w:t>
      </w:r>
      <w:r>
        <w:t>：1）人员资质：操作X射线系统的人员必须持有《放射工作人员证》（由卫生部门颁发），并定期（每2年）进行职业健康检查；2）辐射防护：操作人员必须佩戴个人剂量计（如热释光剂量计），每月送检读数，年有效剂量不得超过20mSv；进入检测区域必须穿戴铅防护用品（铅当量0.5mm铅衣、铅帽、铅眼镜）；3）区域管理：检测区域设置警戒线（黄色警示带），悬挂“当心电离辐射”警示牌，非操作人员严禁入内；检测时关闭防护门，确保门联锁装置正常工作；4）应急处理：若发生辐射泄漏（剂量仪读数&gt;1μSv/h），立即按下急停按钮，撤离人员，报告环保部门，由专业人员处理。</w:t>
      </w:r>
    </w:p>
    <w:p w14:paraId="1648A77C">
      <w:r>
        <w:rPr>
          <w:b/>
        </w:rPr>
        <w:t>机械安全规范</w:t>
      </w:r>
      <w:r>
        <w:t>：1）吊装安全：工件吊装必须由持证起重工操作，吊装前检查行车、吊具（钢丝绳、吊钩）是否完好，工件捆绑牢固，吊装过程中设专人指挥；2）运动防护：设备运行时，严禁将手、头等身体部位伸入运动区域（如X/Y轴移动范围），禁止在承载平台上放置工具、杂物；3）维护安全：进行机械维护时，必须执行“上锁挂牌”程序（LOTO），关闭设备总电源，在电源开关处悬挂“正在维修，禁止合闸”警示牌，并由维护人员保管钥匙；4）故障处理：机械故障处理时，必须使用合适的工具，严禁野蛮操作（如用撬棍强行撬动卡滞部件），高空作业（&gt;1.5m）时必须系安全带。</w:t>
      </w:r>
    </w:p>
    <w:p w14:paraId="7F9A9B37">
      <w:r>
        <w:rPr>
          <w:b/>
        </w:rPr>
        <w:t>电气安全规范</w:t>
      </w:r>
      <w:r>
        <w:t>：1）用电安全：设备必须可靠接地（接地电阻≤4Ω），严禁湿手操作电气开关，禁止在电气柜内放置金属物品；2）高压安全：X射线高压系统（最高160kV）的检修必须由专业人员进行，检修前必须放电（用专用放电棒对高压电容放电，放电时间≥5min）；3）静电防护：接触电路板、探测器等静电敏感元件时，必须佩戴防静电手环（接地电阻1-10MΩ），禁止用手直接触摸元件引脚；4）消防措施：电气柜内配置ABC干粉灭火器（2kg），定期检查压力是否正常（指针在绿色区域），发生电气火灾时，先切断电源，再用灭火器灭火，严禁用水扑救。</w:t>
      </w:r>
    </w:p>
    <w:p w14:paraId="4D9D34EB">
      <w:r>
        <w:rPr>
          <w:b/>
        </w:rPr>
        <w:t>操作纪律规范</w:t>
      </w:r>
      <w:r>
        <w:t>：1）培训上岗：操作人员必须经过设备操作培训并考核合格后方可上岗，严禁无证操作或非本机操作人员擅自操作；2）程序执行：严格按照操作手册规定的流程操作，严禁擅自修改工艺参数（如管电压、曝光时间）；3）记录填写：认真填写《设备运行记录》《维护保养记录》《辐射剂量监测记录》，记录必须真实、完整；4）异常报告：操作过程中发现任何异常（异响、异味、报警），必须立即停机，报告班组长或设备工程师，严禁带病运行。</w:t>
      </w:r>
    </w:p>
    <w:p w14:paraId="424F354F">
      <w:pPr>
        <w:pStyle w:val="4"/>
      </w:pPr>
      <w:r>
        <w:t>6.3 备件管理与库存建议</w:t>
      </w:r>
    </w:p>
    <w:p w14:paraId="038A5012">
      <w:r>
        <w:t>合理的备件管理是保障设备连续运行的关键，通过建立备件台账、设定安全库存、选择合格供应商，可缩短故障维修时间（平均维修时间可从8小时缩短至2小时）。</w:t>
      </w:r>
    </w:p>
    <w:p w14:paraId="27F06F89">
      <w:r>
        <w:rPr>
          <w:b/>
        </w:rPr>
        <w:t>备件分类与编码</w:t>
      </w:r>
      <w:r>
        <w:t>：将检测台车备件分为关键备件、常用备件、一般备件三类，并采用“分类码+规格码+顺序码”的编码规则：1）关键备件：直接影响设备运行的核心部件，如X射线管、伺服电机、PLC模块、平板探测器，编码以“K”开头（如K-XG-001表示X射线管）；2）常用备件：故障频次高、更换周期短的部件，如接近开关、电磁阀、轴承、密封圈，编码以“C”开头（如C-JG-002表示接近开关）；3）一般备件：使用周期长、故障频次低的部件，如电缆、接头、保险丝，编码以“Y”开头（如Y-DL-003表示电缆）。</w:t>
      </w:r>
    </w:p>
    <w:p w14:paraId="1F963B1F">
      <w:r>
        <w:rPr>
          <w:b/>
        </w:rPr>
        <w:t>安全库存设定</w:t>
      </w:r>
      <w:r>
        <w:t>：根据备件的采购周期、故障频次、重要程度设定安全库存：1）关键备件：安全库存为1件（如X射线管、伺服电机），确保故障时能立即更换；2）常用备件：安全库存为3-5件（如接近开关、轴承），采购周期≤7天；3）一般备件：安全库存为10件（如保险丝、密封圈），采购周期≤3天。建立备件最低库存预警机制，当库存低于安全库存时，自动触发采购申请。</w:t>
      </w:r>
    </w:p>
    <w:p w14:paraId="67B35450">
      <w:r>
        <w:rPr>
          <w:b/>
        </w:rPr>
        <w:t>备件存储与标识</w:t>
      </w:r>
      <w:r>
        <w:t>：备件应存放在专用备件库，环境要求：温度15-30℃，相对湿度40%-60%，无腐蚀性气体，通风良好。备件存储采用货架式管理，每个备件盒贴有标签，注明备件编码、名称、规格、数量、入库日期。关键备件（如X射线管）需单独存放，避免振动、碰撞，存储温度≤25℃，湿度≤60%。</w:t>
      </w:r>
    </w:p>
    <w:p w14:paraId="66B36101">
      <w:r>
        <w:rPr>
          <w:b/>
        </w:rPr>
        <w:t>供应商管理</w:t>
      </w:r>
      <w:r>
        <w:t>：选择合格的备件供应商，建立供应商评价体系（从质量、价格、交期、服务四方面评分）。关键备件优先选择原厂供应商（如X射线管选择设备原厂提供），常用备件可选择授权代理商（如松下伺服电机选择松下代理商），一般备件可选择优质国产替代件（如接近开关可选用Omron、Sick等品牌）。与主要供应商签订长期供货协议，确保紧急备件48小时内到货。</w:t>
      </w:r>
    </w:p>
    <w:p w14:paraId="54F95F1C">
      <w:r>
        <w:rPr>
          <w:b/>
        </w:rPr>
        <w:t>备件领用与报废</w:t>
      </w:r>
      <w:r>
        <w:t>：备件领用实行“以旧换新”制度，维修人员填写《备件领用单》，经设备工程师审批后到备件库领取，旧件由备件库回收（可修复的送修，不可修复的报废）。备件报废需填写《备件报废单》，注明报废原因（如老化、损坏、型号淘汰），由技术主管审批后进行报废处理（环保要求：含铅部件如铅板需交由有资质的危废处理公司处置）。</w:t>
      </w:r>
    </w:p>
    <w:p w14:paraId="05F9ADF4">
      <w:pPr>
        <w:pStyle w:val="3"/>
      </w:pPr>
      <w:r>
        <w:t>附录</w:t>
      </w:r>
    </w:p>
    <w:p w14:paraId="56C8054A">
      <w:pPr>
        <w:pStyle w:val="4"/>
      </w:pPr>
      <w:r>
        <w:t>A.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DBE96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79BA75">
            <w:pPr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vAlign w:val="center"/>
          </w:tcPr>
          <w:p w14:paraId="3A3D6001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6A1A8BB6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677B851C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6B341249">
            <w:pPr>
              <w:jc w:val="center"/>
              <w:rPr>
                <w:b/>
              </w:rPr>
            </w:pPr>
            <w:r>
              <w:rPr>
                <w:b/>
              </w:rPr>
              <w:t>设计值</w:t>
            </w:r>
          </w:p>
        </w:tc>
        <w:tc>
          <w:tcPr>
            <w:tcW w:w="0" w:type="auto"/>
            <w:vAlign w:val="center"/>
          </w:tcPr>
          <w:p w14:paraId="375F4E79">
            <w:pPr>
              <w:jc w:val="center"/>
              <w:rPr>
                <w:b/>
              </w:rPr>
            </w:pPr>
            <w:r>
              <w:rPr>
                <w:b/>
              </w:rPr>
              <w:t>标准依据</w:t>
            </w:r>
          </w:p>
        </w:tc>
      </w:tr>
      <w:tr w14:paraId="03A4F5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55999C">
            <w:r>
              <w:t>1</w:t>
            </w:r>
          </w:p>
        </w:tc>
        <w:tc>
          <w:tcPr>
            <w:tcW w:w="0" w:type="auto"/>
            <w:vAlign w:val="center"/>
          </w:tcPr>
          <w:p w14:paraId="31906A1F">
            <w:r>
              <w:t>总体参数</w:t>
            </w:r>
          </w:p>
        </w:tc>
        <w:tc>
          <w:tcPr>
            <w:tcW w:w="0" w:type="auto"/>
            <w:vAlign w:val="center"/>
          </w:tcPr>
          <w:p w14:paraId="279B0D34">
            <w:r>
              <w:t>设备外形尺寸</w:t>
            </w:r>
          </w:p>
        </w:tc>
        <w:tc>
          <w:tcPr>
            <w:tcW w:w="0" w:type="auto"/>
            <w:vAlign w:val="center"/>
          </w:tcPr>
          <w:p w14:paraId="085AEECC">
            <w:r>
              <w:t>m</w:t>
            </w:r>
          </w:p>
        </w:tc>
        <w:tc>
          <w:tcPr>
            <w:tcW w:w="0" w:type="auto"/>
            <w:vAlign w:val="center"/>
          </w:tcPr>
          <w:p w14:paraId="16FCB71A">
            <w:r>
              <w:t>3×2×2.5</w:t>
            </w:r>
          </w:p>
        </w:tc>
        <w:tc>
          <w:tcPr>
            <w:tcW w:w="0" w:type="auto"/>
            <w:vAlign w:val="center"/>
          </w:tcPr>
          <w:p w14:paraId="228825AA">
            <w:r>
              <w:t>车间布局要求</w:t>
            </w:r>
          </w:p>
        </w:tc>
      </w:tr>
      <w:tr w14:paraId="477DA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F31186">
            <w:r>
              <w:t>2</w:t>
            </w:r>
          </w:p>
        </w:tc>
        <w:tc>
          <w:tcPr>
            <w:tcW w:w="0" w:type="auto"/>
            <w:vAlign w:val="center"/>
          </w:tcPr>
          <w:p w14:paraId="689B0181"/>
        </w:tc>
        <w:tc>
          <w:tcPr>
            <w:tcW w:w="0" w:type="auto"/>
            <w:vAlign w:val="center"/>
          </w:tcPr>
          <w:p w14:paraId="7489F7CB">
            <w:r>
              <w:t>设备总重</w:t>
            </w:r>
          </w:p>
        </w:tc>
        <w:tc>
          <w:tcPr>
            <w:tcW w:w="0" w:type="auto"/>
            <w:vAlign w:val="center"/>
          </w:tcPr>
          <w:p w14:paraId="6D5F905C">
            <w:r>
              <w:t>kg</w:t>
            </w:r>
          </w:p>
        </w:tc>
        <w:tc>
          <w:tcPr>
            <w:tcW w:w="0" w:type="auto"/>
            <w:vAlign w:val="center"/>
          </w:tcPr>
          <w:p w14:paraId="20C3BB87">
            <w:r>
              <w:t>2500</w:t>
            </w:r>
          </w:p>
        </w:tc>
        <w:tc>
          <w:tcPr>
            <w:tcW w:w="0" w:type="auto"/>
            <w:vAlign w:val="center"/>
          </w:tcPr>
          <w:p w14:paraId="69BD3325">
            <w:r>
              <w:t>地基承载要求</w:t>
            </w:r>
          </w:p>
        </w:tc>
      </w:tr>
      <w:tr w14:paraId="4B2DD165">
        <w:tc>
          <w:tcPr>
            <w:tcW w:w="0" w:type="auto"/>
            <w:vAlign w:val="center"/>
          </w:tcPr>
          <w:p w14:paraId="50E1B751">
            <w:r>
              <w:t>3</w:t>
            </w:r>
          </w:p>
        </w:tc>
        <w:tc>
          <w:tcPr>
            <w:tcW w:w="0" w:type="auto"/>
            <w:vAlign w:val="center"/>
          </w:tcPr>
          <w:p w14:paraId="405E25DB">
            <w:r>
              <w:t>机械性能</w:t>
            </w:r>
          </w:p>
        </w:tc>
        <w:tc>
          <w:tcPr>
            <w:tcW w:w="0" w:type="auto"/>
            <w:vAlign w:val="center"/>
          </w:tcPr>
          <w:p w14:paraId="3B062AEC">
            <w:r>
              <w:t>承载平台负载</w:t>
            </w:r>
          </w:p>
        </w:tc>
        <w:tc>
          <w:tcPr>
            <w:tcW w:w="0" w:type="auto"/>
            <w:vAlign w:val="center"/>
          </w:tcPr>
          <w:p w14:paraId="2D92527A">
            <w:r>
              <w:t>kg</w:t>
            </w:r>
          </w:p>
        </w:tc>
        <w:tc>
          <w:tcPr>
            <w:tcW w:w="0" w:type="auto"/>
            <w:vAlign w:val="center"/>
          </w:tcPr>
          <w:p w14:paraId="741D7CCE">
            <w:r>
              <w:t>≥500</w:t>
            </w:r>
          </w:p>
        </w:tc>
        <w:tc>
          <w:tcPr>
            <w:tcW w:w="0" w:type="auto"/>
            <w:vAlign w:val="center"/>
          </w:tcPr>
          <w:p w14:paraId="4F69861E">
            <w:r>
              <w:t>工件重量要求</w:t>
            </w:r>
          </w:p>
        </w:tc>
      </w:tr>
      <w:tr w14:paraId="75C3D3D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96E028A">
            <w:r>
              <w:t>4</w:t>
            </w:r>
          </w:p>
        </w:tc>
        <w:tc>
          <w:tcPr>
            <w:tcW w:w="0" w:type="auto"/>
            <w:vAlign w:val="center"/>
          </w:tcPr>
          <w:p w14:paraId="489761DF"/>
        </w:tc>
        <w:tc>
          <w:tcPr>
            <w:tcW w:w="0" w:type="auto"/>
            <w:vAlign w:val="center"/>
          </w:tcPr>
          <w:p w14:paraId="18112567">
            <w:r>
              <w:t>X轴行程</w:t>
            </w:r>
          </w:p>
        </w:tc>
        <w:tc>
          <w:tcPr>
            <w:tcW w:w="0" w:type="auto"/>
            <w:vAlign w:val="center"/>
          </w:tcPr>
          <w:p w14:paraId="0E7CA2BD">
            <w:r>
              <w:t>m</w:t>
            </w:r>
          </w:p>
        </w:tc>
        <w:tc>
          <w:tcPr>
            <w:tcW w:w="0" w:type="auto"/>
            <w:vAlign w:val="center"/>
          </w:tcPr>
          <w:p w14:paraId="67D5283B">
            <w:r>
              <w:t>1.5-3</w:t>
            </w:r>
          </w:p>
        </w:tc>
        <w:tc>
          <w:tcPr>
            <w:tcW w:w="0" w:type="auto"/>
            <w:vAlign w:val="center"/>
          </w:tcPr>
          <w:p w14:paraId="3983CF20">
            <w:r>
              <w:t>工件直径适配</w:t>
            </w:r>
          </w:p>
        </w:tc>
      </w:tr>
      <w:tr w14:paraId="79666F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72C4CA">
            <w:r>
              <w:t>5</w:t>
            </w:r>
          </w:p>
        </w:tc>
        <w:tc>
          <w:tcPr>
            <w:tcW w:w="0" w:type="auto"/>
            <w:vAlign w:val="center"/>
          </w:tcPr>
          <w:p w14:paraId="78A6EDFF"/>
        </w:tc>
        <w:tc>
          <w:tcPr>
            <w:tcW w:w="0" w:type="auto"/>
            <w:vAlign w:val="center"/>
          </w:tcPr>
          <w:p w14:paraId="4D70BBF0">
            <w:r>
              <w:t>Y轴行程</w:t>
            </w:r>
          </w:p>
        </w:tc>
        <w:tc>
          <w:tcPr>
            <w:tcW w:w="0" w:type="auto"/>
            <w:vAlign w:val="center"/>
          </w:tcPr>
          <w:p w14:paraId="68D7E8C3">
            <w:r>
              <w:t>m</w:t>
            </w:r>
          </w:p>
        </w:tc>
        <w:tc>
          <w:tcPr>
            <w:tcW w:w="0" w:type="auto"/>
            <w:vAlign w:val="center"/>
          </w:tcPr>
          <w:p w14:paraId="2D320541">
            <w:r>
              <w:t>0.8-1.2</w:t>
            </w:r>
          </w:p>
        </w:tc>
        <w:tc>
          <w:tcPr>
            <w:tcW w:w="0" w:type="auto"/>
            <w:vAlign w:val="center"/>
          </w:tcPr>
          <w:p w14:paraId="17256218">
            <w:r>
              <w:t>同上</w:t>
            </w:r>
          </w:p>
        </w:tc>
      </w:tr>
      <w:tr w14:paraId="546372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3BD972">
            <w:r>
              <w:t>6</w:t>
            </w:r>
          </w:p>
        </w:tc>
        <w:tc>
          <w:tcPr>
            <w:tcW w:w="0" w:type="auto"/>
            <w:vAlign w:val="center"/>
          </w:tcPr>
          <w:p w14:paraId="51A2E131"/>
        </w:tc>
        <w:tc>
          <w:tcPr>
            <w:tcW w:w="0" w:type="auto"/>
            <w:vAlign w:val="center"/>
          </w:tcPr>
          <w:p w14:paraId="1E9E14CB">
            <w:r>
              <w:t>Z轴行程</w:t>
            </w:r>
          </w:p>
        </w:tc>
        <w:tc>
          <w:tcPr>
            <w:tcW w:w="0" w:type="auto"/>
            <w:vAlign w:val="center"/>
          </w:tcPr>
          <w:p w14:paraId="1DBE29D3">
            <w:r>
              <w:t>m</w:t>
            </w:r>
          </w:p>
        </w:tc>
        <w:tc>
          <w:tcPr>
            <w:tcW w:w="0" w:type="auto"/>
            <w:vAlign w:val="center"/>
          </w:tcPr>
          <w:p w14:paraId="4473E4CB">
            <w:r>
              <w:t>0.5-1</w:t>
            </w:r>
          </w:p>
        </w:tc>
        <w:tc>
          <w:tcPr>
            <w:tcW w:w="0" w:type="auto"/>
            <w:vAlign w:val="center"/>
          </w:tcPr>
          <w:p w14:paraId="5669A4A7">
            <w:r>
              <w:t>工件高度适配</w:t>
            </w:r>
          </w:p>
        </w:tc>
      </w:tr>
      <w:tr w14:paraId="79F9660C">
        <w:tc>
          <w:tcPr>
            <w:tcW w:w="0" w:type="auto"/>
            <w:vAlign w:val="center"/>
          </w:tcPr>
          <w:p w14:paraId="66C77823">
            <w:r>
              <w:t>7</w:t>
            </w:r>
          </w:p>
        </w:tc>
        <w:tc>
          <w:tcPr>
            <w:tcW w:w="0" w:type="auto"/>
            <w:vAlign w:val="center"/>
          </w:tcPr>
          <w:p w14:paraId="4087C8E3"/>
        </w:tc>
        <w:tc>
          <w:tcPr>
            <w:tcW w:w="0" w:type="auto"/>
            <w:vAlign w:val="center"/>
          </w:tcPr>
          <w:p w14:paraId="4E9F06B9">
            <w:r>
              <w:t>定位精度</w:t>
            </w:r>
          </w:p>
        </w:tc>
        <w:tc>
          <w:tcPr>
            <w:tcW w:w="0" w:type="auto"/>
            <w:vAlign w:val="center"/>
          </w:tcPr>
          <w:p w14:paraId="464AC9FB">
            <w:r>
              <w:t>mm</w:t>
            </w:r>
          </w:p>
        </w:tc>
        <w:tc>
          <w:tcPr>
            <w:tcW w:w="0" w:type="auto"/>
            <w:vAlign w:val="center"/>
          </w:tcPr>
          <w:p w14:paraId="1D287B09">
            <w:r>
              <w:t>±0.1</w:t>
            </w:r>
          </w:p>
        </w:tc>
        <w:tc>
          <w:tcPr>
            <w:tcW w:w="0" w:type="auto"/>
            <w:vAlign w:val="center"/>
          </w:tcPr>
          <w:p w14:paraId="09E95AEF">
            <w:r>
              <w:t>JB/T 10557-2006</w:t>
            </w:r>
          </w:p>
        </w:tc>
      </w:tr>
      <w:tr w14:paraId="15C929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455A62">
            <w:r>
              <w:t>8</w:t>
            </w:r>
          </w:p>
        </w:tc>
        <w:tc>
          <w:tcPr>
            <w:tcW w:w="0" w:type="auto"/>
            <w:vAlign w:val="center"/>
          </w:tcPr>
          <w:p w14:paraId="4A99D2BA">
            <w:r>
              <w:t>X射线系统</w:t>
            </w:r>
          </w:p>
        </w:tc>
        <w:tc>
          <w:tcPr>
            <w:tcW w:w="0" w:type="auto"/>
            <w:vAlign w:val="center"/>
          </w:tcPr>
          <w:p w14:paraId="047C0733">
            <w:r>
              <w:t>管电压范围</w:t>
            </w:r>
          </w:p>
        </w:tc>
        <w:tc>
          <w:tcPr>
            <w:tcW w:w="0" w:type="auto"/>
            <w:vAlign w:val="center"/>
          </w:tcPr>
          <w:p w14:paraId="5CF06517">
            <w:r>
              <w:t>kV</w:t>
            </w:r>
          </w:p>
        </w:tc>
        <w:tc>
          <w:tcPr>
            <w:tcW w:w="0" w:type="auto"/>
            <w:vAlign w:val="center"/>
          </w:tcPr>
          <w:p w14:paraId="710335B6">
            <w:r>
              <w:t>0-160</w:t>
            </w:r>
          </w:p>
        </w:tc>
        <w:tc>
          <w:tcPr>
            <w:tcW w:w="0" w:type="auto"/>
            <w:vAlign w:val="center"/>
          </w:tcPr>
          <w:p w14:paraId="03A9BC9E">
            <w:r>
              <w:t>材料厚度适配</w:t>
            </w:r>
          </w:p>
        </w:tc>
      </w:tr>
      <w:tr w14:paraId="5679D4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FA44F8">
            <w:r>
              <w:t>9</w:t>
            </w:r>
          </w:p>
        </w:tc>
        <w:tc>
          <w:tcPr>
            <w:tcW w:w="0" w:type="auto"/>
            <w:vAlign w:val="center"/>
          </w:tcPr>
          <w:p w14:paraId="056942D1"/>
        </w:tc>
        <w:tc>
          <w:tcPr>
            <w:tcW w:w="0" w:type="auto"/>
            <w:vAlign w:val="center"/>
          </w:tcPr>
          <w:p w14:paraId="38D0673D">
            <w:r>
              <w:t>管电流范围</w:t>
            </w:r>
          </w:p>
        </w:tc>
        <w:tc>
          <w:tcPr>
            <w:tcW w:w="0" w:type="auto"/>
            <w:vAlign w:val="center"/>
          </w:tcPr>
          <w:p w14:paraId="3C9DC91E">
            <w:r>
              <w:t>mA</w:t>
            </w:r>
          </w:p>
        </w:tc>
        <w:tc>
          <w:tcPr>
            <w:tcW w:w="0" w:type="auto"/>
            <w:vAlign w:val="center"/>
          </w:tcPr>
          <w:p w14:paraId="7F20AE14">
            <w:r>
              <w:t>0-10</w:t>
            </w:r>
          </w:p>
        </w:tc>
        <w:tc>
          <w:tcPr>
            <w:tcW w:w="0" w:type="auto"/>
            <w:vAlign w:val="center"/>
          </w:tcPr>
          <w:p w14:paraId="39137FAE">
            <w:r>
              <w:t>同上</w:t>
            </w:r>
          </w:p>
        </w:tc>
      </w:tr>
      <w:tr w14:paraId="51C91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2E29BB8">
            <w:r>
              <w:t>10</w:t>
            </w:r>
          </w:p>
        </w:tc>
        <w:tc>
          <w:tcPr>
            <w:tcW w:w="0" w:type="auto"/>
            <w:vAlign w:val="center"/>
          </w:tcPr>
          <w:p w14:paraId="3AB48C40"/>
        </w:tc>
        <w:tc>
          <w:tcPr>
            <w:tcW w:w="0" w:type="auto"/>
            <w:vAlign w:val="center"/>
          </w:tcPr>
          <w:p w14:paraId="62D90BB6">
            <w:r>
              <w:t>焦点尺寸</w:t>
            </w:r>
          </w:p>
        </w:tc>
        <w:tc>
          <w:tcPr>
            <w:tcW w:w="0" w:type="auto"/>
            <w:vAlign w:val="center"/>
          </w:tcPr>
          <w:p w14:paraId="3396C923">
            <w:r>
              <w:t>mm</w:t>
            </w:r>
          </w:p>
        </w:tc>
        <w:tc>
          <w:tcPr>
            <w:tcW w:w="0" w:type="auto"/>
            <w:vAlign w:val="center"/>
          </w:tcPr>
          <w:p w14:paraId="10782682">
            <w:r>
              <w:t>≤0.4</w:t>
            </w:r>
          </w:p>
        </w:tc>
        <w:tc>
          <w:tcPr>
            <w:tcW w:w="0" w:type="auto"/>
            <w:vAlign w:val="center"/>
          </w:tcPr>
          <w:p w14:paraId="7EB8988D">
            <w:r>
              <w:t>缺陷识别能力</w:t>
            </w:r>
          </w:p>
        </w:tc>
      </w:tr>
      <w:tr w14:paraId="2288DDB7">
        <w:tc>
          <w:tcPr>
            <w:tcW w:w="0" w:type="auto"/>
            <w:vAlign w:val="center"/>
          </w:tcPr>
          <w:p w14:paraId="62AF3BDB">
            <w:r>
              <w:t>11</w:t>
            </w:r>
          </w:p>
        </w:tc>
        <w:tc>
          <w:tcPr>
            <w:tcW w:w="0" w:type="auto"/>
            <w:vAlign w:val="center"/>
          </w:tcPr>
          <w:p w14:paraId="239A8FF9"/>
        </w:tc>
        <w:tc>
          <w:tcPr>
            <w:tcW w:w="0" w:type="auto"/>
            <w:vAlign w:val="center"/>
          </w:tcPr>
          <w:p w14:paraId="76107FD0">
            <w:r>
              <w:t>探测器像素尺寸</w:t>
            </w:r>
          </w:p>
        </w:tc>
        <w:tc>
          <w:tcPr>
            <w:tcW w:w="0" w:type="auto"/>
            <w:vAlign w:val="center"/>
          </w:tcPr>
          <w:p w14:paraId="66D3D2D2">
            <w:r>
              <w:t>μm</w:t>
            </w:r>
          </w:p>
        </w:tc>
        <w:tc>
          <w:tcPr>
            <w:tcW w:w="0" w:type="auto"/>
            <w:vAlign w:val="center"/>
          </w:tcPr>
          <w:p w14:paraId="00CCD71A">
            <w:r>
              <w:t>127</w:t>
            </w:r>
          </w:p>
        </w:tc>
        <w:tc>
          <w:tcPr>
            <w:tcW w:w="0" w:type="auto"/>
            <w:vAlign w:val="center"/>
          </w:tcPr>
          <w:p w14:paraId="0E1E0F0D">
            <w:r>
              <w:t>图像分辨率要求</w:t>
            </w:r>
          </w:p>
        </w:tc>
      </w:tr>
      <w:tr w14:paraId="091253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4EA515">
            <w:r>
              <w:t>12</w:t>
            </w:r>
          </w:p>
        </w:tc>
        <w:tc>
          <w:tcPr>
            <w:tcW w:w="0" w:type="auto"/>
            <w:vAlign w:val="center"/>
          </w:tcPr>
          <w:p w14:paraId="20E98458">
            <w:r>
              <w:t>辐射防护</w:t>
            </w:r>
          </w:p>
        </w:tc>
        <w:tc>
          <w:tcPr>
            <w:tcW w:w="0" w:type="auto"/>
            <w:vAlign w:val="center"/>
          </w:tcPr>
          <w:p w14:paraId="08B21E63">
            <w:r>
              <w:t>铅当量</w:t>
            </w:r>
          </w:p>
        </w:tc>
        <w:tc>
          <w:tcPr>
            <w:tcW w:w="0" w:type="auto"/>
            <w:vAlign w:val="center"/>
          </w:tcPr>
          <w:p w14:paraId="6F0A36BC">
            <w:r>
              <w:t>mm</w:t>
            </w:r>
          </w:p>
        </w:tc>
        <w:tc>
          <w:tcPr>
            <w:tcW w:w="0" w:type="auto"/>
            <w:vAlign w:val="center"/>
          </w:tcPr>
          <w:p w14:paraId="18DE3DB5">
            <w:r>
              <w:t>≥2</w:t>
            </w:r>
          </w:p>
        </w:tc>
        <w:tc>
          <w:tcPr>
            <w:tcW w:w="0" w:type="auto"/>
            <w:vAlign w:val="center"/>
          </w:tcPr>
          <w:p w14:paraId="024BA499">
            <w:r>
              <w:t>GBZ 117-2015</w:t>
            </w:r>
          </w:p>
        </w:tc>
      </w:tr>
      <w:tr w14:paraId="315AC9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40EFF8">
            <w:r>
              <w:t>13</w:t>
            </w:r>
          </w:p>
        </w:tc>
        <w:tc>
          <w:tcPr>
            <w:tcW w:w="0" w:type="auto"/>
            <w:vAlign w:val="center"/>
          </w:tcPr>
          <w:p w14:paraId="5043EE4A"/>
        </w:tc>
        <w:tc>
          <w:tcPr>
            <w:tcW w:w="0" w:type="auto"/>
            <w:vAlign w:val="center"/>
          </w:tcPr>
          <w:p w14:paraId="51BB78DE">
            <w:r>
              <w:t>泄漏剂量</w:t>
            </w:r>
          </w:p>
        </w:tc>
        <w:tc>
          <w:tcPr>
            <w:tcW w:w="0" w:type="auto"/>
            <w:vAlign w:val="center"/>
          </w:tcPr>
          <w:p w14:paraId="181BBED2">
            <w:r>
              <w:t>μSv/h</w:t>
            </w:r>
          </w:p>
        </w:tc>
        <w:tc>
          <w:tcPr>
            <w:tcW w:w="0" w:type="auto"/>
            <w:vAlign w:val="center"/>
          </w:tcPr>
          <w:p w14:paraId="6E1D81BD">
            <w:r>
              <w:t>≤1</w:t>
            </w:r>
          </w:p>
        </w:tc>
        <w:tc>
          <w:tcPr>
            <w:tcW w:w="0" w:type="auto"/>
            <w:vAlign w:val="center"/>
          </w:tcPr>
          <w:p w14:paraId="2AA3F3B5">
            <w:r>
              <w:t>同上</w:t>
            </w:r>
          </w:p>
        </w:tc>
      </w:tr>
      <w:tr w14:paraId="033053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790B504">
            <w:r>
              <w:t>14</w:t>
            </w:r>
          </w:p>
        </w:tc>
        <w:tc>
          <w:tcPr>
            <w:tcW w:w="0" w:type="auto"/>
            <w:vAlign w:val="center"/>
          </w:tcPr>
          <w:p w14:paraId="6D27979A">
            <w:r>
              <w:t>电气参数</w:t>
            </w:r>
          </w:p>
        </w:tc>
        <w:tc>
          <w:tcPr>
            <w:tcW w:w="0" w:type="auto"/>
            <w:vAlign w:val="center"/>
          </w:tcPr>
          <w:p w14:paraId="084FDD44">
            <w:r>
              <w:t>供电电源</w:t>
            </w:r>
          </w:p>
        </w:tc>
        <w:tc>
          <w:tcPr>
            <w:tcW w:w="0" w:type="auto"/>
            <w:vAlign w:val="center"/>
          </w:tcPr>
          <w:p w14:paraId="22DE2759">
            <w:r>
              <w:t>V/Hz</w:t>
            </w:r>
          </w:p>
        </w:tc>
        <w:tc>
          <w:tcPr>
            <w:tcW w:w="0" w:type="auto"/>
            <w:vAlign w:val="center"/>
          </w:tcPr>
          <w:p w14:paraId="5EC8CD0E">
            <w:r>
              <w:t>380/50</w:t>
            </w:r>
          </w:p>
        </w:tc>
        <w:tc>
          <w:tcPr>
            <w:tcW w:w="0" w:type="auto"/>
            <w:vAlign w:val="center"/>
          </w:tcPr>
          <w:p w14:paraId="73C5A317">
            <w:r>
              <w:t>车间供电标准</w:t>
            </w:r>
          </w:p>
        </w:tc>
      </w:tr>
      <w:tr w14:paraId="26029962">
        <w:tc>
          <w:tcPr>
            <w:tcW w:w="0" w:type="auto"/>
            <w:vAlign w:val="center"/>
          </w:tcPr>
          <w:p w14:paraId="3C495B70">
            <w:r>
              <w:t>15</w:t>
            </w:r>
          </w:p>
        </w:tc>
        <w:tc>
          <w:tcPr>
            <w:tcW w:w="0" w:type="auto"/>
            <w:vAlign w:val="center"/>
          </w:tcPr>
          <w:p w14:paraId="47A864F9"/>
        </w:tc>
        <w:tc>
          <w:tcPr>
            <w:tcW w:w="0" w:type="auto"/>
            <w:vAlign w:val="center"/>
          </w:tcPr>
          <w:p w14:paraId="2E0F3A74">
            <w:r>
              <w:t>设备总功率</w:t>
            </w:r>
          </w:p>
        </w:tc>
        <w:tc>
          <w:tcPr>
            <w:tcW w:w="0" w:type="auto"/>
            <w:vAlign w:val="center"/>
          </w:tcPr>
          <w:p w14:paraId="57BE878C">
            <w:r>
              <w:t>kW</w:t>
            </w:r>
          </w:p>
        </w:tc>
        <w:tc>
          <w:tcPr>
            <w:tcW w:w="0" w:type="auto"/>
            <w:vAlign w:val="center"/>
          </w:tcPr>
          <w:p w14:paraId="75BB05F0">
            <w:r>
              <w:t>≤10</w:t>
            </w:r>
          </w:p>
        </w:tc>
        <w:tc>
          <w:tcPr>
            <w:tcW w:w="0" w:type="auto"/>
            <w:vAlign w:val="center"/>
          </w:tcPr>
          <w:p w14:paraId="6961A5F3">
            <w:r>
              <w:t>配电容量要求</w:t>
            </w:r>
          </w:p>
        </w:tc>
      </w:tr>
      <w:tr w14:paraId="2302E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82D226">
            <w:r>
              <w:t>16</w:t>
            </w:r>
          </w:p>
        </w:tc>
        <w:tc>
          <w:tcPr>
            <w:tcW w:w="0" w:type="auto"/>
            <w:vAlign w:val="center"/>
          </w:tcPr>
          <w:p w14:paraId="36DA7805">
            <w:r>
              <w:t>环境参数</w:t>
            </w:r>
          </w:p>
        </w:tc>
        <w:tc>
          <w:tcPr>
            <w:tcW w:w="0" w:type="auto"/>
            <w:vAlign w:val="center"/>
          </w:tcPr>
          <w:p w14:paraId="76AA7117">
            <w:r>
              <w:t>工作温度</w:t>
            </w:r>
          </w:p>
        </w:tc>
        <w:tc>
          <w:tcPr>
            <w:tcW w:w="0" w:type="auto"/>
            <w:vAlign w:val="center"/>
          </w:tcPr>
          <w:p w14:paraId="643FAEF1">
            <w:r>
              <w:t>℃</w:t>
            </w:r>
          </w:p>
        </w:tc>
        <w:tc>
          <w:tcPr>
            <w:tcW w:w="0" w:type="auto"/>
            <w:vAlign w:val="center"/>
          </w:tcPr>
          <w:p w14:paraId="1D257EB5">
            <w:r>
              <w:t>-10~50</w:t>
            </w:r>
          </w:p>
        </w:tc>
        <w:tc>
          <w:tcPr>
            <w:tcW w:w="0" w:type="auto"/>
            <w:vAlign w:val="center"/>
          </w:tcPr>
          <w:p w14:paraId="181DDC1F">
            <w:r>
              <w:t>GB/T 13306-2011</w:t>
            </w:r>
          </w:p>
        </w:tc>
      </w:tr>
      <w:tr w14:paraId="773321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EC2B2C">
            <w:r>
              <w:t>17</w:t>
            </w:r>
          </w:p>
        </w:tc>
        <w:tc>
          <w:tcPr>
            <w:tcW w:w="0" w:type="auto"/>
            <w:vAlign w:val="center"/>
          </w:tcPr>
          <w:p w14:paraId="21C09A08"/>
        </w:tc>
        <w:tc>
          <w:tcPr>
            <w:tcW w:w="0" w:type="auto"/>
            <w:vAlign w:val="center"/>
          </w:tcPr>
          <w:p w14:paraId="633DAF34">
            <w:r>
              <w:t>相对湿度</w:t>
            </w:r>
          </w:p>
        </w:tc>
        <w:tc>
          <w:tcPr>
            <w:tcW w:w="0" w:type="auto"/>
            <w:vAlign w:val="center"/>
          </w:tcPr>
          <w:p w14:paraId="1E2DFEEE">
            <w:r>
              <w:t>%</w:t>
            </w:r>
          </w:p>
        </w:tc>
        <w:tc>
          <w:tcPr>
            <w:tcW w:w="0" w:type="auto"/>
            <w:vAlign w:val="center"/>
          </w:tcPr>
          <w:p w14:paraId="3ADCB52D">
            <w:r>
              <w:t>≤95（无凝结）</w:t>
            </w:r>
          </w:p>
        </w:tc>
        <w:tc>
          <w:tcPr>
            <w:tcW w:w="0" w:type="auto"/>
            <w:vAlign w:val="center"/>
          </w:tcPr>
          <w:p w14:paraId="63D548E8">
            <w:r>
              <w:t>同上</w:t>
            </w:r>
          </w:p>
        </w:tc>
      </w:tr>
    </w:tbl>
    <w:p w14:paraId="7D67D454">
      <w:pPr>
        <w:pStyle w:val="4"/>
      </w:pPr>
      <w:r>
        <w:t>B. 常用图纸与图表说明</w:t>
      </w:r>
    </w:p>
    <w:p w14:paraId="254F96B2">
      <w:r>
        <w:t>本手册配套常用图纸包括：1）设备总装配图（图号TZ-001），显示设备各部件相对位置及安装尺寸；2）电气原理简图（图号DQ-001），标注主要电气元件型号及接线关系；3）液压系统原理图（图号YY-001），显示液压元件组成及油路走向；4）机械传动示意图（图号CD-001），说明XYZ轴传动结构；5）典型故障诊断流程图（图号GZ-001），指导故障排查步骤。图纸存放于设备档案室，电子版可通过U盘从工业计算机导出，图纸修改需履行审批手续（技术主管签字）。</w:t>
      </w:r>
    </w:p>
    <w:p w14:paraId="465DE0A8">
      <w:pPr>
        <w:pStyle w:val="4"/>
      </w:pPr>
      <w:r>
        <w:t>C. 相关标准与参考文献</w:t>
      </w:r>
    </w:p>
    <w:p w14:paraId="33A93A6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GBZ 117-2015《工业X射线探伤放射防护要求》</w:t>
      </w:r>
    </w:p>
    <w:p w14:paraId="636A470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JB/T 10557-2006《工业X射线检测设备通用技术条件》</w:t>
      </w:r>
    </w:p>
    <w:p w14:paraId="4B62EC8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GB/T 50044-2019《工业建筑电气设计标准》</w:t>
      </w:r>
    </w:p>
    <w:p w14:paraId="20E7659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ISO 10816-2《机械振动评价标准第2部分：刚性安装的旋转机械》</w:t>
      </w:r>
    </w:p>
    <w:p w14:paraId="172FD31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《X射线检测系统操作手册》- 设备制造商提供（2024年版）</w:t>
      </w:r>
    </w:p>
    <w:p w14:paraId="723211E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《伺服系统故障诊断与维修》- 松下电器（中国）有限公司技术白皮书</w:t>
      </w:r>
    </w:p>
    <w:p w14:paraId="62F1020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《工业机械润滑技术规范》- GB/T 50044-2019</w:t>
      </w:r>
    </w:p>
    <w:p w14:paraId="7D96FAF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《设备状态监测与故障诊断案例集》- 机械工业出版社（2023年）</w:t>
      </w:r>
    </w:p>
    <w:p w14:paraId="1B6A462C">
      <w:r>
        <w:t>以上标准与文献可通过国家标准化管理委员会官网、设备制造商官网或专业图书平台获取，作为设备维护、校准、改造的技术依据。</w:t>
      </w:r>
    </w:p>
    <w:p w14:paraId="44621E87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AD2B556E"/>
    <w:multiLevelType w:val="singleLevel"/>
    <w:tmpl w:val="AD2B55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6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7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8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0"/>
  </w:num>
  <w:num w:numId="2">
    <w:abstractNumId w:val="12"/>
  </w:num>
  <w:num w:numId="3">
    <w:abstractNumId w:val="2"/>
  </w:num>
  <w:num w:numId="4">
    <w:abstractNumId w:val="8"/>
  </w:num>
  <w:num w:numId="5">
    <w:abstractNumId w:val="5"/>
  </w:num>
  <w:num w:numId="6">
    <w:abstractNumId w:val="11"/>
  </w:num>
  <w:num w:numId="7">
    <w:abstractNumId w:val="4"/>
  </w:num>
  <w:num w:numId="8">
    <w:abstractNumId w:val="9"/>
  </w:num>
  <w:num w:numId="9">
    <w:abstractNumId w:val="6"/>
  </w:num>
  <w:num w:numId="10">
    <w:abstractNumId w:val="7"/>
  </w:num>
  <w:num w:numId="11">
    <w:abstractNumId w:val="3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F8E2DA4"/>
    <w:rsid w:val="F3EB132D"/>
    <w:rsid w:val="FEF70171"/>
    <w:rsid w:val="FFCF9603"/>
    <w:rsid w:val="FFFFEB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2025-10-06T21:01:44Z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CEC03484333CBAE6B8BDE36815C2BB16_43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