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94E77">
      <w:pPr>
        <w:pStyle w:val="2"/>
      </w:pPr>
    </w:p>
    <w:p w14:paraId="6ED47577">
      <w:pPr>
        <w:pStyle w:val="2"/>
      </w:pPr>
      <w:r>
        <w:t>干变浇注车间废气处理系统技术手册</w:t>
      </w:r>
    </w:p>
    <w:p w14:paraId="2A6DD2CD">
      <w:pPr>
        <w:pStyle w:val="3"/>
      </w:pPr>
      <w:r>
        <w:t>一、系统概述与技术背景</w:t>
      </w:r>
    </w:p>
    <w:p w14:paraId="43AE920F">
      <w:pPr>
        <w:pStyle w:val="4"/>
      </w:pPr>
      <w:r>
        <w:t>1. 干变浇注车间生产工艺及废气特性</w:t>
      </w:r>
    </w:p>
    <w:p w14:paraId="39ADF60A">
      <w:r>
        <w:t>干式变压器浇注车间的核心生产工艺围绕环氧树脂真空浇注展开，主要包含五个关键环节。绕组预处理阶段需对铜或铝导线绕制的绕组进行严格清洁和干燥，去除表面油污、灰尘及湿气，确保绝缘性能达标；模具装配环节将预处理后的绕组固定于金属模具内，通过模具封闭减少污染物扩散；真空浇注是核心步骤，需在真空度小于50Pa的环境下注入环氧树脂混合料，同时进行真空脱气处理以降低局部放电量（通常低于10pC）；梯度固化阶段采用阶梯升温工艺（如前固化温度90-110℃，时间3-5小时），并通过补偿罐压力补料防止树脂收缩缺陷；最后经脱模、机械加工及电气性能测试（局部放电、耐压试验）完成生产。</w:t>
      </w:r>
    </w:p>
    <w:p w14:paraId="7D7EEE7A">
      <w:r>
        <w:t>废气产生主要集中于浇注及固化过程，但其排放量存在资料差异。部分观点认为，由于浇注在封闭模具和真空环境下进行，固化反应中无小分子有机废气排放，可实现“无有害气体排放”；另一种视角指出，环氧树脂混合料含环氧树脂、酸酐类固化剂及促进剂等成分，尽管模具封闭可减少挥发，但高温固化时可能释放未完全反应的单体或添加剂挥发物（如酸酐类物质）。粉尘污染则源于绕组预处理清洁及模具拆装过程，成分以绝缘材料碎屑和金属粉末为主。需注意的是，现有资料未明确挥发物中是否含甲醛、苯系物等有毒成分，实际应用中需结合具体生产工艺进一步验证。</w:t>
      </w:r>
    </w:p>
    <w:p w14:paraId="05C8BB29">
      <w:pPr>
        <w:pStyle w:val="4"/>
      </w:pPr>
      <w:r>
        <w:t>2. 废气处理系统设计依据与技术标准</w:t>
      </w:r>
    </w:p>
    <w:p w14:paraId="02839893">
      <w:r>
        <w:t>干变浇注车间废气处理系统设计需满足多项国家标准及行业规范。排放标准方面，2025年实施的《大气污染物综合排放标准》（GB 16297-2025修订版）对关键污染物提出更严格要求：非甲烷总烃（NMHC）排放限值从现行标准的120mg/m³降至80mg/m³，颗粒物限值从120mg/m³降至30mg/m³，苯系物等特征污染物限值平均降低30%-40%。京津冀、长三角等重点区域需执行特别排放限值，较国家标准再严格20%-30%。此外，《挥发性有机物排放标准 第1~7部分》（GB 37822-2019）规定相关行业VOCs排放限值为40~80mg/m³，要求采用冷凝、吸附、催化燃烧等技术处理。</w:t>
      </w:r>
    </w:p>
    <w:p w14:paraId="6825D929">
      <w:r>
        <w:t>设计规范要求废气收集系统捕集率需达到95%以上，预处理单元需去除火花及大颗粒物（粒径＞10μm），主体处理设备去除效率需满足：VOCs治理设备催化燃烧效率≥95%、活性炭吸附效率≥90%，高效除尘设备效率≥99%。安全要求方面，系统需设置防火防爆装置（如阻火器、泄爆口），电气设备需符合《爆炸危险环境电力装置设计规范》（GB 50058），在线监测系统（CEMS）需与环保部门联网，数据保存≥3年。企业需关注2025年新规实施节点，确保设备升级改造达标。</w:t>
      </w:r>
    </w:p>
    <w:p w14:paraId="6C051476">
      <w:pPr>
        <w:pStyle w:val="3"/>
      </w:pPr>
      <w:r>
        <w:t>二、废气处理系统结构组成与功能</w:t>
      </w:r>
    </w:p>
    <w:p w14:paraId="6A5643C6">
      <w:pPr>
        <w:pStyle w:val="4"/>
      </w:pPr>
      <w:r>
        <w:t>1. 废气收集系统</w:t>
      </w:r>
    </w:p>
    <w:p w14:paraId="6593A56B">
      <w:r>
        <w:t>废气收集系统由集气罩、管道网络及辅助组件构成。集气罩根据污染源特性设计，浇注工位上方安装大型集气罩，设备开口处设置局部集气罩，罩口风速设计为1.5m/s以确保95%以上的捕集率；预处理及后处理区域采用侧吸式集气罩，适应分散性粉尘收集。管道网络采用“干支式”布置，主管道风速控制在12-18m/s，支管风速8-12m/s，以避免粉尘沉积；管道倾斜安装（坡度≥3°），弯头曲率半径不小于管道直径的1.5倍，减少阻力损失。辅助组件包括风阀（气动蝶阀调节各分支风量）、补偿器（吸收热膨胀位移）及防火阀（火灾时切断气流）。</w:t>
      </w:r>
    </w:p>
    <w:p w14:paraId="7E5FC526">
      <w:r>
        <w:t>系统功能聚焦“高效捕捉-稳定输送”，针对不同工位特性优化设计：浇注工位因废气温度高（可达300℃以上）且阵发性排放，集气罩采用耐高温材质（如310S不锈钢）并加大罩口尺寸；固化炉废气温度相对稳定（90-110℃），采用密闭式集气罩直接对接炉体排气口；预处理区域粉尘分散，设置移动式集气罩配合固定管道网络。通过上述设计，确保废气在产生源头即被捕捉，经管道网络无泄漏输送至后续处理单元。</w:t>
      </w:r>
    </w:p>
    <w:p w14:paraId="479B98A5">
      <w:pPr>
        <w:pStyle w:val="4"/>
      </w:pPr>
      <w:r>
        <w:t>2. 预处理单元</w:t>
      </w:r>
    </w:p>
    <w:p w14:paraId="73B29488">
      <w:r>
        <w:t>预处理单元是保护后续设备的关键环节，主要由火花捕集系统、降温装置及初步除尘设备组成。火花捕集系统内部采用多层格栅与陶瓷过滤材料，可截留废气中的火星及粒径＞10μm的大颗粒杂质，防止引燃后续吸附剂或催化剂；降温装置根据废气温度选择风冷或水冷换热器，如处理300℃以上高温废气时采用翅片式风冷换热器，将温度降至60℃以下，避免高温损坏活性炭或催化剂活性；初步除尘设备多选用旋风除尘器，利用离心力分离直径较大的金属氧化物和型砂颗粒（粒径＞20μm），除尘效率约85%-90%，为后续精细处理减负。</w:t>
      </w:r>
    </w:p>
    <w:p w14:paraId="78DC0F60">
      <w:r>
        <w:t>各组件协同实现预处理功能：废气首先进入火花捕集系统，通过格栅拦截大块杂质及火星，随后进入降温装置，经换热器与冷空气（或冷却水）换热降温，温度降至60℃以下后进入旋风除尘器，去除大部分粗颗粒粉尘。预处理单元可有效降低废气中火星、高温及粗颗粒对后续主体处理设备的损害风险，例如避免活性炭因高温自燃、催化剂因粉尘覆盖失活，同时减少精细过滤设备的滤料堵塞概率，延长使用寿命。</w:t>
      </w:r>
    </w:p>
    <w:p w14:paraId="054D18E8">
      <w:pPr>
        <w:pStyle w:val="4"/>
      </w:pPr>
      <w:r>
        <w:t>3. 主体处理设备</w:t>
      </w:r>
    </w:p>
    <w:p w14:paraId="2F770EEC">
      <w:r>
        <w:t>主体处理设备按污染物类型分为颗粒物处理与有机废气处理两类。颗粒物处理设备主要包括布袋除尘器、滤筒除尘器及湿式除尘器：布袋除尘器采用聚四氟乙烯（PTFE）或玻璃纤维滤料，过滤精度可达0.1μm，效率≥99%，适用于处理环氧树脂粉尘等细颗粒物；滤筒除尘器采用折叠式滤筒，过滤面积大、阻力小，适合处理中等浓度粉尘（500-2000mg/m³）；湿式除尘器通过喷淋液与粉尘接触，适用于粘性或高温粉尘（如未固化树脂微粒），但需处理废水二次污染。</w:t>
      </w:r>
    </w:p>
    <w:p w14:paraId="5571A92A">
      <w:r>
        <w:t>有机废气处理设备包括活性炭吸附装置、催化燃烧装置（CO/RCO）及光氧等离子系统。活性炭吸附装置采用蜂窝状活性炭层（碘值≥800mg/g），对苯系物、酚类等有机物吸附效率≥90%，吸附饱和后需通过热氮气（120-150℃）再生；催化燃烧装置（RCO）内置贵金属催化剂（Pt/Pd负载量0.5-1.0%），在250-300℃下将有机物氧化为CO₂和H₂O，空速范围10000-20000Hr⁻¹，净化效率≥95%，适用于中高浓度VOCs（≥2000ppm）；光氧等离子系统利用高能紫外线与等离子体协同作用，破坏有机分子结构，适用于低浓度、间歇性排放场景，但对复杂VOCs（如苯系物）去除率仅60-70%，通常作为辅助处理手段。</w:t>
      </w:r>
    </w:p>
    <w:p w14:paraId="59A7161F">
      <w:r>
        <w:t>实际应用中多采用组合工艺，如“布袋除尘+催化燃烧”流程：废气先经布袋除尘器去除99%以上的粉尘，再进入催化燃烧装置处理有机废气，确保颗粒物与VOCs协同达标；“旋风除尘+活性炭吸附+光氧催化”组合则适用于粉尘浓度较高、VOCs浓度较低的场景，先经旋风除尘去粗粉，活性炭吸附有机物，最后用光氧催化深度处理残留VOCs。组合工艺可根据废气特性灵活配置，满足不同处理需求。</w:t>
      </w:r>
    </w:p>
    <w:p w14:paraId="54B17A5A">
      <w:pPr>
        <w:pStyle w:val="4"/>
      </w:pPr>
      <w:r>
        <w:t>4. 排放系统与辅助设施</w:t>
      </w:r>
    </w:p>
    <w:p w14:paraId="2D22AB34">
      <w:r>
        <w:t>排放系统由引风机与排气筒组成。引风机作为系统动力源，根据处理风量和系统阻力选型，如处理10000m³/h风量时选用4-72NO.8A型号离心风机，风压0.3-0.5MPa，电机功率匹配系统阻力（通常15-30kW）；排气筒高度根据排放量计算，一般≥15m，出口直径按风速10-15m/s设计，确保废气高空扩散，减少地面污染。排放口安装在线监测装置（CEMS），实时监测SO₂、NOₓ、PM、VOCs等污染物浓度，并与环保部门联网传输数据。</w:t>
      </w:r>
    </w:p>
    <w:p w14:paraId="38D75245">
      <w:r>
        <w:t>辅助设施包括PLC控制系统、卸输灰装置及安全设备。PLC控制系统采用西门子S7-1200或施耐德M340系列控制器，实现设备启停、参数调节及故障报警的自动化控制；卸输灰装置用于定期清理除尘器收集的粉尘，如布袋除尘器底部配置螺旋输送机与储灰仓，实现粉尘自动输送与暂存；安全设备涵盖阻火器（防止火焰回火）、泄爆口（如催化燃烧装置顶部设置膜片泄压防爆装置）及氮气灭火系统（应对活性炭吸附塔自燃风险）。</w:t>
      </w:r>
    </w:p>
    <w:p w14:paraId="71BC78EA">
      <w:r>
        <w:t>排放系统与辅助设施协同保障达标排放与系统安全稳定运行：引风机提供动力将处理后的净化气经排气筒高空排放，CEMS实时监测排放浓度确保达标；PLC控制系统监控各设备运行参数，实现自适应调节；卸输灰装置避免粉尘堆积引发二次污染；安全设备则在异常工况下（如超温、爆炸风险）提供保护，确保系统运行安全性。</w:t>
      </w:r>
    </w:p>
    <w:p w14:paraId="71700301">
      <w:pPr>
        <w:pStyle w:val="3"/>
      </w:pPr>
      <w:r>
        <w:t>二、系统机械工作原理</w:t>
      </w:r>
    </w:p>
    <w:p w14:paraId="0BE92F63">
      <w:pPr>
        <w:pStyle w:val="4"/>
      </w:pPr>
      <w:r>
        <w:t>1. 动力设备选型与运行特性</w:t>
      </w:r>
    </w:p>
    <w:p w14:paraId="5C5283BC">
      <w:r>
        <w:t>动力设备主要包括风机、泵及阀门，其选型需结合废气特性与系统阻力综合确定。风机作为系统核心动力源，多选用离心风机，如处理风量10000m³/h、系统阻力3000Pa时，选用4-72NO.8A型号离心风机，叶轮材质为Q235钢板，电机功率22kW，额定转速2900r/min。运行特性方面，风机风量通过变频器调节（频率0-50Hz），风量调节范围30%-100%，风压随风量变化呈二次曲线关系（风量增大时风压升高），需避免运行在喘振区（通常为额定风量的30%以下）。</w:t>
      </w:r>
    </w:p>
    <w:p w14:paraId="3D7CD9D3">
      <w:r>
        <w:t>泵与阀门系统主要应用于喷淋塔预处理环节。喷淋泵选用316不锈钢材质离心泵，以耐受酸性废气腐蚀，扬程设计为15-25m，流量根据喷淋密度（20-30m³/m²·h）计算，如直径2m的喷淋塔需流量约12.5-18.8m³/h。运行时通过调节泵出口阀门开度控制流量，确保喷淋液均匀分布。阀门多采用气动蝶阀，阀体材质为铸铁或不锈钢，密封材料选用氟橡胶（耐受150℃以上高温及酸性气体腐蚀），通过气动执行器调节开度（0-90°），控制各分支管路风量，调节精度±5%。</w:t>
      </w:r>
    </w:p>
    <w:p w14:paraId="6E14D762">
      <w:r>
        <w:t>动力设备运行需满足系统稳定性要求：风机启动前需检查叶轮动平衡（振动值≤8mm/s）、轴承润滑（锂基脂加注量为轴承腔容积的1/3-1/2）；泵启动前需排气，避免空转损坏机械密封；阀门需定期校验开度与反馈信号一致性，确保风量调节准确。通过合理选型与运行参数控制，动力设备可保障废气处理系统的风量、风压稳定，满足各处理单元的工艺需求。</w:t>
      </w:r>
    </w:p>
    <w:p w14:paraId="01D57F00">
      <w:pPr>
        <w:pStyle w:val="4"/>
      </w:pPr>
      <w:r>
        <w:t>2. 机械结构设计要点</w:t>
      </w:r>
    </w:p>
    <w:p w14:paraId="25DD1481">
      <w:r>
        <w:t>机械结构设计需重点解决防堵塞、耐高温、防腐蚀三大核心问题。防堵塞设计方面，管道系统采用“短路径、少弯头”布置，弯头曲率半径不小于管道直径的1.5倍，避免直角弯头；管道倾斜安装（坡度≥3°），底部设置清灰孔（每隔6米一个，直径≥200mm），便于定期清理积尘；布袋除尘器滤袋采用脉冲喷吹清灰方式，喷吹压力0.4-0.6MPa，周期30-60秒，防止滤袋堵塞。</w:t>
      </w:r>
    </w:p>
    <w:p w14:paraId="7B97FE34">
      <w:r>
        <w:t>耐高温设计针对高温废气接触部件，如集气罩选用310S不锈钢（耐受温度≥1000℃），连接法兰采用石墨垫片（耐温600℃以上）；降温换热器选用耐高温合金材料（如Hastelloy C-276），翅片间距设计为8-10mm，提高换热效率；催化燃烧装置燃烧室采用耐火浇注料内衬（厚度≥100mm），外层包裹保温棉（导热系数≤0.1W/m·K），减少热量损失。</w:t>
      </w:r>
    </w:p>
    <w:p w14:paraId="4D582679">
      <w:r>
        <w:t>防腐蚀设计主要针对酸性废气场景，喷淋塔塔身采用玻璃钢（FRP）材质或碳钢内衬橡胶（厚度≥5mm）；循环管道选用UPVC或316L不锈钢，避免酸性液体腐蚀；活性炭吸附塔内壁涂刷环氧树脂防腐涂层（干膜厚度≥200μm），螺栓采用镀锌或不锈钢材质。通过上述设计，可有效延长设备使用寿命，减少因堵塞、高温损坏或腐蚀导致的故障停机。</w:t>
      </w:r>
    </w:p>
    <w:p w14:paraId="0068704C">
      <w:pPr>
        <w:pStyle w:val="3"/>
      </w:pPr>
      <w:r>
        <w:t>四、系统控制原理</w:t>
      </w:r>
    </w:p>
    <w:p w14:paraId="101875FE">
      <w:pPr>
        <w:pStyle w:val="4"/>
      </w:pPr>
      <w:r>
        <w:t>1. 控制系统组成与传感器网络</w:t>
      </w:r>
    </w:p>
    <w:p w14:paraId="3DA51FAC">
      <w:r>
        <w:t>控制系统以PLC为核心，采用模块化设计，典型配置为西门子S7-1200或施耐德M340系列控制器，包含电源模块、CPU模块、模拟量输入/输出模块（处理4-20mA电流信号）及数字量输入/输出模块（处理开关量信号）。人机界面（HMI）采用触摸屏，可实时显示系统运行参数、设备状态及报警信息，并支持参数设置与手动操作。</w:t>
      </w:r>
    </w:p>
    <w:p w14:paraId="5ED9850F">
      <w:r>
        <w:t>传感器网络覆盖系统关键监测点：VOCs浓度传感器采用PID光离子化检测仪，量程0-1000mg/m³，精度±5%FS，安装于主体处理设备进出口；温度传感器选用K型热电偶（测量范围0-1000℃），监测废气温度、催化燃烧床层温度及设备表面温度；压力传感器为扩散硅型（4-20mA输出），检测系统风压、过滤器压差（量程0-5kPa）及喷淋塔液位（量程0-3m）；流量传感器采用电磁式（量程0-5000m³/h），测量废气处理风量；安全检测传感器包括可燃气体探测器（0-100%LEL）、火焰探测器及急停按钮。</w:t>
      </w:r>
    </w:p>
    <w:p w14:paraId="563474C5">
      <w:r>
        <w:t>传感器信号通过屏蔽双绞线传输至PLC，模拟量信号经A/D转换后进入CPU，数字量信号直接接入数字量输入模块。系统采用Modbus RTU或Profinet通信协议，实现PLC与HMI、在线监测装置（CEMS）的数据交互，数据有效传输率≥95%。传感器安装需注意代表性（如VOCs传感器安装于气流稳定的直管段）、防干扰（远离强电磁场）及维护便利性（预留检修空间）。</w:t>
      </w:r>
    </w:p>
    <w:p w14:paraId="500BD52F">
      <w:pPr>
        <w:pStyle w:val="4"/>
      </w:pPr>
      <w:r>
        <w:t>2. 自动调节逻辑与安全联锁机制</w:t>
      </w:r>
    </w:p>
    <w:p w14:paraId="0BEBEF47">
      <w:r>
        <w:t>自动调节逻辑通过PLC编程实现，核心控制策略包括：风量闭环控制，根据设定风量（如10000m³/h），PLC通过PID算法调节引风机变频器频率（0-50Hz），维持实际风量稳定在设计值±5%范围内；温度控制，催化燃烧装置启动时，PLC控制电加热系统将床层温度升至300-400℃（根据催化剂型号调整），运行中通过调节废气流量或补充燃料维持温度稳定；液位控制，喷淋塔液位低于1.2m时，自动启动药剂补给泵，至高液位1.5m时停止。</w:t>
      </w:r>
    </w:p>
    <w:p w14:paraId="2DE940FD">
      <w:r>
        <w:t>安全联锁机制采用多层级保护设计。硬件联锁：急停按钮直接切断主接触器电源，关键阀门配置限位开关（开到位/关到位信号），确保阀门状态可监控；软件联锁：当催化燃烧床层温度＞800℃时，立即关闭废气进口阀并打开旁通阀，同时启动氮气灭火装置；风机故障导致系统压力＜-200Pa时，触发声光报警并自动停机；可燃气体浓度≥25%LEL时启动排风稀释，≥50%LEL时切断系统电源。</w:t>
      </w:r>
    </w:p>
    <w:p w14:paraId="67C3186E">
      <w:r>
        <w:t>系统具备自适应控制功能，如RTO运行中，PLC根据废气流量变化自动调整切换阀动作周期（2-4分钟/循环），确保热效率＞95%；活性炭吸附饱和时（通过进出口浓度差判断，去除效率＜85%），自动切换至备用吸附塔并启动脱附程序。安全联锁响应时间＜2秒，可有效避免事故扩大，保障系统安全运行。</w:t>
      </w:r>
    </w:p>
    <w:p w14:paraId="4B41B04D">
      <w:pPr>
        <w:pStyle w:val="3"/>
      </w:pPr>
      <w:r>
        <w:t>五、常见故障分析</w:t>
      </w:r>
    </w:p>
    <w:p w14:paraId="70799FBA">
      <w:pPr>
        <w:pStyle w:val="4"/>
      </w:pPr>
      <w:r>
        <w:t>1. 设备故障</w:t>
      </w:r>
    </w:p>
    <w:p w14:paraId="5657AC42">
      <w:r>
        <w:t>风机异常振动与异响是常见设备故障，表现为振动值＞15mm/s（标准限值8mm/s），伴随高频噪音。主要成因包括叶轮积尘失衡（长期吸入粉尘导致动平衡破坏）、轴承润滑不足或损坏（未定期加注润滑脂，轴承游隙＞0.15mm）、底座螺栓松动（振动累积导致扭矩下降≥20%）。例如某案例中，因叶轮积灰导致振动值达18mm/s，停机清理并校准动平衡后恢复正常。</w:t>
      </w:r>
    </w:p>
    <w:p w14:paraId="1F8BE088">
      <w:r>
        <w:t>滤袋破损与堵塞表现为粉尘排放浓度突然超标（如从5mg/m³升至30mg/m³）或过滤器压差持续升高（从800Pa升至1500Pa）。滤袋破损多因滤料磨损（使用超过6个月）、安装不当（滤袋未卡紧导致摩擦破损）或高温损坏（预处理降温不足）；堵塞则源于压缩空气反吹压力不足（＜0.5MPa）、脉冲阀膜片老化（无法正常喷吹）或废气湿度高（＞70%RH导致滤袋板结）。处理环氧树脂废气时，滤袋寿命常缩短至3个月，需每月检查表面黏附情况。</w:t>
      </w:r>
    </w:p>
    <w:p w14:paraId="433856DA">
      <w:r>
        <w:t>喷淋系统故障包括喷嘴堵塞与液位异常。喷嘴堵塞导致洗涤效率下降30%以上，成因是循环水中Ca²+、Mg²+结垢（硬度＞300mg/L）或树脂颗粒沉积（浇注废气含未固化树脂微粒）；液位异常表现为泵空转（液位＜1.2m）或带水（液位＞2.5m），多因浮球液位计卡涩、补给泵故障或排水阀泄漏。某案例中，浮球液位计卡涩导致循环泵干转烧毁，维修成本达1.2万元。</w:t>
      </w:r>
    </w:p>
    <w:p w14:paraId="3D6478C4">
      <w:pPr>
        <w:pStyle w:val="4"/>
      </w:pPr>
      <w:r>
        <w:t>2. 工艺故障</w:t>
      </w:r>
    </w:p>
    <w:p w14:paraId="5B81F776">
      <w:r>
        <w:t>活性炭吸附效率下降表现为出口VOCs浓度从20mg/m³升至100mg/m³以上，碘值检测显示吸附能力从800mg/g降至450mg/g以下。主因包括吸附饱和（未按3-6个月周期更换）、废气湿度超标（＞70%RH导致活性炭板结）、气流分布不均（分布板开孔率堵塞30%以上）。例如某车间因雨季湿度未控制，活性炭更换周期缩短至2个月，出口浓度超标至120mg/m³。</w:t>
      </w:r>
    </w:p>
    <w:p w14:paraId="1A1905C3">
      <w:r>
        <w:t>催化燃烧系统失效表现为CO排放浓度超标（从50mg/m³升至300mg/m³），催化剂活性下降。成因包括催化剂中毒（树脂废气中的Cl元素导致永久性失活）、烧结（床层温度超过700℃）、积碳（进气浓度波动超过2000mg/m³）。某案例显示，未经预处理的废气直接进入催化床，6个月内催化剂完全失活，更换成本达8万元。</w:t>
      </w:r>
    </w:p>
    <w:p w14:paraId="0C154AD9">
      <w:r>
        <w:t>RTO蓄热体堵塞表现为热效率从95%降至75%，进出风温差缩小至150℃（设计值300℃）。主要因树脂雾滴黏附（浇注废气预处理不完全）、蓄热陶瓷微孔堵塞（运行超过1年未清理）、切换阀门泄漏（密封面磨损导致串风）。某RTO设备因蓄热体堵塞，处理风量从10000m³/h降至7000m³/h，热效率仅72%。</w:t>
      </w:r>
    </w:p>
    <w:p w14:paraId="71FCE268">
      <w:pPr>
        <w:pStyle w:val="4"/>
      </w:pPr>
      <w:r>
        <w:t>2. 工艺故障</w:t>
      </w:r>
    </w:p>
    <w:p w14:paraId="5CBAACEF">
      <w:r>
        <w:t>活性炭吸附效率下降表现为出口VOCs浓度从20mg/m³升至100mg/m³以上，碘值检测显示吸附能力从800mg/g降至450mg/g以下。主因包括吸附饱和（未按3-6个月周期更换）、废气湿度超标（＞70%RH导致活性炭板结）、气流分布不均（分布板开孔率堵塞30%以上）。例如某车间因雨季湿度未控制，活性炭更换周期缩短至2个月，出口浓度超标至120mg/m³。</w:t>
      </w:r>
    </w:p>
    <w:p w14:paraId="52A71D26">
      <w:r>
        <w:t>催化燃烧系统失效表现为CO排放浓度超标（从50mg/m³升至300mg/m³），催化剂活性下降。成因包括催化剂中毒（树脂废气中的Cl元素导致永久性失活）、烧结（床层温度超过700℃）、积碳（进气浓度波动超过2000mg/m³）。某案例显示，未经预处理的废气直接进入催化床，6个月内催化剂完全失活，更换成本达8万元。</w:t>
      </w:r>
    </w:p>
    <w:p w14:paraId="65184370">
      <w:r>
        <w:t>RTO蓄热体堵塞表现为热效率从95%降至75%，进出风温差缩小至150℃（设计值300℃）。主要因树脂雾滴黏附（浇注废气预处理不完全）、蓄热陶瓷微孔堵塞（运行超过1年未清理）、切换阀门泄漏（密封面磨损导致串风）。某RTO设备因蓄热体堵塞，处理风量从10000m³/h降至7000m³/h，热效率仅72%。</w:t>
      </w:r>
    </w:p>
    <w:p w14:paraId="6465E0F4">
      <w:pPr>
        <w:pStyle w:val="4"/>
      </w:pPr>
      <w:r>
        <w:t>3. 控制故障</w:t>
      </w:r>
    </w:p>
    <w:p w14:paraId="7FF98509">
      <w:r>
        <w:t>PLC控制系统异常表现为通信中断、模块报警或程序丢失。通信中断多因信号线接头氧化（粉尘腐蚀导致接触不良）、总线终端电阻异常（非110Ω）；模块报警可能是输入输出点烧毁（传感器短路或过压）、电源模块故障（电压波动）；程序丢失则源于未定期备份、雷击损坏或CPU模块故障。某案例中，因未设置备用通讯链路，通信中断后故障修复耗时16小时。</w:t>
      </w:r>
    </w:p>
    <w:p w14:paraId="052858BC">
      <w:r>
        <w:t>传感器失灵表现为数据漂移或无输出。VOCs检测仪数据漂移（±50%误差）多因采样探头积油（树脂废气冷凝物覆盖传感器）、光电离室污染；压差变送器读数异常（显示-200Pa，实际1000Pa）源于导压管堵塞（粉尘或水汽凝结）、膜片损坏；温度传感器响应延迟（滞后＞30秒）因探头结垢（厚度达2mm）、接线端子接触不良。例如某温度传感器因探头结垢，实测温度与显示值偏差达30℃。</w:t>
      </w:r>
    </w:p>
    <w:p w14:paraId="5C885280">
      <w:r>
        <w:t>执行器故障包括气动阀门不动作、电动调节阀卡涩及变频器过载跳闸。气动阀门不动作可能因气源压力不足（＜0.4MPa）、 solenoid阀堵塞或执行器故障；电动调节阀卡涩多因阀杆积灰（死区达15%）、齿轮箱缺油；变频器过载跳闸可由风机叶轮卡死（异物进入）、电机轴承损坏或参数设置错误（过载保护值设置过低）导致。某案例中，PLC输出模块故障导致喷淋泵持续运行2小时，造成水箱漫溢。</w:t>
      </w:r>
    </w:p>
    <w:p w14:paraId="6289F7FC">
      <w:pPr>
        <w:pStyle w:val="3"/>
      </w:pPr>
      <w:r>
        <w:t>六、故障诊断与维护对策</w:t>
      </w:r>
    </w:p>
    <w:p w14:paraId="09477B3C">
      <w:pPr>
        <w:pStyle w:val="4"/>
      </w:pPr>
      <w:r>
        <w:t>1. 故障诊断技术方法</w:t>
      </w:r>
    </w:p>
    <w:p w14:paraId="7814AFF5">
      <w:r>
        <w:t>在线监测技术通过实时数据捕捉故障征兆，振动传感器安装于风机轴承座，监测振动频谱，当100-500Hz频段出现异常峰值时，可提前48小时预测轴承故障；热成像仪扫描管道及设备表面，温度异常点（温差±5℃）提示泄漏或堵塞，如管道泄漏处温度低于正常区域；CEMS系统监测排放浓度，恒值数据（连续4小时变化＜5%）或超量程可能指示传感器故障。例如某案例通过振动频谱分析发现风机轴承早期故障，及时更换避免停机。</w:t>
      </w:r>
    </w:p>
    <w:p w14:paraId="5F35F526">
      <w:r>
        <w:t>离线检测技术用于深度故障排查，采用HJ 732-2025气袋法采集吸附前后气体样本，气相色谱分析VOCs去除效率，当效率＜85%时判定活性炭饱和；滤袋破损定位采用净气室漏光点检测，在暗室中用强光照射滤袋，漏光点对应破损位置；电气故障检测使用万用表测量电机三相电流（不平衡度应＜10%）、绝缘电阻（≥0.5MΩ），判断电机是否损坏。某车间通过气相色谱分析发现活性炭吸附效率降至78%，及时更换后排放浓度恢复达标。</w:t>
      </w:r>
    </w:p>
    <w:p w14:paraId="0A40E458">
      <w:r>
        <w:t>故障快速定位采用“数据追溯-逻辑排查-物理验证”流程：当排放超标时，首先通过CEMS系统追溯异常时段数据，结合PLC控制日志排查阀门开度（如吸附床切换阀是否正常动作）；逻辑排查按“电源-控制-执行”顺序，检查供电是否正常、控制信号是否输出、执行器是否响应；物理验证通过现场检查（如目视检查滤袋、手动操作阀门）确认故障点。例如某VOCs浓度突升案例，经数据追溯发现吸附塔进口阀未关闭，现场检查确认为阀门限位开关故障，定位耗时22分钟。</w:t>
      </w:r>
    </w:p>
    <w:p w14:paraId="7F255B75">
      <w:pPr>
        <w:pStyle w:val="4"/>
      </w:pPr>
      <w:r>
        <w:t>2. 预防性维护计划</w:t>
      </w:r>
    </w:p>
    <w:p w14:paraId="5B3836FD">
      <w:r>
        <w:t>日常巡检执行“四定”制度（定时、定点、定项、定标），每日检查风机运行状态（电流、振动≤8mm/s、无异响）、管道密封性（无泄漏、腐蚀）、过滤/吸附单元压差（活性炭床层压差≤500Pa）、药剂液位（喷淋塔药剂浓度8%-12%）及控制系统指示灯。巡检数据记录于《设备运行日志》，包括风机出口压力（0.3-0.5MPa）、处理后废气浓度（非甲烷总烃≤100mg/m³）、设备表面温度（≤60℃）。</w:t>
      </w:r>
    </w:p>
    <w:p w14:paraId="2ECDFFA3">
      <w:r>
        <w:t>定期维护按周期执行：每周清理过滤器滤网（袋式过滤器用0.4-0.6MPa压缩空气反吹）、检查皮带张紧度（挠度15-20mm）、补充轴承润滑脂（锂基脂，加注量为轴承腔1/3-1/2）；每月检测活性炭吸附效率（采样分析进出口浓度）、校准在线监测仪表（误差≤±5%）、紧固电气接线端子（铜端子扭矩3.5-4.0N·m）；每季度更换喷淋塔循环液（pH值6-9）、检查防腐层（电火花检测仪15kV无击穿）、测试应急启停功能（30秒内自动停机报警）；每年解体检查风机叶轮（磨损量＞1/3需更换）、更换密封件（丁腈橡胶垫片≤2年）、检测管道壁厚（碳钢≥3mm）。</w:t>
      </w:r>
    </w:p>
    <w:p w14:paraId="143913BD">
      <w:r>
        <w:t>维护操作需遵循标准流程，如活性炭更换时需先关闭吸附塔进出口阀，氮气置换（氧含量＜5%）后拆卸端盖，采用专用工具取出旧炭，新炭装填需均匀（避免气流短路），装复后进行气密性测试（压力泄漏率＜1%/h）。定期维护可有效预防故障，某车间通过严格执行月度校准，传感器故障发生率下降60%。</w:t>
      </w:r>
    </w:p>
    <w:p w14:paraId="66496C81">
      <w:pPr>
        <w:pStyle w:val="4"/>
      </w:pPr>
      <w:r>
        <w:t>3. 应急处理方案与备品备件管理</w:t>
      </w:r>
    </w:p>
    <w:p w14:paraId="0A126E4C">
      <w:r>
        <w:t>废气泄漏应急响应流程：立即启动车间排风系统（换气次数≥12次/小时），操作人员穿戴P-A-1型滤毒罐防毒面具及防化服，使用便携式VOCs检测仪确定泄漏点（浓度超过TLV-TWA值时紧急撤离）；关闭泄漏点上下游阀门（关阀顺序：先下游后上游），待压力降至0MPa后，更换破损垫片（采用耐酸碱氟橡胶材质）或紧固法兰螺栓。例如某管道法兰泄漏，关阀泄压后更换垫片，恢复时间40分钟。</w:t>
      </w:r>
    </w:p>
    <w:p w14:paraId="7EA97A7D">
      <w:r>
        <w:t>火灾爆炸风险处置：系统温度＞60℃（报警值）或可燃气体浓度≥25%LEL时，自动启动CO₂灭火系统（喷射时间≥30秒），同时切断进料阀门并开启事故排风；火情发生时，使用ABC型干粉灭火器（最小灭火级别2A）扑救初期火灾，严禁用水扑灭电气或有机溶媒火灾。例如某活性炭吸附塔自燃，启动CO₂灭火系统后3分钟控制火情，未造成设备严重损坏。</w:t>
      </w:r>
    </w:p>
    <w:p w14:paraId="63114822">
      <w:r>
        <w:t>停电应急程序：突然停电时，UPS维持控制系统供电≥30分钟，操作人员手动关闭主进气阀，打开旁通管道（确保车间负压≤-5Pa），记录停机时间及参数；恢复供电后，按“引风机（空载启动，5分钟后加载）→喷淋泵→药剂投加系统”顺序启动，间隔≥2分钟。某车间停电后规范操作，恢复供电后1小时系统稳定运行。</w:t>
      </w:r>
    </w:p>
    <w:p w14:paraId="57D7623C">
      <w:r>
        <w:t>备品备件管理实施“关键备件清单+合理库存”策略，易损件包括风机轴承（库存≥2套/台）、密封垫片（每种规格≥5片）、滤袋（一次性采购量为总数量的1/2）；重要部件包括PLC模块（CPU及I/O模块各备用1块）、VOCs传感器探头（备用1个）、安全阀（同型号备用1台）；耗材如活性炭（按3个月用量储备，碘值≥800mg/g）、润滑油（保质期内用量，储存温度5-35℃）。建立电子台账，记录备件型号、供应商、入库日期及更换记录，存放环境保持干燥（湿度≤60%）、通风，精密部件使用防潮箱（湿度≤40%RH）。</w:t>
      </w:r>
    </w:p>
    <w:p w14:paraId="5811F48E">
      <w:pPr>
        <w:pStyle w:val="3"/>
      </w:pPr>
      <w:r>
        <w:t>附录</w:t>
      </w:r>
    </w:p>
    <w:p w14:paraId="0C3EA013">
      <w:pPr>
        <w:pStyle w:val="4"/>
      </w:pPr>
      <w:r>
        <w:t>1. 系统技术参数汇总表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2910C1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039F8AE">
            <w:pPr>
              <w:jc w:val="center"/>
              <w:rPr>
                <w:b/>
              </w:rPr>
            </w:pPr>
            <w:r>
              <w:rPr>
                <w:b/>
              </w:rPr>
              <w:t>设备名称</w:t>
            </w:r>
          </w:p>
        </w:tc>
        <w:tc>
          <w:tcPr>
            <w:tcW w:w="0" w:type="auto"/>
            <w:vAlign w:val="center"/>
          </w:tcPr>
          <w:p w14:paraId="7E40F328">
            <w:pPr>
              <w:jc w:val="center"/>
              <w:rPr>
                <w:b/>
              </w:rPr>
            </w:pPr>
            <w:r>
              <w:rPr>
                <w:b/>
              </w:rPr>
              <w:t>型号规格</w:t>
            </w:r>
          </w:p>
        </w:tc>
        <w:tc>
          <w:tcPr>
            <w:tcW w:w="0" w:type="auto"/>
            <w:vAlign w:val="center"/>
          </w:tcPr>
          <w:p w14:paraId="45F9C29E">
            <w:pPr>
              <w:jc w:val="center"/>
              <w:rPr>
                <w:b/>
              </w:rPr>
            </w:pPr>
            <w:r>
              <w:rPr>
                <w:b/>
              </w:rPr>
              <w:t>技术指标</w:t>
            </w:r>
          </w:p>
        </w:tc>
        <w:tc>
          <w:tcPr>
            <w:tcW w:w="0" w:type="auto"/>
            <w:vAlign w:val="center"/>
          </w:tcPr>
          <w:p w14:paraId="60CB3D5A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1A81A9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2B8E466">
            <w:r>
              <w:t>离心风机</w:t>
            </w:r>
          </w:p>
        </w:tc>
        <w:tc>
          <w:tcPr>
            <w:tcW w:w="0" w:type="auto"/>
            <w:vAlign w:val="center"/>
          </w:tcPr>
          <w:p w14:paraId="16DC8318">
            <w:r>
              <w:t>4-72NO.8A</w:t>
            </w:r>
          </w:p>
        </w:tc>
        <w:tc>
          <w:tcPr>
            <w:tcW w:w="0" w:type="auto"/>
            <w:vAlign w:val="center"/>
          </w:tcPr>
          <w:p w14:paraId="55F585DD">
            <w:r>
              <w:t>风量10000m³/h，风压3000Pa，功率22kW</w:t>
            </w:r>
          </w:p>
        </w:tc>
        <w:tc>
          <w:tcPr>
            <w:tcW w:w="0" w:type="auto"/>
            <w:vAlign w:val="center"/>
          </w:tcPr>
          <w:p w14:paraId="3EA3EA76">
            <w:r>
              <w:t>配变频调速</w:t>
            </w:r>
          </w:p>
        </w:tc>
      </w:tr>
      <w:tr w14:paraId="7A7F02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7C34535">
            <w:r>
              <w:t>布袋除尘器</w:t>
            </w:r>
          </w:p>
        </w:tc>
        <w:tc>
          <w:tcPr>
            <w:tcW w:w="0" w:type="auto"/>
            <w:vAlign w:val="center"/>
          </w:tcPr>
          <w:p w14:paraId="00B3F4E2">
            <w:r>
              <w:t>LCM-48</w:t>
            </w:r>
          </w:p>
        </w:tc>
        <w:tc>
          <w:tcPr>
            <w:tcW w:w="0" w:type="auto"/>
            <w:vAlign w:val="center"/>
          </w:tcPr>
          <w:p w14:paraId="5D27DCE7">
            <w:r>
              <w:t>滤袋数量48条，过滤面积200m²，效率≥99%</w:t>
            </w:r>
          </w:p>
        </w:tc>
        <w:tc>
          <w:tcPr>
            <w:tcW w:w="0" w:type="auto"/>
            <w:vAlign w:val="center"/>
          </w:tcPr>
          <w:p w14:paraId="48C3EAE9">
            <w:r>
              <w:t>PTFE滤料</w:t>
            </w:r>
          </w:p>
        </w:tc>
      </w:tr>
      <w:tr w14:paraId="0C702BF8">
        <w:tc>
          <w:tcPr>
            <w:tcW w:w="0" w:type="auto"/>
            <w:vAlign w:val="center"/>
          </w:tcPr>
          <w:p w14:paraId="2AC5CA5A">
            <w:r>
              <w:t>活性炭吸附塔</w:t>
            </w:r>
          </w:p>
        </w:tc>
        <w:tc>
          <w:tcPr>
            <w:tcW w:w="0" w:type="auto"/>
            <w:vAlign w:val="center"/>
          </w:tcPr>
          <w:p w14:paraId="701A3C3A">
            <w:r>
              <w:t>HXT-2000</w:t>
            </w:r>
          </w:p>
        </w:tc>
        <w:tc>
          <w:tcPr>
            <w:tcW w:w="0" w:type="auto"/>
            <w:vAlign w:val="center"/>
          </w:tcPr>
          <w:p w14:paraId="5F9A39D1">
            <w:r>
              <w:t>活性炭装填量2m³，碘值≥800mg/g，空速1500h⁻¹</w:t>
            </w:r>
          </w:p>
        </w:tc>
        <w:tc>
          <w:tcPr>
            <w:tcW w:w="0" w:type="auto"/>
            <w:vAlign w:val="center"/>
          </w:tcPr>
          <w:p w14:paraId="757BFE34">
            <w:r>
              <w:t>蜂窝状活性炭</w:t>
            </w:r>
          </w:p>
        </w:tc>
      </w:tr>
      <w:tr w14:paraId="566188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AEFADF9">
            <w:r>
              <w:t>催化燃烧装置</w:t>
            </w:r>
          </w:p>
        </w:tc>
        <w:tc>
          <w:tcPr>
            <w:tcW w:w="0" w:type="auto"/>
            <w:vAlign w:val="center"/>
          </w:tcPr>
          <w:p w14:paraId="2EB16DC9">
            <w:r>
              <w:t>RCO-10000</w:t>
            </w:r>
          </w:p>
        </w:tc>
        <w:tc>
          <w:tcPr>
            <w:tcW w:w="0" w:type="auto"/>
            <w:vAlign w:val="center"/>
          </w:tcPr>
          <w:p w14:paraId="317FC763">
            <w:r>
              <w:t>处理风量10000m³/h，催化剂Pt/Pd负载0.8%</w:t>
            </w:r>
          </w:p>
        </w:tc>
        <w:tc>
          <w:tcPr>
            <w:tcW w:w="0" w:type="auto"/>
            <w:vAlign w:val="center"/>
          </w:tcPr>
          <w:p w14:paraId="75FEBDE8">
            <w:r>
              <w:t>热效率≥95%</w:t>
            </w:r>
          </w:p>
        </w:tc>
      </w:tr>
      <w:tr w14:paraId="2E0E31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F8DFEDF">
            <w:r>
              <w:t>喷淋泵</w:t>
            </w:r>
          </w:p>
        </w:tc>
        <w:tc>
          <w:tcPr>
            <w:tcW w:w="0" w:type="auto"/>
            <w:vAlign w:val="center"/>
          </w:tcPr>
          <w:p w14:paraId="2B352DC9">
            <w:r>
              <w:t>316不锈钢离心泵</w:t>
            </w:r>
          </w:p>
        </w:tc>
        <w:tc>
          <w:tcPr>
            <w:tcW w:w="0" w:type="auto"/>
            <w:vAlign w:val="center"/>
          </w:tcPr>
          <w:p w14:paraId="557A5FE5">
            <w:r>
              <w:t>流量15m³/h，扬程20m，功率4kW</w:t>
            </w:r>
          </w:p>
        </w:tc>
        <w:tc>
          <w:tcPr>
            <w:tcW w:w="0" w:type="auto"/>
            <w:vAlign w:val="center"/>
          </w:tcPr>
          <w:p w14:paraId="1F6124D9">
            <w:r>
              <w:t>配变频控制</w:t>
            </w:r>
          </w:p>
        </w:tc>
      </w:tr>
      <w:tr w14:paraId="2F2F0D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727ABFF">
            <w:r>
              <w:t>VOCs检测仪</w:t>
            </w:r>
          </w:p>
        </w:tc>
        <w:tc>
          <w:tcPr>
            <w:tcW w:w="0" w:type="auto"/>
            <w:vAlign w:val="center"/>
          </w:tcPr>
          <w:p w14:paraId="3E9F2BE2">
            <w:r>
              <w:t>PID光离子化</w:t>
            </w:r>
          </w:p>
        </w:tc>
        <w:tc>
          <w:tcPr>
            <w:tcW w:w="0" w:type="auto"/>
            <w:vAlign w:val="center"/>
          </w:tcPr>
          <w:p w14:paraId="59FEF5AB">
            <w:r>
              <w:t>量程0-1000mg/m³，精度±5%FS</w:t>
            </w:r>
          </w:p>
        </w:tc>
        <w:tc>
          <w:tcPr>
            <w:tcW w:w="0" w:type="auto"/>
            <w:vAlign w:val="center"/>
          </w:tcPr>
          <w:p w14:paraId="593D56A2">
            <w:r>
              <w:t>带温度补偿</w:t>
            </w:r>
          </w:p>
        </w:tc>
      </w:tr>
      <w:tr w14:paraId="7C41BD98">
        <w:tc>
          <w:tcPr>
            <w:tcW w:w="0" w:type="auto"/>
            <w:vAlign w:val="center"/>
          </w:tcPr>
          <w:p w14:paraId="53E9D442">
            <w:r>
              <w:t>PLC控制器</w:t>
            </w:r>
          </w:p>
        </w:tc>
        <w:tc>
          <w:tcPr>
            <w:tcW w:w="0" w:type="auto"/>
            <w:vAlign w:val="center"/>
          </w:tcPr>
          <w:p w14:paraId="1FF1B1FE">
            <w:r>
              <w:t>西门子S7-1214C</w:t>
            </w:r>
          </w:p>
        </w:tc>
        <w:tc>
          <w:tcPr>
            <w:tcW w:w="0" w:type="auto"/>
            <w:vAlign w:val="center"/>
          </w:tcPr>
          <w:p w14:paraId="738329D6">
            <w:r>
              <w:t>14DI/10DO，4AI/2AO</w:t>
            </w:r>
          </w:p>
        </w:tc>
        <w:tc>
          <w:tcPr>
            <w:tcW w:w="0" w:type="auto"/>
            <w:vAlign w:val="center"/>
          </w:tcPr>
          <w:p w14:paraId="4BC4189E">
            <w:r>
              <w:t>支持Profinet通信</w:t>
            </w:r>
          </w:p>
        </w:tc>
      </w:tr>
    </w:tbl>
    <w:p w14:paraId="55267E06">
      <w:pPr>
        <w:pStyle w:val="4"/>
      </w:pPr>
      <w:r>
        <w:t>2. 维护记录与故障报告模板</w:t>
      </w:r>
    </w:p>
    <w:p w14:paraId="43936E6A">
      <w:pPr>
        <w:pStyle w:val="5"/>
      </w:pPr>
      <w:r>
        <w:t>设备运行日志（模板）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2DCBF2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9D1E3B7">
            <w:pPr>
              <w:jc w:val="center"/>
              <w:rPr>
                <w:b/>
              </w:rPr>
            </w:pPr>
            <w:r>
              <w:rPr>
                <w:b/>
              </w:rPr>
              <w:t>日期</w:t>
            </w:r>
          </w:p>
        </w:tc>
        <w:tc>
          <w:tcPr>
            <w:tcW w:w="0" w:type="auto"/>
            <w:vAlign w:val="center"/>
          </w:tcPr>
          <w:p w14:paraId="6B242168">
            <w:pPr>
              <w:jc w:val="center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0" w:type="auto"/>
            <w:vAlign w:val="center"/>
          </w:tcPr>
          <w:p w14:paraId="5099D2CC">
            <w:pPr>
              <w:jc w:val="center"/>
              <w:rPr>
                <w:b/>
              </w:rPr>
            </w:pPr>
            <w:r>
              <w:rPr>
                <w:b/>
              </w:rPr>
              <w:t>风机电流（A）</w:t>
            </w:r>
          </w:p>
        </w:tc>
        <w:tc>
          <w:tcPr>
            <w:tcW w:w="0" w:type="auto"/>
            <w:vAlign w:val="center"/>
          </w:tcPr>
          <w:p w14:paraId="39CE75A9">
            <w:pPr>
              <w:jc w:val="center"/>
              <w:rPr>
                <w:b/>
              </w:rPr>
            </w:pPr>
            <w:r>
              <w:rPr>
                <w:b/>
              </w:rPr>
              <w:t>系统风压（Pa）</w:t>
            </w:r>
          </w:p>
        </w:tc>
        <w:tc>
          <w:tcPr>
            <w:tcW w:w="0" w:type="auto"/>
            <w:vAlign w:val="center"/>
          </w:tcPr>
          <w:p w14:paraId="0049D0F1">
            <w:pPr>
              <w:jc w:val="center"/>
              <w:rPr>
                <w:b/>
              </w:rPr>
            </w:pPr>
            <w:r>
              <w:rPr>
                <w:b/>
              </w:rPr>
              <w:t>活性炭压差（Pa）</w:t>
            </w:r>
          </w:p>
        </w:tc>
        <w:tc>
          <w:tcPr>
            <w:tcW w:w="0" w:type="auto"/>
            <w:vAlign w:val="center"/>
          </w:tcPr>
          <w:p w14:paraId="7672511F">
            <w:pPr>
              <w:jc w:val="center"/>
              <w:rPr>
                <w:b/>
              </w:rPr>
            </w:pPr>
            <w:r>
              <w:rPr>
                <w:b/>
              </w:rPr>
              <w:t>排放浓度（mg/m³）</w:t>
            </w:r>
          </w:p>
        </w:tc>
        <w:tc>
          <w:tcPr>
            <w:tcW w:w="0" w:type="auto"/>
            <w:vAlign w:val="center"/>
          </w:tcPr>
          <w:p w14:paraId="1193198A">
            <w:pPr>
              <w:jc w:val="center"/>
              <w:rPr>
                <w:b/>
              </w:rPr>
            </w:pPr>
            <w:r>
              <w:rPr>
                <w:b/>
              </w:rPr>
              <w:t>操作人</w:t>
            </w:r>
          </w:p>
        </w:tc>
        <w:tc>
          <w:tcPr>
            <w:tcW w:w="0" w:type="auto"/>
            <w:vAlign w:val="center"/>
          </w:tcPr>
          <w:p w14:paraId="64246146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29E50C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2928027">
            <w:r>
              <w:t>2025-01-01</w:t>
            </w:r>
          </w:p>
        </w:tc>
        <w:tc>
          <w:tcPr>
            <w:tcW w:w="0" w:type="auto"/>
            <w:vAlign w:val="center"/>
          </w:tcPr>
          <w:p w14:paraId="5A706A7F">
            <w:r>
              <w:t>08:00</w:t>
            </w:r>
          </w:p>
        </w:tc>
        <w:tc>
          <w:tcPr>
            <w:tcW w:w="0" w:type="auto"/>
            <w:vAlign w:val="center"/>
          </w:tcPr>
          <w:p w14:paraId="22977B53">
            <w:r>
              <w:t>35.2</w:t>
            </w:r>
          </w:p>
        </w:tc>
        <w:tc>
          <w:tcPr>
            <w:tcW w:w="0" w:type="auto"/>
            <w:vAlign w:val="center"/>
          </w:tcPr>
          <w:p w14:paraId="2E233430">
            <w:r>
              <w:t>-2500</w:t>
            </w:r>
          </w:p>
        </w:tc>
        <w:tc>
          <w:tcPr>
            <w:tcW w:w="0" w:type="auto"/>
            <w:vAlign w:val="center"/>
          </w:tcPr>
          <w:p w14:paraId="73A39202">
            <w:r>
              <w:t>450</w:t>
            </w:r>
          </w:p>
        </w:tc>
        <w:tc>
          <w:tcPr>
            <w:tcW w:w="0" w:type="auto"/>
            <w:vAlign w:val="center"/>
          </w:tcPr>
          <w:p w14:paraId="357E6E93">
            <w:r>
              <w:t>18</w:t>
            </w:r>
          </w:p>
        </w:tc>
        <w:tc>
          <w:tcPr>
            <w:tcW w:w="0" w:type="auto"/>
            <w:vAlign w:val="center"/>
          </w:tcPr>
          <w:p w14:paraId="1431EB80">
            <w:r>
              <w:t>张三</w:t>
            </w:r>
          </w:p>
        </w:tc>
        <w:tc>
          <w:tcPr>
            <w:tcW w:w="0" w:type="auto"/>
            <w:vAlign w:val="center"/>
          </w:tcPr>
          <w:p w14:paraId="7E33FBFC">
            <w:r>
              <w:t>正常运行</w:t>
            </w:r>
          </w:p>
        </w:tc>
      </w:tr>
      <w:tr w14:paraId="4A5BC9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E565949">
            <w:r>
              <w:t>2025-01-01</w:t>
            </w:r>
          </w:p>
        </w:tc>
        <w:tc>
          <w:tcPr>
            <w:tcW w:w="0" w:type="auto"/>
            <w:vAlign w:val="center"/>
          </w:tcPr>
          <w:p w14:paraId="55B661B8">
            <w:r>
              <w:t>16:00</w:t>
            </w:r>
          </w:p>
        </w:tc>
        <w:tc>
          <w:tcPr>
            <w:tcW w:w="0" w:type="auto"/>
            <w:vAlign w:val="center"/>
          </w:tcPr>
          <w:p w14:paraId="3525F659">
            <w:r>
              <w:t>34.8</w:t>
            </w:r>
          </w:p>
        </w:tc>
        <w:tc>
          <w:tcPr>
            <w:tcW w:w="0" w:type="auto"/>
            <w:vAlign w:val="center"/>
          </w:tcPr>
          <w:p w14:paraId="4EA69883">
            <w:r>
              <w:t>-2450</w:t>
            </w:r>
          </w:p>
        </w:tc>
        <w:tc>
          <w:tcPr>
            <w:tcW w:w="0" w:type="auto"/>
            <w:vAlign w:val="center"/>
          </w:tcPr>
          <w:p w14:paraId="42304E82">
            <w:r>
              <w:t>460</w:t>
            </w:r>
          </w:p>
        </w:tc>
        <w:tc>
          <w:tcPr>
            <w:tcW w:w="0" w:type="auto"/>
            <w:vAlign w:val="center"/>
          </w:tcPr>
          <w:p w14:paraId="5B7D20D0">
            <w:r>
              <w:t>20</w:t>
            </w:r>
          </w:p>
        </w:tc>
        <w:tc>
          <w:tcPr>
            <w:tcW w:w="0" w:type="auto"/>
            <w:vAlign w:val="center"/>
          </w:tcPr>
          <w:p w14:paraId="0E9E0512">
            <w:r>
              <w:t>李四</w:t>
            </w:r>
          </w:p>
        </w:tc>
        <w:tc>
          <w:tcPr>
            <w:tcW w:w="0" w:type="auto"/>
            <w:vAlign w:val="center"/>
          </w:tcPr>
          <w:p w14:paraId="3A1F964C">
            <w:r>
              <w:t>正常运行</w:t>
            </w:r>
          </w:p>
        </w:tc>
      </w:tr>
    </w:tbl>
    <w:p w14:paraId="354D3DDE">
      <w:pPr>
        <w:pStyle w:val="5"/>
      </w:pPr>
      <w:r>
        <w:t>定期维护记录表（模板）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508AC5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43375CB">
            <w:pPr>
              <w:jc w:val="center"/>
              <w:rPr>
                <w:b/>
              </w:rPr>
            </w:pPr>
            <w:r>
              <w:rPr>
                <w:b/>
              </w:rPr>
              <w:t>维护项目</w:t>
            </w:r>
          </w:p>
        </w:tc>
        <w:tc>
          <w:tcPr>
            <w:tcW w:w="0" w:type="auto"/>
            <w:vAlign w:val="center"/>
          </w:tcPr>
          <w:p w14:paraId="016B893A">
            <w:pPr>
              <w:jc w:val="center"/>
              <w:rPr>
                <w:b/>
              </w:rPr>
            </w:pPr>
            <w:r>
              <w:rPr>
                <w:b/>
              </w:rPr>
              <w:t>周期</w:t>
            </w:r>
          </w:p>
        </w:tc>
        <w:tc>
          <w:tcPr>
            <w:tcW w:w="0" w:type="auto"/>
            <w:vAlign w:val="center"/>
          </w:tcPr>
          <w:p w14:paraId="041CDA53">
            <w:pPr>
              <w:jc w:val="center"/>
              <w:rPr>
                <w:b/>
              </w:rPr>
            </w:pPr>
            <w:r>
              <w:rPr>
                <w:b/>
              </w:rPr>
              <w:t>标准要求</w:t>
            </w:r>
          </w:p>
        </w:tc>
        <w:tc>
          <w:tcPr>
            <w:tcW w:w="0" w:type="auto"/>
            <w:vAlign w:val="center"/>
          </w:tcPr>
          <w:p w14:paraId="7C2D7BAB">
            <w:pPr>
              <w:jc w:val="center"/>
              <w:rPr>
                <w:b/>
              </w:rPr>
            </w:pPr>
            <w:r>
              <w:rPr>
                <w:b/>
              </w:rPr>
              <w:t>实际检测值</w:t>
            </w:r>
          </w:p>
        </w:tc>
        <w:tc>
          <w:tcPr>
            <w:tcW w:w="0" w:type="auto"/>
            <w:vAlign w:val="center"/>
          </w:tcPr>
          <w:p w14:paraId="4D5869B7">
            <w:pPr>
              <w:jc w:val="center"/>
              <w:rPr>
                <w:b/>
              </w:rPr>
            </w:pPr>
            <w:r>
              <w:rPr>
                <w:b/>
              </w:rPr>
              <w:t>处理措施</w:t>
            </w:r>
          </w:p>
        </w:tc>
        <w:tc>
          <w:tcPr>
            <w:tcW w:w="0" w:type="auto"/>
            <w:vAlign w:val="center"/>
          </w:tcPr>
          <w:p w14:paraId="6CA42FD3">
            <w:pPr>
              <w:jc w:val="center"/>
              <w:rPr>
                <w:b/>
              </w:rPr>
            </w:pPr>
            <w:r>
              <w:rPr>
                <w:b/>
              </w:rPr>
              <w:t>执行人</w:t>
            </w:r>
          </w:p>
        </w:tc>
        <w:tc>
          <w:tcPr>
            <w:tcW w:w="0" w:type="auto"/>
            <w:vAlign w:val="center"/>
          </w:tcPr>
          <w:p w14:paraId="6A27F004">
            <w:pPr>
              <w:jc w:val="center"/>
              <w:rPr>
                <w:b/>
              </w:rPr>
            </w:pPr>
            <w:r>
              <w:rPr>
                <w:b/>
              </w:rPr>
              <w:t>日期</w:t>
            </w:r>
          </w:p>
        </w:tc>
      </w:tr>
      <w:tr w14:paraId="52786B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D97581B">
            <w:r>
              <w:t>风机轴承润滑</w:t>
            </w:r>
          </w:p>
        </w:tc>
        <w:tc>
          <w:tcPr>
            <w:tcW w:w="0" w:type="auto"/>
            <w:vAlign w:val="center"/>
          </w:tcPr>
          <w:p w14:paraId="5728CDA8">
            <w:r>
              <w:t>每周</w:t>
            </w:r>
          </w:p>
        </w:tc>
        <w:tc>
          <w:tcPr>
            <w:tcW w:w="0" w:type="auto"/>
            <w:vAlign w:val="center"/>
          </w:tcPr>
          <w:p w14:paraId="6787C2A1">
            <w:r>
              <w:t>润滑脂加注量1/3轴承腔</w:t>
            </w:r>
          </w:p>
        </w:tc>
        <w:tc>
          <w:tcPr>
            <w:tcW w:w="0" w:type="auto"/>
            <w:vAlign w:val="center"/>
          </w:tcPr>
          <w:p w14:paraId="72B49AE9">
            <w:r>
              <w:t>符合</w:t>
            </w:r>
          </w:p>
        </w:tc>
        <w:tc>
          <w:tcPr>
            <w:tcW w:w="0" w:type="auto"/>
            <w:vAlign w:val="center"/>
          </w:tcPr>
          <w:p w14:paraId="0F0CFBFC">
            <w:r>
              <w:t>加注锂基脂0.5kg</w:t>
            </w:r>
          </w:p>
        </w:tc>
        <w:tc>
          <w:tcPr>
            <w:tcW w:w="0" w:type="auto"/>
            <w:vAlign w:val="center"/>
          </w:tcPr>
          <w:p w14:paraId="0BAB62C9">
            <w:r>
              <w:t>王五</w:t>
            </w:r>
          </w:p>
        </w:tc>
        <w:tc>
          <w:tcPr>
            <w:tcW w:w="0" w:type="auto"/>
            <w:vAlign w:val="center"/>
          </w:tcPr>
          <w:p w14:paraId="785D6450">
            <w:r>
              <w:t>2025-01-05</w:t>
            </w:r>
          </w:p>
        </w:tc>
      </w:tr>
      <w:tr w14:paraId="2F09DE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C0A42F1">
            <w:r>
              <w:t>活性炭吸附效率</w:t>
            </w:r>
          </w:p>
        </w:tc>
        <w:tc>
          <w:tcPr>
            <w:tcW w:w="0" w:type="auto"/>
            <w:vAlign w:val="center"/>
          </w:tcPr>
          <w:p w14:paraId="4C9C53EF">
            <w:r>
              <w:t>每月</w:t>
            </w:r>
          </w:p>
        </w:tc>
        <w:tc>
          <w:tcPr>
            <w:tcW w:w="0" w:type="auto"/>
            <w:vAlign w:val="center"/>
          </w:tcPr>
          <w:p w14:paraId="7B8E8353">
            <w:r>
              <w:t>去除效率≥85%</w:t>
            </w:r>
          </w:p>
        </w:tc>
        <w:tc>
          <w:tcPr>
            <w:tcW w:w="0" w:type="auto"/>
            <w:vAlign w:val="center"/>
          </w:tcPr>
          <w:p w14:paraId="17F9AD7C">
            <w:r>
              <w:t>82%</w:t>
            </w:r>
          </w:p>
        </w:tc>
        <w:tc>
          <w:tcPr>
            <w:tcW w:w="0" w:type="auto"/>
            <w:vAlign w:val="center"/>
          </w:tcPr>
          <w:p w14:paraId="7A32CAE8">
            <w:r>
              <w:t>计划下周更换</w:t>
            </w:r>
          </w:p>
        </w:tc>
        <w:tc>
          <w:tcPr>
            <w:tcW w:w="0" w:type="auto"/>
            <w:vAlign w:val="center"/>
          </w:tcPr>
          <w:p w14:paraId="1EECDB01">
            <w:r>
              <w:t>赵六</w:t>
            </w:r>
          </w:p>
        </w:tc>
        <w:tc>
          <w:tcPr>
            <w:tcW w:w="0" w:type="auto"/>
            <w:vAlign w:val="center"/>
          </w:tcPr>
          <w:p w14:paraId="7F61F92E">
            <w:r>
              <w:t>2025-01-10</w:t>
            </w:r>
          </w:p>
        </w:tc>
      </w:tr>
    </w:tbl>
    <w:p w14:paraId="4601A4FA">
      <w:pPr>
        <w:pStyle w:val="5"/>
      </w:pPr>
      <w:r>
        <w:t>故障诊断报告（模板）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3E03C1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91E1FCE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750464CB">
            <w:pPr>
              <w:jc w:val="center"/>
              <w:rPr>
                <w:b/>
              </w:rPr>
            </w:pPr>
            <w:r>
              <w:rPr>
                <w:b/>
              </w:rPr>
              <w:t>发生时间</w:t>
            </w:r>
          </w:p>
        </w:tc>
        <w:tc>
          <w:tcPr>
            <w:tcW w:w="0" w:type="auto"/>
            <w:vAlign w:val="center"/>
          </w:tcPr>
          <w:p w14:paraId="04B33FF2">
            <w:pPr>
              <w:jc w:val="center"/>
              <w:rPr>
                <w:b/>
              </w:rPr>
            </w:pPr>
            <w:r>
              <w:rPr>
                <w:b/>
              </w:rPr>
              <w:t>可能成因分析</w:t>
            </w:r>
          </w:p>
        </w:tc>
        <w:tc>
          <w:tcPr>
            <w:tcW w:w="0" w:type="auto"/>
            <w:vAlign w:val="center"/>
          </w:tcPr>
          <w:p w14:paraId="1C8B8EA4">
            <w:pPr>
              <w:jc w:val="center"/>
              <w:rPr>
                <w:b/>
              </w:rPr>
            </w:pPr>
            <w:r>
              <w:rPr>
                <w:b/>
              </w:rPr>
              <w:t>诊断方法</w:t>
            </w:r>
          </w:p>
        </w:tc>
        <w:tc>
          <w:tcPr>
            <w:tcW w:w="0" w:type="auto"/>
            <w:vAlign w:val="center"/>
          </w:tcPr>
          <w:p w14:paraId="72B039F5">
            <w:pPr>
              <w:jc w:val="center"/>
              <w:rPr>
                <w:b/>
              </w:rPr>
            </w:pPr>
            <w:r>
              <w:rPr>
                <w:b/>
              </w:rPr>
              <w:t>处理结果</w:t>
            </w:r>
          </w:p>
        </w:tc>
        <w:tc>
          <w:tcPr>
            <w:tcW w:w="0" w:type="auto"/>
            <w:vAlign w:val="center"/>
          </w:tcPr>
          <w:p w14:paraId="50F5D31B">
            <w:pPr>
              <w:jc w:val="center"/>
              <w:rPr>
                <w:b/>
              </w:rPr>
            </w:pPr>
            <w:r>
              <w:rPr>
                <w:b/>
              </w:rPr>
              <w:t>处理人</w:t>
            </w:r>
          </w:p>
        </w:tc>
        <w:tc>
          <w:tcPr>
            <w:tcW w:w="0" w:type="auto"/>
            <w:vAlign w:val="center"/>
          </w:tcPr>
          <w:p w14:paraId="276E2012">
            <w:pPr>
              <w:jc w:val="center"/>
              <w:rPr>
                <w:b/>
              </w:rPr>
            </w:pPr>
            <w:r>
              <w:rPr>
                <w:b/>
              </w:rPr>
              <w:t>日期</w:t>
            </w:r>
          </w:p>
        </w:tc>
      </w:tr>
      <w:tr w14:paraId="51288B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264FDB7">
            <w:r>
              <w:t>风机振动超标</w:t>
            </w:r>
          </w:p>
        </w:tc>
        <w:tc>
          <w:tcPr>
            <w:tcW w:w="0" w:type="auto"/>
            <w:vAlign w:val="center"/>
          </w:tcPr>
          <w:p w14:paraId="575F7A00">
            <w:r>
              <w:t>2025-01-15</w:t>
            </w:r>
          </w:p>
        </w:tc>
        <w:tc>
          <w:tcPr>
            <w:tcW w:w="0" w:type="auto"/>
            <w:vAlign w:val="center"/>
          </w:tcPr>
          <w:p w14:paraId="4E0C25F1">
            <w:r>
              <w:t>叶轮积灰失衡</w:t>
            </w:r>
          </w:p>
        </w:tc>
        <w:tc>
          <w:tcPr>
            <w:tcW w:w="0" w:type="auto"/>
            <w:vAlign w:val="center"/>
          </w:tcPr>
          <w:p w14:paraId="4F904AFE">
            <w:r>
              <w:t>振动频谱分析</w:t>
            </w:r>
          </w:p>
        </w:tc>
        <w:tc>
          <w:tcPr>
            <w:tcW w:w="0" w:type="auto"/>
            <w:vAlign w:val="center"/>
          </w:tcPr>
          <w:p w14:paraId="52FA0692">
            <w:r>
              <w:t>清理叶轮并校准动平衡</w:t>
            </w:r>
          </w:p>
        </w:tc>
        <w:tc>
          <w:tcPr>
            <w:tcW w:w="0" w:type="auto"/>
            <w:vAlign w:val="center"/>
          </w:tcPr>
          <w:p w14:paraId="651E2611">
            <w:r>
              <w:t>钱七</w:t>
            </w:r>
          </w:p>
        </w:tc>
        <w:tc>
          <w:tcPr>
            <w:tcW w:w="0" w:type="auto"/>
            <w:vAlign w:val="center"/>
          </w:tcPr>
          <w:p w14:paraId="3B6B136A">
            <w:r>
              <w:t>2025-01-15</w:t>
            </w:r>
          </w:p>
        </w:tc>
      </w:tr>
      <w:tr w14:paraId="6B9AA3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D24FAC2">
            <w:r>
              <w:t>VOCs排放浓度超标</w:t>
            </w:r>
          </w:p>
        </w:tc>
        <w:tc>
          <w:tcPr>
            <w:tcW w:w="0" w:type="auto"/>
            <w:vAlign w:val="center"/>
          </w:tcPr>
          <w:p w14:paraId="3F760BDB">
            <w:r>
              <w:t>2025-01-20</w:t>
            </w:r>
          </w:p>
        </w:tc>
        <w:tc>
          <w:tcPr>
            <w:tcW w:w="0" w:type="auto"/>
            <w:vAlign w:val="center"/>
          </w:tcPr>
          <w:p w14:paraId="04524DC0">
            <w:r>
              <w:t>活性炭吸附饱和</w:t>
            </w:r>
          </w:p>
        </w:tc>
        <w:tc>
          <w:tcPr>
            <w:tcW w:w="0" w:type="auto"/>
            <w:vAlign w:val="center"/>
          </w:tcPr>
          <w:p w14:paraId="2D288D20">
            <w:r>
              <w:t>气相色谱分析</w:t>
            </w:r>
          </w:p>
        </w:tc>
        <w:tc>
          <w:tcPr>
            <w:tcW w:w="0" w:type="auto"/>
            <w:vAlign w:val="center"/>
          </w:tcPr>
          <w:p w14:paraId="64AA9C0B">
            <w:r>
              <w:t>更换活性炭</w:t>
            </w:r>
          </w:p>
        </w:tc>
        <w:tc>
          <w:tcPr>
            <w:tcW w:w="0" w:type="auto"/>
            <w:vAlign w:val="center"/>
          </w:tcPr>
          <w:p w14:paraId="0A50BD18">
            <w:r>
              <w:t>孙八</w:t>
            </w:r>
          </w:p>
        </w:tc>
        <w:tc>
          <w:tcPr>
            <w:tcW w:w="0" w:type="auto"/>
            <w:vAlign w:val="center"/>
          </w:tcPr>
          <w:p w14:paraId="3F0D2AF4">
            <w:r>
              <w:t>2025-01-20</w:t>
            </w:r>
          </w:p>
        </w:tc>
      </w:tr>
    </w:tbl>
    <w:p w14:paraId="3AA762A5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2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5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6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7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0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1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9"/>
  </w:num>
  <w:num w:numId="2">
    <w:abstractNumId w:val="11"/>
  </w:num>
  <w:num w:numId="3">
    <w:abstractNumId w:val="1"/>
  </w:num>
  <w:num w:numId="4">
    <w:abstractNumId w:val="7"/>
  </w:num>
  <w:num w:numId="5">
    <w:abstractNumId w:val="4"/>
  </w:num>
  <w:num w:numId="6">
    <w:abstractNumId w:val="10"/>
  </w:num>
  <w:num w:numId="7">
    <w:abstractNumId w:val="3"/>
  </w:num>
  <w:num w:numId="8">
    <w:abstractNumId w:val="8"/>
  </w:num>
  <w:num w:numId="9">
    <w:abstractNumId w:val="5"/>
  </w:num>
  <w:num w:numId="10">
    <w:abstractNumId w:val="6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DDD7671"/>
    <w:rsid w:val="7FF6C12C"/>
    <w:rsid w:val="BCB98261"/>
    <w:rsid w:val="DD69BE9B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2025-09-30T00:03:45Z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0EB343F03EBFD43DE1ADDA68619E2FE5_43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