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5A323">
      <w:pPr>
        <w:pStyle w:val="2"/>
      </w:pPr>
    </w:p>
    <w:p w14:paraId="20A8A40D">
      <w:pPr>
        <w:pStyle w:val="2"/>
      </w:pPr>
      <w:r>
        <w:t>干变浇注车间废气处理系统技术手册</w:t>
      </w:r>
    </w:p>
    <w:p w14:paraId="5889285B">
      <w:pPr>
        <w:pStyle w:val="3"/>
      </w:pPr>
      <w:r>
        <w:t>一、系统概述</w:t>
      </w:r>
    </w:p>
    <w:p w14:paraId="04DD86D6">
      <w:pPr>
        <w:pStyle w:val="4"/>
      </w:pPr>
      <w:r>
        <w:t>1.1 系统用途与工作环境</w:t>
      </w:r>
    </w:p>
    <w:p w14:paraId="1CD23B4C">
      <w:r>
        <w:t>干变浇注车间废气处理系统是保障干式变压器浇注工艺环保达标的核心设备，主要用于收集和净化浇注及固化过程中产生的高温废气、粉尘及挥发性有机物（VOCs）。该系统的核心功能包括三个方面：一是通过负压收集装置捕获无组织排放的废气，防止污染物扩散至车间环境；二是通过多级净化工艺去除废气中的颗粒物（如环氧树脂粉尘、金属氧化物）和有机污染物（如非甲烷总烃、TVOC）；三是确保处理后的废气达到国家及地方排放标准，实现合规排放。</w:t>
      </w:r>
    </w:p>
    <w:p w14:paraId="232ACA87">
      <w:r>
        <w:t>系统的典型工作环境具有高温、高湿、多尘的特点。浇注过程中，环氧树脂与固化剂混合反应及高温固化（通常固化温度为100-180℃）会释放大量废气，初始温度可达200-300℃；废气中含有粒径0.1-10μm的粉尘颗粒，浓度通常为500-2000mg/m³；VOCs浓度根据工艺差异波动较大，全封闭浇注工艺下约为100-500mg/m³，开放式工艺可达800-1500mg/m³。处理风量需根据车间规模匹配，小型生产线单台处理风量为5000-15000m³/h，大型连续生产线则需30000-50000m³/h。</w:t>
      </w:r>
    </w:p>
    <w:p w14:paraId="6BA6343A">
      <w:r>
        <w:t>废气成分主要取决于浇注材料配方，以环氧树脂体系为例，主要污染物包括：非甲烷总烃（占VOCs的60-80%）、酯类衍生物（如邻苯二甲酸酯）、醚类化合物（如环氧丙烷衍生物），不含氰化物、氯化氢等剧毒成分，但酸酐类固化剂可能导致有机酸挥发物释放。粉尘成分以环氧树脂固化物颗粒、脱模剂残留粉末为主，密度约1.2-1.5g/cm³，具有一定粘性，易在管道和设备内沉积。</w:t>
      </w:r>
    </w:p>
    <w:p w14:paraId="54DBCAEF">
      <w:pPr>
        <w:pStyle w:val="4"/>
      </w:pPr>
      <w:r>
        <w:t>1.2 设计依据与技术标准</w:t>
      </w:r>
    </w:p>
    <w:p w14:paraId="2B9BF493">
      <w:r>
        <w:t>系统设计严格遵循国家及行业相关法规标准，确保技术合规性与运行可靠性。环境排放标准方面，主要依据《大气污染物综合排放标准》（GB 16297-1996），其中颗粒物排放浓度限值为120mg/m³（15m排气筒），非甲烷总烃排放浓度限值为120mg/m³；对于执行地方标准的区域，需符合《工业企业挥发性有机物排放控制标准》（DB12/524-2020）等要求，VOCs去除效率不低于90%。</w:t>
      </w:r>
    </w:p>
    <w:p w14:paraId="64403029">
      <w:r>
        <w:t>设备设计与安全标准包括：《通风与空调工程施工质量验收规范》（GB 50243-2016），规定通风管道风速、阻力及漏风率（≤10%）；《爆炸危险环境电力装置设计规范》（GB 50058-2014），针对VOCs处理区域划分防爆区域（如催化燃烧装置周围划分为2区）；《袋式除尘器技术要求》（HJ 2020-2012），明确布袋除尘器的过滤风速（0.8-1.2m/min）、清灰压力（0.2-0.6MPa）及滤袋使用寿命（≥12个月）。</w:t>
      </w:r>
    </w:p>
    <w:p w14:paraId="5F78BA81">
      <w:r>
        <w:t>工艺设计参数需满足：废气收集效率≥90%（集气罩控制风速0.5-1.5m/s）；预处理降温效率≥60%（将300℃废气降至80℃以下）；除尘系统总效率≥99%（出口粉尘浓度≤10mg/m³）；有机废气净化系统效率：活性炭吸附法≥90%，催化燃烧法≥97%。系统整体阻力控制在2000-3000Pa，风机全压需匹配管道及设备阻力总和，且保留10-15%余量。</w:t>
      </w:r>
    </w:p>
    <w:p w14:paraId="75FFE8A0">
      <w:pPr>
        <w:pStyle w:val="3"/>
      </w:pPr>
      <w:r>
        <w:t>二、系统结构组成与功能描述</w:t>
      </w:r>
    </w:p>
    <w:p w14:paraId="2454E8E7">
      <w:pPr>
        <w:pStyle w:val="4"/>
      </w:pPr>
      <w:r>
        <w:t>2.1 废气收集系统</w:t>
      </w:r>
    </w:p>
    <w:p w14:paraId="4181BD3E">
      <w:r>
        <w:t>废气收集系统是污染物控制的第一道屏障，由集气罩、通风管道及引风机组成，其设计直接影响后续处理效率。集气罩根据浇注设备布局分为三类：顶吸式集气罩安装于浇注工位正上方，罩口尺寸通常为设备宽度的1.2-1.5倍，采用喇叭形设计以降低局部阻力，适用于开放式浇注工艺；侧吸式集气罩安装于模具侧面，与废气源水平距离≤1.5m，罩口风速需达1.0-1.2m/s，适合半封闭模具；密闭罩则直接与浇注模具集成，通过模具缝隙形成微负压（-50~-100Pa），收集效率可达95%以上，适用于全自动浇注生产线。</w:t>
      </w:r>
    </w:p>
    <w:p w14:paraId="33D7104C">
      <w:r>
        <w:t>通风管道采用分段设计，主管管径根据风量计算确定（D=√(4Q/(πv×3600))，其中Q为风量m³/h，v为风速m/s），风速控制在12-18m/s以防止粉尘沉积。材质选择需考虑高温和腐蚀性：对于温度≤150℃的废气采用玻璃钢管道（耐温等级≤180℃），温度＞150℃时选用304不锈钢管道（壁厚≥1.5mm），弯头曲率半径≥3倍管径以减少涡流。管道支架间距≤3m，横向偏差≤3mm/m，确保气流稳定。</w:t>
      </w:r>
    </w:p>
    <w:p w14:paraId="74A5AB6B">
      <w:r>
        <w:t>引风机为系统提供动力源，选型需满足风量和风压双重要求：风量=集气罩数量×单个罩口风量（根据罩口面积和控制风速计算），风压=管道阻力（沿程阻力+局部阻力）+设备阻力（预处理+除尘+净化）+安全余量（10%）。常用离心式风机（如4-72型），叶轮采用耐磨铸铁材质，电机功率根据轴功率选配（轴功率=Q×P/(3600×1000×η)，η为风机效率，通常取0.7-0.85）。风机进出口安装柔性接头（长度150-200mm）以减震，出口设止回阀防止停机时气流倒灌。</w:t>
      </w:r>
    </w:p>
    <w:p w14:paraId="4DDDDE03">
      <w:pPr>
        <w:pStyle w:val="4"/>
      </w:pPr>
      <w:r>
        <w:t>2.2 预处理装置</w:t>
      </w:r>
    </w:p>
    <w:p w14:paraId="534FDD98">
      <w:r>
        <w:t>预处理装置用于去除废气中的火星、大颗粒粉尘及降低温度，保护后续设备安全运行，主要包括降温系统和火花捕集器。降温系统分两类：喷淋塔采用逆流接触式设计，塔体为PP或玻璃钢材质（直径1.0-3.0m，高度4-6m），内置三层喷淋层（喷嘴数量=处理风量/(单个喷嘴流量×3600)），循环水量按液气比2-5L/m³配置，通过冷却水直接喷淋将300℃废气降至80℃以下，同时去除粒径＞10μm的粉尘（效率约40-60%）；风冷换热器由翅片管管束（材质20#钢或不锈钢）、风机及外壳组成，换热面积根据热负荷计算（A=Q/(K×Δt)，Q为换热量kW，K为传热系数50-80W/(m²·℃)，Δt为对数平均温差），适用于非水溶性废气，降温效率60-70%，无需处理废水但占地面积较大。</w:t>
      </w:r>
    </w:p>
    <w:p w14:paraId="43C33536">
      <w:r>
        <w:t>火花捕集器安装于引风机出口或降温系统后，防止浇注过程中可能夹带的火星（如金属飞溅物）引燃后续活性炭。其结构为圆柱形壳体（直径比管道大1.5倍），内部设三层拦截网：第一层为5mm孔径金属格栅，第二层为波纹板迷宫（间距10mm），第三层为陶瓷纤维毡（厚度50mm），总捕集效率≥99%。壳体设检修门（尺寸≥400×400mm），便于定期清理截留的火星残留物，进出口设差压计（量程0-500Pa），当压差＞200Pa时提示堵塞需清理。</w:t>
      </w:r>
    </w:p>
    <w:p w14:paraId="495208B3">
      <w:pPr>
        <w:pStyle w:val="4"/>
      </w:pPr>
      <w:r>
        <w:t>2.3 除尘系统</w:t>
      </w:r>
    </w:p>
    <w:p w14:paraId="1E539F3D">
      <w:r>
        <w:t>除尘系统采用“旋风除尘器+布袋除尘器”的二级组合工艺，确保粉尘去除效率≥99.5%。旋风除尘器为一级除尘，主体为倒锥形筒体（直径0.8-2.0m，锥角15-20°），含尘气体以12-20m/s的速度从切线进口进入，在离心力作用下（F=mv²/r，m为颗粒质量，v为旋转速度，r为旋转半径），粒径5-10μm的颗粒被甩向筒壁并沿壁面滑落至灰斗，分离效率70-85%。设备阻力800-1200Pa，进口设导流板（倾角15°）以优化流场，灰斗下设星形卸灰阀（转速5-10r/min），防止漏风（漏风率≤5%）。</w:t>
      </w:r>
    </w:p>
    <w:p w14:paraId="288BADBD">
      <w:r>
        <w:t>布袋除尘器为二级除尘，壳体采用Q235钢板焊接（厚度≥6mm），内部分为3-6个独立仓室（便于离线清灰），滤袋数量根据过滤面积计算（过滤面积A=Q/(60×v)，v为过滤风速，取0.8-1.2m/min）。滤袋选用PPS针刺毡（耐温≤190℃，瞬间200℃）或玻纤毡（耐温≤260℃），直径130-160mm，长度2-6m，袋口采用弹簧涨圈式密封（漏风率≤1%），袋笼为碳钢镀锌（纵筋数量12-16根，间距≤150mm）。清灰系统采用脉冲喷吹方式，喷吹压力0.4-0.6MPa，脉冲宽度0.1-0.2s，清灰周期根据压差自动控制（设定压差1200-1500Pa，或定时控制10-30min）。灰斗设电加热装置（功率2kW/m²）防止粉尘受潮结块，料位计（阻旋式或射频导纳式）控制卸灰，确保灰斗料位不超过1/2。</w:t>
      </w:r>
    </w:p>
    <w:p w14:paraId="03F345C1">
      <w:pPr>
        <w:pStyle w:val="4"/>
      </w:pPr>
      <w:r>
        <w:t>2.4 有机废气处理单元</w:t>
      </w:r>
    </w:p>
    <w:p w14:paraId="631FDE5D">
      <w:r>
        <w:t>有机废气处理单元针对VOCs净化，根据浓度分为活性炭吸附装置和催化燃烧装置（RCO）。活性炭吸附装置由2-4个吸附塔（直径1.0-2.5m，高度4-8m）组成，塔内填充蜂窝状活性炭（碘值800-1200mg/g，比表面积800-1500m²/g，填充高度1.0-1.5m），床层风速0.5-0.8m/s。吸附流程为：废气经前置过滤器（5μm精度）去除残余粉尘后进入吸附塔，有机物被活性炭微孔吸附（吸附容量5-15%wt），净化后气体排放（出口浓度≤50mg/m³）。当活性炭吸附饱和（出口浓度达进口浓度的10-15%），切换至备用塔，饱和塔启动脱附：通入120-180℃热氮气（流量为处理风量的10-15%），将有机物解析为高浓度废气（浓度1000-5000mg/m³），送催化燃烧装置处理。</w:t>
      </w:r>
    </w:p>
    <w:p w14:paraId="0A980EA7">
      <w:r>
        <w:t>催化燃烧装置（RCO）由预热室、催化床、换热器及燃烧室组成，处理风量3000-15000m³/h。预热室采用电加热管（功率15-60kW）将废气从常温加热至250℃（催化剂起燃温度）；催化床填充蜂窝陶瓷催化剂（Pt或Pd负载量0.1-0.3%，比表面积200-300m²/g，空速10000-20000h⁻¹），有机物在250-400℃下氧化为CO₂和H₂O（反应式：CₙHₘ+(n+m/4)O₂→nCO₂+m/2H₂O+Q），净化效率≥97%；换热器为板式或列管式（材质304不锈钢），回收燃烧热量（热效率＞90%），降低预热能耗。燃烧室设火焰探测器和防爆膜（爆破压力0.15MPa），当VOCs浓度超过25%LEL时，自动开启新风稀释阀。</w:t>
      </w:r>
    </w:p>
    <w:p w14:paraId="0534185A">
      <w:pPr>
        <w:pStyle w:val="4"/>
      </w:pPr>
      <w:r>
        <w:t>2.5 控制系统与辅助设备</w:t>
      </w:r>
    </w:p>
    <w:p w14:paraId="2A0813F8">
      <w:r>
        <w:t>控制系统采用PLC（可编程逻辑控制器）为核心，实现全系统自动化运行，主要由硬件层和软件层组成。硬件包括：西门子S7-300/400 PLC（CPU 315-2PN/DP或更高配置）、模拟量输入模块（AI 8×13bit，采集温度、压力、浓度信号）、数字量输入/输出模块（DI 32×24VDC/DO 16×24VDC，控制阀门、风机启停）、人机界面（HMI，10寸触摸屏）及传感器（温度传感器：PT100，精度±1℃；压力变送器：量程-1000~5000Pa，精度±0.5%FS；VOCs检测仪：PID原理，量程0-2000mg/m³，精度±5%FS）。</w:t>
      </w:r>
    </w:p>
    <w:p w14:paraId="27E9C68D">
      <w:r>
        <w:t>软件逻辑采用模块化设计，包括：废气收集模块（控制风机频率与集气罩负压，通过PID调节风机转速使负压稳定在-80~-120Pa）；预处理模块（喷淋塔液位控制（±50mm）、循环泵启停、风冷风机变频调节）；除尘模块（布袋除尘器清灰控制（压差或定时）、卸灰阀联锁）；净化模块（活性炭吸附/脱附切换、催化燃烧温度控制（±10℃）、换热器热量回收调节）。系统具备自动/手动切换功能，手动模式下可通过HMI单独操作各设备。</w:t>
      </w:r>
    </w:p>
    <w:p w14:paraId="638BED0D">
      <w:r>
        <w:t>辅助设备包括：活性炭脱附系统（热氮气发生器：功率15-30kW，氮气纯度≥99.9%，流量50-200m³/h）、脱硫脱硝装置（如采用湿法脱硫，碱液箱有效容积5-10m³，NaOH浓度5-10%，加药泵流量0.5-2m³/h）、排气筒（高度≥15m，出口直径0.5-1.0m，出口风速10-15m/s，设采样平台（直径≥1.2m）和在线监测孔（符合HJ 75-2017要求））。此外，系统还配备消防设施（活性炭吸附区设七氟丙烷灭火装置，设计浓度8-10%）、应急排放阀（口径与主管相同，电动执行器响应时间＜5s）及隔声罩（风机噪声降至≤85dB(A)）。</w:t>
      </w:r>
    </w:p>
    <w:p w14:paraId="6BB0D71C">
      <w:pPr>
        <w:pStyle w:val="3"/>
      </w:pPr>
      <w:r>
        <w:t>三、机械工作原理</w:t>
      </w:r>
    </w:p>
    <w:p w14:paraId="44ED9506">
      <w:pPr>
        <w:pStyle w:val="4"/>
      </w:pPr>
      <w:r>
        <w:t>3.1 废气流动与收集机理</w:t>
      </w:r>
    </w:p>
    <w:p w14:paraId="3BF75F2B">
      <w:r>
        <w:t>废气收集系统的核心是通过风机产生的负压梯度驱动气体流动，实现污染物的定向迁移。集气罩内气体流动遵循流体连续性方程（ρ₁v₁A₁=ρ₂v₂A₂，低速流动时ρ≈常数，简化为v₁A₁=v₂A₂）和伯努利方程（p+1/2ρv²+ρgh=常数）。当风机运行时，在集气罩入口形成负压（p₁＜p₀，p₀为大气压力），外部空气（含污染物）在压差Δp=p₀-p₁作用下流入罩内，控制风速v（罩口平均风速）需满足v≥v_c（临界捕集风速，根据污染物扩散速度确定，通常取0.5-1.5m/s），以克服污染物的扩散和车间气流干扰。</w:t>
      </w:r>
    </w:p>
    <w:p w14:paraId="29DE6D6B">
      <w:r>
        <w:t>管道内气体流动为黏性流体流动，阻力损失包括沿程阻力（λ×L/D×ρv²/2，λ为沿程阻力系数，与雷诺数Re和管道粗糙度k有关，Re=ρvD/μ，μ为动力黏度）和局部阻力（ζ×ρv²/2，ζ为局部阻力系数，如弯头ζ=0.1-1.8，三通ζ=1.0-3.0）。为降低阻力，管道设计需遵循：管径渐变率≤1:5，避免突然扩大/缩小；气流转弯时曲率半径≥3D；分支管与主管夹角≤45°。风机选型时，全压P需等于系统总阻力ΔP（沿程阻力+局部阻力+设备阻力），并考虑10%安全余量，即P=1.1×ΔP。</w:t>
      </w:r>
    </w:p>
    <w:p w14:paraId="4AEEF3F5">
      <w:r>
        <w:t>气体流动的稳定性直接影响收集效率。当管道内风速分布不均（如存在涡流、回流）时，会导致局部区域风速低于临界值，形成“死区”，造成粉尘沉积。通过在管道内设置导流叶片（如90°弯头内设4片导流叶，间距D/5）可改善流场，使风速不均匀度控制在±15%以内。此外，系统需避免并联支管阻力失衡，可通过在支管设置调节阀（如蝶阀，调节范围0-90°）实现风量分配，确保各集气罩风量偏差≤10%。</w:t>
      </w:r>
    </w:p>
    <w:p w14:paraId="33407A14">
      <w:pPr>
        <w:pStyle w:val="4"/>
      </w:pPr>
      <w:r>
        <w:t>3.2 热量传递与降温过程</w:t>
      </w:r>
    </w:p>
    <w:p w14:paraId="631E96B8">
      <w:r>
        <w:t>废气降温过程基于热传递三种基本方式：热传导、对流和热辐射，实际降温设备中以对流换热为主。喷淋塔的降温原理是气液直接接触换热，高温废气（T_g1）与常温喷淋水（T_w1）在塔内混合，废气向水传递热量（Q=α_g×A×(T_gm-T_wm)，α_g为气相传热系数，A为接触面积，T_gm、T_wm分别为气液平均温度），使废气温度降至T_g2=T_g1-Q/(m_g×c_pg)（m_g为废气质量流量，c_pg为废气比热容，约1.0-1.1kJ/(kg·℃)），水温度升至T_w2=T_w1+Q/(m_w×c_pw)（m_w为水流量，c_pw=4.186kJ/(kg·℃)）。喷淋塔的降温效率η=(T_g1-T_g2)/(T_g1-T_w1)，通常为60-85%，受液气比影响显著（液气比从1L/m³增至5L/m³时，η可提高20-30%）。</w:t>
      </w:r>
    </w:p>
    <w:p w14:paraId="666E6BC1">
      <w:r>
        <w:t>风冷换热器的热量传递为间壁式换热，高温废气在翅片管内流动，空气在管外强制对流（由风机驱动），通过金属壁面（热传导Q=λ×A×(T_w1-T_w2)/δ，λ为金属导热系数，δ为壁厚）实现热量传递。总传热系数K=1/(1/α_i+δ/λ+1/α_o×η_f)（α_i为管内对流传热系数，α_o为管外对流传热系数，η_f为翅片效率，通常取0.8-0.95），对于空气-烟气换热，K值约为50-80W/(m²·℃)。换热面积A=Q/(K×Δt_m)，Δt_m为对数平均温差（Δt_m=(Δt1-Δt2)/ln(Δt1/Δt2)，Δt1=T_g1-T_a2，Δt2=T_g2-T_a1，T_a1、T_a2为空气进/出口温度）。为提高换热效率，翅片管采用螺旋翅片（翅片高度10-15mm，间距2-4mm），管外空气流速控制在8-12m/s以减薄边界层。</w:t>
      </w:r>
    </w:p>
    <w:p w14:paraId="6AAF9B82">
      <w:r>
        <w:t>降温方式的选择需根据废气特性：当废气含可溶性污染物（如酸雾、部分VOCs）时，优先选用喷淋塔，可同时实现降温与吸收；当废气为非水溶性（如烷烃类VOCs）或需避免废水处理时，选用风冷换热器。两种方式的性能对比：喷淋塔降温效率高（80-90%）、成本低，但需处理含盐废水（TDS 5000-10000mg/L）；风冷换热器无废水、维护简单，但降温效率较低（60-70%）、能耗高（风机功率占系统总功率的15-25%）。实际应用中，可采用“风冷+喷淋”串联工艺，先通过风冷将300℃废气降至180℃，再经喷淋降至80℃，兼顾效率与经济性。</w:t>
      </w:r>
    </w:p>
    <w:p w14:paraId="5B5266CC">
      <w:pPr>
        <w:pStyle w:val="4"/>
      </w:pPr>
      <w:r>
        <w:t>3.3 除尘分离原理</w:t>
      </w:r>
    </w:p>
    <w:p w14:paraId="2CAF2FE7">
      <w:r>
        <w:t>除尘系统的分离机理基于颗粒与气体的物理性质差异，通过外力（离心力、惯性力、截留力等）实现分离。旋风除尘器的核心是离心分离，含尘气体以切线方向进入筒体后做旋转运动，颗粒在离心加速度a=vθ²/r（vθ为切向速度，r为旋转半径）作用下产生离心力F=ma，向筒壁运动。颗粒的分离效率与临界粒径d_c相关，d_c=√(18μv_r B/(πNρ_p vθ²))（μ为气体黏度，v_r为径向速度，B为进口宽度，N为旋转圈数，ρ_p为颗粒密度），对于标准旋风除尘器，N≈5-8，d_c通常为5-10μm，即粒径＞d_c的颗粒可被分离，分离效率随粒径增大而提高（粒径10μm时η≈85%，20μm时η≈95%）。</w:t>
      </w:r>
    </w:p>
    <w:p w14:paraId="4269C9B3">
      <w:r>
        <w:t>布袋除尘器的分离依靠滤料对颗粒的拦截、惯性碰撞、扩散和静电吸附等综合作用。拦截效应：当颗粒直径d_p大于滤料孔隙直径d时，颗粒被直接截留；惯性碰撞：气流绕过滤料纤维时，颗粒因惯性偏离流线与纤维碰撞；扩散效应：微小颗粒（d_p＜1μm）在气体分子热运动作用下做布朗运动，与纤维接触；静电吸附：滤料与颗粒带电时（如树脂粉尘带负电，涤纶滤料带正电），产生静电引力。滤料的过滤效率η=1-exp(-k×δ)（k为过滤常数，δ为滤料厚度），新滤料η≈80-90%，形成粉尘层后η＞99.5%，此时过滤阻力ΔP=ΔP0+ΔPp（ΔP0为清洁滤料阻力，ΔPp为粉尘层阻力，ΔPp=α×μ×v×m，α为粉尘层比阻力，m为粉尘负荷kg/m²）。</w:t>
      </w:r>
    </w:p>
    <w:p w14:paraId="21B03712">
      <w:r>
        <w:t>滤袋清灰是维持布袋除尘器性能的关键，常用脉冲喷吹清灰：通过电磁阀控制压缩空气（压力0.2-0.6MPa）瞬间喷入滤袋，使滤袋急剧膨胀、振动，将粉尘层脱落。清灰周期t根据阻力设定，当ΔP达到1200-1500Pa时启动清灰，t=过滤面积×m/(粉尘质量流量)，通常为5-30min。清灰效果取决于喷吹压力P（P越大，清灰越彻底，但滤袋磨损加剧）、喷吹时间t（0.1-0.2s）和喷吹间隔（同仓室滤袋喷吹间隔≥0.5s，避免气流干扰）。滤料材质需根据废气温度选择：常温（＜120℃）用涤纶针刺毡，中温（120-190℃）用PPS针刺毡，高温（190-260℃）用玻纤毡，同时需考虑耐化学腐蚀性（如含酸废气选用耐酸滤料）。</w:t>
      </w:r>
    </w:p>
    <w:p w14:paraId="38C10856">
      <w:pPr>
        <w:pStyle w:val="4"/>
      </w:pPr>
      <w:r>
        <w:t>3.4 有机污染物净化原理</w:t>
      </w:r>
    </w:p>
    <w:p w14:paraId="0FDB42EB">
      <w:r>
        <w:t>有机废气净化基于物理吸附和催化氧化两种原理，分别适用于低浓度和中高浓度VOCs。活性炭吸附的核心是物理吸附，活性炭具有大量微孔（孔径＜2nm）和中孔（2-50nm），比表面积500-1700m²/g，通过分子间范德华力将有机物分子吸附于孔内。吸附量常用吸附等温线描述，Langmuir等温线：q=q_m K p/(1+K p)（q为吸附量kg/kg，q_m为饱和吸附量，K为吸附常数，p为有机物分压），q_m与活性炭碘值正相关（碘值800mg/g对应q_m≈0.1kg/kg，1200mg/g对应q_m≈0.15kg/kg）。吸附过程受温度和湿度影响：温度升高，吸附量下降（每升高10℃，q_m降低5-10%）；湿度＞70%时，水汽与有机物竞争吸附位点，导致q_m降低20-30%。</w:t>
      </w:r>
    </w:p>
    <w:p w14:paraId="7D813270">
      <w:r>
        <w:t>活性炭脱附再生是将饱和吸附的有机物解析出来，常用热氮气脱附：在120-180℃热氮气作用下，有机物分子热运动加剧，脱离吸附位点进入气相。脱附效率与温度、时间和氮气流量相关：温度越高，脱附越彻底（180℃时脱附率＞95%），但需低于活性炭着火点（椰壳炭着火点≈400℃）；脱附时间通常为8-12h（根据吸附量计算，脱附速率=q_m×m_c×η/t，m_c为活性炭质量）；氮气流量按气固比（氮气流量/活性炭体积）50-100h⁻¹控制，确保热传递均匀。脱附产生的高浓度废气（VOCs浓度1000-5000mg/m³）需进入催化燃烧装置处理，避免二次污染。</w:t>
      </w:r>
    </w:p>
    <w:p w14:paraId="248EE9CE">
      <w:r>
        <w:t>催化燃烧的净化原理是在催化剂作用下，有机物在低温（250-400℃）下发生完全氧化反应。催化剂通常为贵金属（Pt、Pd）负载在蜂窝陶瓷载体上（载体比表面积200-300m²/g，贵金属负载量0.1-0.3%），其作用是降低反应活化能E（无催化剂时E≈200-300kJ/mol，有催化剂时E≈80-120kJ/mol），使反应在低温下自发进行（ΔG＜0）。反应动力学遵循Arrhenius方程：r=k0 exp(-E/(RT))×Cⁿ（k0为指前因子，R为气体常数，T为温度，C为VOCs浓度，n为反应级数，通常n=1）。催化燃烧效率η=(C_in-C_out)/C_in×100%，当催化剂活性良好（转化率＞95%）、温度控制在300-350℃时，η可达97%以上。催化剂失活是主要问题，中毒（硫、磷化合物吸附活性位点）、烧结（高温导致贵金属颗粒长大）和积碳（有机物不完全燃烧）均可导致活性下降，需定期更换（寿命通常2-3年）。</w:t>
      </w:r>
    </w:p>
    <w:p w14:paraId="227DC126">
      <w:pPr>
        <w:pStyle w:val="3"/>
      </w:pPr>
      <w:r>
        <w:t>四、控制系统原理与操作</w:t>
      </w:r>
    </w:p>
    <w:p w14:paraId="314C1732">
      <w:pPr>
        <w:pStyle w:val="4"/>
      </w:pPr>
      <w:r>
        <w:t>4.1 PLC控制架构</w:t>
      </w:r>
    </w:p>
    <w:p w14:paraId="431BC4C6">
      <w:r>
        <w:t>系统控制系统以PLC为核心，采用“分布式控制+集中监控”架构，实现对废气处理全流程的自动化管理。硬件架构分为三层：现场设备层（传感器、执行器）、控制层（PLC控制器）和监控层（HMI、上位机）。现场设备层包括：温度传感器（PT100，测量范围-50~400℃，输出4-20mA）、压力变送器（测量范围-1000~5000Pa，4-20mA）、VOCs检测仪（PID原理，0-2000mg/m³，4-20mA）、液位开关（浮球式，输出24VDC开关量）、电动调节阀（调节范围0-90°，输入4-20mA，输出4-20mA反馈）、变频风机（输入0-10V速度给定，输出故障报警干接点）。</w:t>
      </w:r>
    </w:p>
    <w:p w14:paraId="623CB9FE">
      <w:r>
        <w:t>控制层采用西门子S7-300 PLC，配置如下：CPU模块（315-2PN/DP，带PROFINET和PROFIBUS-DP接口）、电源模块（PS 307 2A，输出24VDC）、数字量输入模块（SM 321，16点DC 24V，用于接收按钮、限位开关信号）、数字量输出模块（SM 322，16点DC 24V/2A，控制电磁阀、指示灯）、模拟量输入模块（SM 331，8通道，13位精度，采集温度、压力、浓度信号）、模拟量输出模块（SM 332，4通道，12位精度，控制阀门开度、变频器频率）。PLC通过PROFIBUS-DP总线（传输速率1.5Mbps，最大传输距离1000m）与远程I/O站（如ET 200M）通信，实现分散设备的集中控制；通过PROFINET接口与HMI和上位机通信（传输速率100Mbps），支持数据交换和远程监控。</w:t>
      </w:r>
    </w:p>
    <w:p w14:paraId="3B5A5F70">
      <w:r>
        <w:t>软件架构采用模块化编程，包括主程序（OB1）和功能块（FB/FC）。主程序负责初始化和模块调度，按扫描周期（通常100ms）依次调用各功能块；功能块按工艺单元划分：FB10（废气收集控制）、FB20（预处理控制）、FB30（除尘控制）、FB40（净化控制）、FB50（安全联锁）。每个功能块包含输入参数（设定值、状态信号）、输出参数（控制信号、报警信号）和内部变量（中间计算值），通过背景数据块（DB）存储数据。程序逻辑采用梯形图（LAD）和结构化文本（ST）混合编程：开关量控制（如设备启停）用LAD，逻辑清晰；模拟量控制（如PID调节）用ST，运算高效。</w:t>
      </w:r>
    </w:p>
    <w:p w14:paraId="2BF3AAD2">
      <w:r>
        <w:t>PLC的工作过程遵循“输入采样-程序执行-输出刷新”三阶段循环。输入采样阶段：PLC读取所有输入端子的当前状态，存入输入映像寄存器；程序执行阶段：根据用户程序（OB1及调用的FB/FC），从输入映像寄存器和其他存储区读取数据，进行逻辑运算和算术运算，结果存入输出映像寄存器；输出刷新阶段：将输出映像寄存器的内容写入输出端子，驱动执行器。扫描周期T_scan由程序长度和指令执行速度决定，对于本系统，T_scan通常为50-200ms，确保对工艺参数的实时响应（如VOCs浓度波动的调节滞后时间＜1s）。</w:t>
      </w:r>
    </w:p>
    <w:p w14:paraId="72907362">
      <w:pPr>
        <w:pStyle w:val="4"/>
      </w:pPr>
      <w:r>
        <w:t>4.2 参数监测与自动调节</w:t>
      </w:r>
    </w:p>
    <w:p w14:paraId="56A5F705">
      <w:r>
        <w:t>系统需实时监测的关键参数包括：废气处理量（Q，m³/h）、各单元进出口温度（T_in/T_out，℃）、压力（P_in/P_out，Pa）、VOCs浓度（C，mg/m³）、粉尘浓度（C_d，mg/m³）、液位（L，m）及设备运行状态（运行/停止、故障）。参数监测点布置遵循：温度测点安装在气流稳定段（距离弯头、阀门≥5D），插入深度≥管道直径的1/3；压力测点采用角接取压（测量差压时）或法兰取压（测量静压时）；VOCs检测仪采样探头安装在管道中心，采样流量0.5-1L/min，伴热温度120℃（防止冷凝）。传感器信号通过屏蔽电缆（单端接地）传输至PLC模拟量输入模块，经A/D转换（分辨率13位，转换误差±0.1%）后变为数字量（如4-20mA对应0-2000mg/m³，转换为数字量0-27648）。</w:t>
      </w:r>
    </w:p>
    <w:p w14:paraId="02BE3BCD">
      <w:r>
        <w:t>自动调节采用闭环控制策略，核心是PID（比例-积分-微分）控制算法。以风机风量调节为例，控制目标是将集气罩负压稳定在设定值（-100Pa），测量值为压力变送器反馈的实际负压P_act，偏差e=P_set-P_act。PID控制器根据e计算输出控制量u=Kp(e+1/Ti∫edt+Td de/dt)（Kp为比例系数，Ti为积分时间，Td为微分时间），u经D/A转换后控制变频器频率（0-50Hz对应0-100%风量）。PID参数通过工程整定法确定：先设Ti=∞、Td=0，增大Kp至系统出现等幅振荡，记此时Kp=Kcr、振荡周期Tcr，再按Ziegler-Nichols公式设置：Kp=0.6Kcr，Ti=0.5Tcr，Td=0.125Tcr。调试时需优化参数，使系统响应速度快（上升时间＜5s）、超调量小（＜10%）、无稳态误差（静差＜±5Pa）。</w:t>
      </w:r>
    </w:p>
    <w:p w14:paraId="419BAB45">
      <w:r>
        <w:t>针对非线性、大滞后系统（如催化燃烧温度控制），采用模糊PID控制。模糊控制将专家经验转化为模糊规则（如“若温度偏差正大且变化率正小，则输出控制量负大”），通过模糊化（将精确量e、de/dt转换为模糊量，如“负大NB、负小NS、零ZO、正小PS、正大PB”）、模糊推理（根据规则库计算模糊输出）、解模糊（将模糊输出转换为精确量ΔKp、ΔTi、ΔTd），实现PID参数的在线自整定。某项目应用表明，模糊PID控制可将催化燃烧温度波动从±30℃降至±5℃，提高了有机物氧化效率。</w:t>
      </w:r>
    </w:p>
    <w:p w14:paraId="58FC66E3">
      <w:r>
        <w:t>多变量协调控制用于处理参数间的耦合关系。例如，活性炭吸附塔切换时，需同步调节进口阀门（关闭饱和塔、打开备用塔）和风机频率（维持系统总风量稳定），通过前馈控制（根据阀门开度变化提前调节风机频率）和交叉限幅（限制阀门开度变化率≤10%/s），避免风量剧烈波动（波动幅度控制在±5%以内）。此外，系统具备自适应能力，如根据废气浓度C的变化自动调整活性炭脱附周期（C升高时缩短脱附周期），或根据粉尘浓度C_d调整布袋除尘器清灰频率（C_d升高时增加清灰次数）。</w:t>
      </w:r>
    </w:p>
    <w:p w14:paraId="1183533A">
      <w:pPr>
        <w:pStyle w:val="4"/>
      </w:pPr>
      <w:r>
        <w:t>4.3 安全联锁与保护系统</w:t>
      </w:r>
    </w:p>
    <w:p w14:paraId="6F1B8BCD">
      <w:r>
        <w:t>系统安全联锁基于“故障分级、逐级响应”原则，构建三级防护机制，防止设备损坏和安全事故。一级防护（工艺参数越限预警）：当监测参数超出正常范围但未达危险值时，触发预警（如VOCs浓度＞800mg/m³但＜1000mg/m³，发出声光报警，提示操作员检查）；二级防护（设备异常联锁）：当参数达危险值或设备故障时，启动局部联锁（如风机轴承温度＞80℃，自动降低负荷至50%并持续监测，若温度继续升高则停机）；三级防护（紧急停车保护）：当发生重大险情时（如催化燃烧炉温度＞600℃、VOCs浓度＞25%LEL、火灾报警），立即触发系统紧急停车（关闭废气进气阀、切断所有设备电源、启动氮气灭火装置）。</w:t>
      </w:r>
    </w:p>
    <w:p w14:paraId="4A6E2BF1">
      <w:r>
        <w:t>关键安全联锁逻辑包括：</w:t>
      </w:r>
    </w:p>
    <w:p w14:paraId="1226149B">
      <w:pPr>
        <w:numPr>
          <w:ilvl w:val="0"/>
          <w:numId w:val="13"/>
        </w:numPr>
        <w:spacing w:before="0" w:beforeAutospacing="1" w:after="0" w:afterAutospacing="1"/>
        <w:ind w:left="720" w:hanging="360"/>
      </w:pPr>
      <w:r>
        <w:t>火花捕集器联锁：当进出口压差＞200Pa（堵塞）或检测到火星信号时，立即关闭上游风机，打开旁通阀，同时启动消防喷淋（持续30s）。</w:t>
      </w:r>
    </w:p>
    <w:p w14:paraId="12AB9A1C">
      <w:pPr>
        <w:numPr>
          <w:ilvl w:val="0"/>
          <w:numId w:val="13"/>
        </w:numPr>
        <w:spacing w:before="0" w:beforeAutospacing="1" w:after="0" w:afterAutospacing="1"/>
        <w:ind w:left="720" w:hanging="360"/>
      </w:pPr>
      <w:r>
        <w:t>催化燃烧炉联锁：点火前需满足“风机运行、燃气压力正常（0.05-0.1MPa）、炉膛温度＜200℃”；运行中若“温度＞600℃”或“熄火信号触发”，立即切断燃气供应，打开新风阀和排气阀，通入氮气吹扫（流量500m³/h，吹扫时间5min）。</w:t>
      </w:r>
    </w:p>
    <w:p w14:paraId="4DF3D214">
      <w:pPr>
        <w:numPr>
          <w:ilvl w:val="0"/>
          <w:numId w:val="13"/>
        </w:numPr>
        <w:spacing w:before="0" w:beforeAutospacing="1" w:after="0" w:afterAutospacing="1"/>
        <w:ind w:left="720" w:hanging="360"/>
      </w:pPr>
      <w:r>
        <w:t>活性炭吸附塔联锁：当吸附塔阻力＞2000Pa或出口VOCs浓度＞100mg/m³时，自动切换至备用塔；脱附时若“氮气温度＞200℃”或“循环风机故障”，立即停止加热，打开冷却风阀。</w:t>
      </w:r>
    </w:p>
    <w:p w14:paraId="7A915E74">
      <w:pPr>
        <w:numPr>
          <w:ilvl w:val="0"/>
          <w:numId w:val="13"/>
        </w:numPr>
        <w:spacing w:before="0" w:beforeAutospacing="1" w:after="0" w:afterAutospacing="1"/>
        <w:ind w:left="720" w:hanging="360"/>
      </w:pPr>
      <w:r>
        <w:t>紧急停车联锁：按下任意紧急停车按钮（ESB）或PLC检测到“火灾信号（火焰探测器动作）”“有毒气体泄漏（CO浓度＞50ppm）”，系统执行紧急停车程序：①关闭废气进气蝶阀（全关时间＜10s）；②依次停止催化燃烧炉、脱附风机、主风机（间隔10s，防止气流冲击）；③打开应急排放阀（口径DN200）；④启动消防系统（七氟丙烷灭火装置，喷射时间10s）。</w:t>
      </w:r>
    </w:p>
    <w:p w14:paraId="3BA63D23">
      <w:r>
        <w:t>安全联锁信号采用“双通道”设计，重要传感器（如VOCs检测仪、温度变送器）设置冗余（2台），当2台传感器测量值偏差＞10%时，触发传感器故障报警；关键执行器（如紧急切断阀）采用“失电关”设计，确保断电时处于安全状态（关闭）。联锁逻辑通过PLC程序（如OB35定时中断，周期100ms）实时监控，响应时间＜500ms，确保险情发生时能迅速处置。</w:t>
      </w:r>
    </w:p>
    <w:p w14:paraId="4AC36D37">
      <w:pPr>
        <w:pStyle w:val="4"/>
      </w:pPr>
      <w:r>
        <w:t>4.4 人机交互与操作界面</w:t>
      </w:r>
    </w:p>
    <w:p w14:paraId="60DD2F1E">
      <w:r>
        <w:t>人机交互系统包括本地操作箱和上位监控系统，实现对设备的手动/自动控制及运行状态监控。本地操作箱（安装于设备附近）设有：设备启停按钮（带灯，绿色运行、红色停止）、手动/自动切换开关、急停按钮（红色蘑菇头，常闭触点）及指示灯（电源、运行、故障）。手动模式下，操作员可通过按钮直接控制单台设备（如启动/停止风机、打开/关闭阀门）；自动模式下，控制权移交PLC，设备按程序逻辑运行。</w:t>
      </w:r>
    </w:p>
    <w:p w14:paraId="5E05F293">
      <w:r>
        <w:t>上位监控系统基于WinCC组态软件（或Intouch、组态王）开发，安装于控制室工控机（配置：i5处理器、8GB内存、500GB硬盘、22寸触摸屏），通过PROFINET与PLC通信（数据刷新周期1s）。监控界面采用分层设计：一级界面（主画面）显示系统工艺流程总图，动态指示设备运行状态（如风机旋转动画、阀门开度指示）和关键参数（温度、压力、浓度实时值及趋势曲线）；二级界面（分系统画面）包括废气收集、预处理、除尘、净化等子系统详细参数，可查看单台设备的实时数据和历史曲线（时间范围：1h、8h、24h、7d）；三级界面（参数设置画面）用于修改PID设定值、报警阈值、定时参数（需输入密码，操作员权限可修改常规参数，管理员权限可修改关键参数）；四级界面（报警与事件画面）显示实时报警（按优先级排序：紧急＞重要＞一般）和历史事件记录（包括设备启停、参数修改、故障发生时间及处理结果）。</w:t>
      </w:r>
    </w:p>
    <w:p w14:paraId="3168E0AA">
      <w:r>
        <w:t>操作界面的核心功能包括：数据显示（以数字、棒图、趋势曲线等形式呈现，如VOCs浓度趋势曲线采用红色实线，设定值为绿色虚线）；参数设置（点击“设定”按钮弹出输入框，输入新值后需确认，系统自动记录修改人、修改时间）；报警管理（实时报警以声光提示，在界面顶部滚动显示，点击报警信息可跳转到对应设备画面，报警确认后声音停止，报警未处理时每30s提醒一次）；报表生成（自动生成班报、日报、月报，内容包括处理风量、污染物去除率、能耗等，支持Excel导出和打印）；用户管理（设置多级权限：操作员（查看、常规操作）、技术员（参数修改、报表管理）、管理员（系统配置、用户管理），防止误操作）。</w:t>
      </w:r>
    </w:p>
    <w:p w14:paraId="21DF256F">
      <w:r>
        <w:t>为方便工程师维护，界面还设有“诊断模式”，可显示PLC各I/O模块状态（输入/输出点通断）、通信状态（PROFIBUS-DP总线负载率、设备在线状态）及故障代码（如E001：风机过载，E002：温度传感器断线）。通过诊断模式，维护人员可快速定位故障点，缩短故障处理时间（平均故障诊断时间＜10min）。</w:t>
      </w:r>
    </w:p>
    <w:p w14:paraId="2CF0A114">
      <w:pPr>
        <w:pStyle w:val="3"/>
      </w:pPr>
      <w:r>
        <w:t>五、系统操作流程</w:t>
      </w:r>
    </w:p>
    <w:p w14:paraId="03D907BA">
      <w:pPr>
        <w:pStyle w:val="4"/>
      </w:pPr>
      <w:r>
        <w:t>5.1 开机前检查与准备</w:t>
      </w:r>
    </w:p>
    <w:p w14:paraId="5B18E368">
      <w:r>
        <w:t>系统开机前需进行全面检查，确保设备处于完好状态，满足启动条件。检查内容包括：设备状态检查、工艺参数确认、安全条件验证。</w:t>
      </w:r>
    </w:p>
    <w:p w14:paraId="69541C88">
      <w:r>
        <w:t>设备状态检查按区域进行：废气收集系统检查集气罩是否完好（无破损、变形），伸缩罩升降是否灵活（限位开关正常），管道法兰连接是否紧密（无松动、漏风），风机叶轮有无异物（通过检修门观察），皮带松紧度是否合适（按压皮带，下沉量10-15mm为宜），电机接地线是否牢固；预处理系统检查喷淋塔液位是否在正常范围（1.5-2.0m，通过液位计观察），循环泵进口阀门是否全开，喷嘴有无堵塞（手动旋转喷嘴，应灵活无卡涩），风冷换热器翅片有无积灰（用压缩空气吹扫），火花捕集器滤网是否清洁（无火星残留物）；除尘系统检查布袋除尘器滤袋是否安装正确（涨圈密封到位，无破损、脱落），灰斗电加热是否完好（通电后表面温度50-80℃），卸灰阀电机运转是否正常（无异响），脉冲阀气管连接是否牢固（无漏气）；净化系统检查活性炭吸附塔活性炭填充量是否充足（床层高度1.0-1.5m，通过观察孔确认），脱附风机与管道连接是否密封，催化燃烧炉催化剂是否完好（无碎裂、积碳），燃气管道压力是否正常（0.08-0.1MPa，通过压力表观察），点火器电极间距是否合适（3-5mm，用塞尺测量）。</w:t>
      </w:r>
    </w:p>
    <w:p w14:paraId="25B29E89">
      <w:r>
        <w:t>工艺参数确认需根据当日生产计划设定：废气处理量按最大浇注产能的120%配置（如计划浇注5台变压器，单台废气量1000m³/h，系统处理量设为6000m³/h）；集气罩负压设定值-80~-120Pa；喷淋塔循环水pH值8-10（若为酸性废气，提前加入NaOH溶液调节）；布袋除尘器清灰压差设定1200-1500Pa；活性炭吸附塔脱附启动阈值（出口VOCs浓度＞80mg/m³）；催化燃烧炉设定温度300-350℃。参数设定通过上位机“参数设置画面”完成，修改后需记录在《系统运行参数记录表》中。</w:t>
      </w:r>
    </w:p>
    <w:p w14:paraId="3D4BBAFF">
      <w:r>
        <w:t>安全条件验证包括：消防系统（七氟丙烷灭火装置压力正常，压力表指示在绿色区域；消防栓水压≥0.3MPa）；应急设备（紧急停车按钮功能正常，按下后系统应立即切断控制电源；备用电源（UPS）电量≥90%，切换时间＜10ms）；气体检测（车间环境VOCs浓度＜20mg/m³，用便携式检测仪检测；燃气泄漏检测（催化燃烧炉周围，浓度＜0.5%LEL）；人员防护（操作岗位配备防毒面具（P-A-1型）、护目镜、耐高温手套，数量满足当班人数）。所有检查项目需填写《开机前检查确认表》，由操作工和班长签字确认，检查不合格项需整改合格后方可开机。</w:t>
      </w:r>
    </w:p>
    <w:p w14:paraId="49AE5F6B">
      <w:pPr>
        <w:pStyle w:val="4"/>
      </w:pPr>
      <w:r>
        <w:t>5.2 系统启动与运行监控</w:t>
      </w:r>
    </w:p>
    <w:p w14:paraId="7B6759BA">
      <w:r>
        <w:t>系统启动需按工艺流程顺序进行，避免设备过载和工艺参数波动，启动过程分为：辅助系统启动→预处理系统启动→主体处理系统启动→废气导入。</w:t>
      </w:r>
    </w:p>
    <w:p w14:paraId="48443105">
      <w:r>
        <w:t>辅助系统启动首先开启控制电源（PLC柜总开关，指示灯亮），启动上位机监控系统（登录操作员账户，进入主画面），检查PLC与各设备通信是否正常（所有设备图标显示为“离线”）。启动循环水系统：开启喷淋塔补水阀，将液位补至2.0m后关闭，启动循环泵（按下“循环泵启动”按钮，电流应≤额定值80%，无异响），调节回流阀使喷淋压力稳定在0.2-0.3MPa；启动压缩空气系统：开启空压机（设定压力0.6-0.8MPa），打开储气罐出口阀，检查各气动阀门气源压力（0.4-0.6MPa）；启动加热系统（若环境温度＜5℃）：开启灰斗电加热、管道伴热，设定温度50℃，待温度达到后保持。</w:t>
      </w:r>
    </w:p>
    <w:p w14:paraId="4A21F5F9">
      <w:r>
        <w:t>预处理系统启动顺序：启动风冷换热器风机（若采用风冷降温），调节变频器频率至50%，观察出口温度（应逐步下降）；启动火花捕集器（无需单独启动，随系统气流运行）；若采用喷淋降温，启动喷淋泵（确认循环水pH值8-10），观察喷淋塔压差（正常0-500Pa）。预处理系统启动后运行5min，待参数稳定（降温后废气温度＜80℃，火花捕集器压差＜100Pa）。</w:t>
      </w:r>
    </w:p>
    <w:p w14:paraId="5B3446DB">
      <w:r>
        <w:t>主体处理系统启动按“先除尘后净化，先备用后主用”原则：启动布袋除尘器（选择“自动”模式，清灰系统投入运行，设定清灰压差1500Pa）；启动活性炭吸附塔（选择“主塔”运行，打开进口阀和出口阀，关闭旁通阀）；若采用催化燃烧，启动催化燃烧装置：先开启引风机（小风量运行，频率20Hz），吹扫炉膛5min（置换可燃性气体），然后开启燃气阀（小火点燃，燃气压力0.02MPa），逐步升高温度（升温速率5-10℃/min），当温度达到250℃时，投入催化剂，继续升温至300℃，稳定后保持。</w:t>
      </w:r>
    </w:p>
    <w:p w14:paraId="49DAC75C">
      <w:r>
        <w:t>废气导入是系统启动的最后步骤：确认预处理、除尘、净化系统均正常运行后，启动引风机（按下“风机启动”按钮，变频器频率从0逐渐升至设定值，时间30-60s，避免电流冲击），同时打开废气进口总阀（电动蝶阀，开度从0%缓慢增至100%，时间60s）。废气导入后，密切监控系统参数：集气罩负压（应稳定在-80~-120Pa，偏差＞±20Pa时调节风机频率）；布袋除尘器压差（启动初期因滤袋干净，压差＜500Pa，随粉尘层形成逐渐升高，2h内应达到800-1000Pa）；VOCs浓度（进口浓度通常100-500mg/m³，出口应＜50mg/m³）；催化燃烧炉温度（进口温度＜80℃，燃烧室温度300-350℃，温差＜50℃）。</w:t>
      </w:r>
    </w:p>
    <w:p w14:paraId="0AF69D75">
      <w:r>
        <w:t>运行监控采用“定时巡检+实时监控”相结合：操作工每小时巡检一次，记录《运行参数记录表》（内容包括：处理风量、各单元进出口温度/压力、VOCs浓度、电流、液位等）；中控室通过上位机实时监控参数趋势，当参数超限时（如VOCs出口浓度＞50mg/m³），系统自动发出报警，操作工需立即检查原因并处理（如切换活性炭吸附塔）。运行中需注意：避免突然增加废气量（如同时启动多台浇注设备），应逐步增加负荷（每次增加≤20%）；禁止在活性炭吸附塔未投运时导入高浓度VOCs废气；催化燃烧炉升温过程中，严禁通入含VOCs废气（需纯空气升温）。</w:t>
      </w:r>
    </w:p>
    <w:p w14:paraId="73584FDF">
      <w:pPr>
        <w:pStyle w:val="4"/>
      </w:pPr>
      <w:r>
        <w:t>5.3 正常停机与关机后维护</w:t>
      </w:r>
    </w:p>
    <w:p w14:paraId="516C5896">
      <w:r>
        <w:t>系统正常停机需在生产结束、无废气产生后进行，按“逐步降负荷→停止废气导入→关闭主体设备→辅助系统停机”的顺序操作，确保设备安全和系统清洁。</w:t>
      </w:r>
    </w:p>
    <w:p w14:paraId="01A52813">
      <w:r>
        <w:t>停机前准备：提前30min通知生产车间停止浇注作业，确认废气源已切断；在上位机“趋势画面”查看各参数（如VOCs浓度应＜10mg/m³，粉尘浓度＜5mg/m³）；准备停机工具（扳手、抹布、记录表）。</w:t>
      </w:r>
    </w:p>
    <w:p w14:paraId="092A164E">
      <w:r>
        <w:t>停机步骤：逐步降低引风机负荷（每5min降低10%频率，直至20Hz），同时关闭废气进口总阀（开度从100%降至0%，时间30s）；停止催化燃烧装置：关闭燃气阀，保持引风机运行吹扫炉膛10min（将残留有机物燃烧完全），待温度降至200℃以下，停止燃烧炉风机；停止活性炭吸附塔：若处于吸附状态，保持运行至出口VOCs浓度＜5mg/m³后关闭进出口阀，若处于脱附状态，完成当前脱附周期后停止脱附风机和加热；停止布袋除尘器：启动“强制清灰”程序（连续清灰3个周期），清灰完成后停止卸灰阀，关闭灰斗电加热；停止预处理系统：停止喷淋泵（若采用喷淋降温），关闭循环水系统，若环境温度＜0℃，需打开排污阀排空管道积水（防止冻裂），停止风冷换热器风机；停止引风机（待系统内废气排空后，约5min），关闭变频器电源；关闭辅助系统：停止空压机，关闭压缩空气总阀，释放储气罐压力；关闭控制电源（PLC柜总开关），关闭上位机。</w:t>
      </w:r>
    </w:p>
    <w:p w14:paraId="639EA447">
      <w:r>
        <w:t>关机后维护包括设备检查、清洁和记录：废气收集系统检查集气罩内壁有无积尘（用抹布擦拭干净），管道检修门密封是否完好（更换老化密封条），风机叶轮有无油污（用中性洗涤剂清洗）；预处理系统清洗喷淋塔（打开人孔，用高压水枪冲洗塔壁和喷嘴，去除水垢和沉积物），清理火花捕集器滤网（取出滤网，用压缩空气吹扫，顽固污渍用酒精擦拭）；除尘系统检查滤袋状况（有无破损、糊袋，破损滤袋立即更换，糊袋用清水冲洗后晾干），清理灰斗积灰（打开卸灰阀，用吸尘器吸净残留灰尘），检查脉冲阀膜片（有无裂纹，若有则更换）；净化系统检查活性炭吸附塔床层（有无塌陷、结块，若有则平整活性炭），测量活性炭碘值（若＜800mg/g则需补充新炭），检查催化燃烧炉催化剂（有无积碳，用压缩空气吹扫表面浮灰）；控制系统检查传感器探头（清洁VOCs检测仪采样头，校准温度传感器），紧固电气接线端子（防止松动）。</w:t>
      </w:r>
    </w:p>
    <w:p w14:paraId="56231F0F">
      <w:r>
        <w:t>关机后需填写《系统停机维护记录表》，内容包括：停机时间、停机原因、维护项目、发现问题及处理结果、下次维护建议。记录表由操作工填写，班长审核后存档（保存期1年）。</w:t>
      </w:r>
    </w:p>
    <w:p w14:paraId="2CBB6437">
      <w:pPr>
        <w:pStyle w:val="4"/>
      </w:pPr>
      <w:r>
        <w:t>5.4 应急操作与故障处理</w:t>
      </w:r>
    </w:p>
    <w:p w14:paraId="27F4BDD5">
      <w:r>
        <w:t>系统运行过程中可能发生突发故障（如设备骤停、参数超标、安全报警），需按应急操作流程迅速处置，防止事故扩大。应急操作分为：设备故障应急、工艺异常应急、安全事故应急。</w:t>
      </w:r>
    </w:p>
    <w:p w14:paraId="2AD125B2">
      <w:r>
        <w:t>设备故障应急针对单台设备故障，如风机骤停（现象：电流突降为0，集气罩负压变为正压），处理步骤：立即按下“紧急停机”按钮，关闭废气进口阀；启动备用风机（若有），调节风量至正常范围，若无备用风机，通知生产车间停止浇注作业；检查故障风机：测量电机绕组绝缘（应＞0.5MΩ），检查轴承温度（有无过热），检查电源线路（有无缺相、短路），若为电机过载，检查是否因叶轮卡涩（清除异物）或皮带过紧（调整皮带松紧度），排除故障后重启风机。</w:t>
      </w:r>
    </w:p>
    <w:p w14:paraId="3579CF08">
      <w:r>
        <w:t>工艺异常应急如VOCs浓度超标（现象：出口浓度＞120mg/m³，报警灯闪烁），处理步骤：立即切换至备用吸附塔，关闭故障塔进出口阀；分析超标原因：若进口浓度突升（检查生产工艺是否变更，如更换树脂配方），通知车间调整工艺参数，若吸附效率下降（检查活性炭是否饱和，碘值＜800mg/m³时更换），若催化燃烧炉温度不足（检查燃气压力是否正常，催化剂是否失活）；临时措施：打开新风稀释阀，降低废气浓度，若持续超标，启动应急排放（需向环保部门报备）。</w:t>
      </w:r>
    </w:p>
    <w:p w14:paraId="5A19272A">
      <w:r>
        <w:t>安全事故应急包括火灾、有毒气体泄漏、人员受伤等，火灾应急步骤：立即按下最近的紧急停车按钮，启动消防系统（七氟丙烷灭火装置）；拨打内部火警电话（通知消防控制室），组织人员疏散（沿安全通道撤离至集合点）；使用灭火器扑救初期火灾（针对电气火灾用干粉灭火器，油类火灾用泡沫灭火器），禁止用水扑救电气火灾；消防队到达后，配合灭火，提供系统图纸和危险品信息。</w:t>
      </w:r>
    </w:p>
    <w:p w14:paraId="370378FB">
      <w:r>
        <w:t>应急操作需遵循“安全第一”原则：严禁在未切断电源时触摸带电设备；进入受限空间（如塔、罐）需办理“受限空间作业许可证”，进行通风和气体检测（O2≥19.5%，可燃气体＜0.5%LEL，有毒气体＜职业接触限值）；高空作业（＞2m）需系安全带，搭设脚手架或使用高空作业车；处理酸碱物质时需佩戴防化服和护目镜。</w:t>
      </w:r>
    </w:p>
    <w:p w14:paraId="75326A4B">
      <w:r>
        <w:t>应急处理完成后，需填写《应急事件处理报告》，内容包括：事件发生时间、现象、处理过程、原因分析、整改措施、预防方案，报告需在24h内提交给设备管理部门和安全部门。</w:t>
      </w:r>
    </w:p>
    <w:p w14:paraId="210F39FC">
      <w:pPr>
        <w:pStyle w:val="3"/>
      </w:pPr>
      <w:r>
        <w:t>六、常见故障诊断与维修对策</w:t>
      </w:r>
    </w:p>
    <w:p w14:paraId="0AC1F48B">
      <w:pPr>
        <w:pStyle w:val="4"/>
      </w:pPr>
      <w:r>
        <w:t>6.1 废气收集系统故障</w:t>
      </w:r>
    </w:p>
    <w:p w14:paraId="0E789FAC">
      <w:r>
        <w:t>废气收集系统常见故障包括风机异常、管道堵塞、集气罩效率下降，直接影响废气捕集效果，需及时诊断和处理。</w:t>
      </w:r>
    </w:p>
    <w:p w14:paraId="56513B32">
      <w:r>
        <w:t>风机异常表现为：电流升高（超过额定值10%）、风量下降（实测风量＜设计值80%）、异响（轴承部位或叶轮发出异常声音）、振动超标（轴承座振动速度＞4.5mm/s）。成因分析：电流升高可能因叶轮积尘（导致动平衡失调，增加负载）、电机轴承缺油（摩擦阻力增大）、电源电压偏低（电流=功率/(√3×电压×功率因数)，电压降低电流升高）；风量下降可能因管道堵塞（风速降低，风量Q=v×A）、风机皮带打滑（传动效率下降）、进口过滤器堵塞（进气阻力增大）；异响可能因叶轮与机壳摩擦（安装时同心度偏差＞0.1mm）、轴承磨损（滚珠间隙＞0.2mm）、叶轮螺栓松动（叶片振动）；振动超标可能因叶轮动平衡破坏（不平衡量＞5g·mm）、基础不牢固（地脚螺栓松动，振动加速度＞10m/s²）、轴承损坏（内圈或外圈裂纹）。</w:t>
      </w:r>
    </w:p>
    <w:p w14:paraId="7B8F8187">
      <w:r>
        <w:t>诊断方法：电流异常用钳形电流表测量三相电流，若不平衡度＞5%，可能为电机缺相或绕组故障；风量下降通过毕托管测量管道风速，计算实际风量并与设计值对比；异响通过听诊器判断声源位置（轴承部位异响多为轴承问题，叶轮部位异响多为摩擦或异物）；振动超标用振动分析仪测量轴承座振动速度（水平、垂直、轴向三个方向），频谱分析若1倍频成分占比＞70%，为不平衡故障，2倍频成分占比高为不对中故障。</w:t>
      </w:r>
    </w:p>
    <w:p w14:paraId="4126A8C8">
      <w:r>
        <w:t>维修对策：叶轮积尘清理（拆卸风机外壳，用高压水枪冲洗叶轮，晾干后进行动平衡校正，残余不平衡量≤3g·mm）；轴承更换（选用同型号轴承（如6308ZZ），加热至80-100℃后热套，轴承游隙0.02-0.05mm）；皮带调整（松开电机底座螺栓，移动电机使皮带张紧度适中，按压皮带下沉量10-15mm，重新紧固螺栓）；叶轮动平衡校正（在动平衡机上进行，在叶轮偏重侧钻孔或配重，直至振动速度＜4.5mm/s）；基础加固（紧固地脚螺栓，加装防振垫（厚度10-20mm，硬度50 Shore A））。</w:t>
      </w:r>
    </w:p>
    <w:p w14:paraId="295BA0BD">
      <w:r>
        <w:t>管道堵塞表现为：局部风速骤降（＜10m/s）、管道压差增大（超过设计值1.5倍）、粉尘从检修门溢出。成因：废气含尘浓度过高（超过设计值2倍），导致粉尘在管道底部沉积；管道风速设计不合理（＜12m/s），粉尘重力大于气流携带力；管道弯头曲率半径过小（＜3D），形成涡流区积尘；阀门故障（如蝶阀卡涩在半开位置，导致局部风速降低）。诊断方法：用皮托管沿管道截面测量风速分布，风速＜10m/s的区域即为堵塞段；通过内窥镜检查管道内部积尘情况（沉积厚度＞50mm需清理）；测量管道进出口压差，若ΔP＞3000Pa，判断为严重堵塞。</w:t>
      </w:r>
    </w:p>
    <w:p w14:paraId="36820840">
      <w:r>
        <w:t>维修对策：高压空气吹扫（从堵塞段下游检修门通入0.6MPa压缩空气，逆向吹扫积尘）；机械清理（打开堵塞段检修门，用长杆毛刷或吸尘器清理沉积物）；管道改造（对风速＜12m/s的管段，通过变径提高风速，或增设导流板改善流场）；阀门维修（拆卸蝶阀，清理阀板积尘，更换磨损的阀座和密封圈，校准阀门定位器，确保开度与指令一致）。</w:t>
      </w:r>
    </w:p>
    <w:p w14:paraId="34E2B0A6">
      <w:pPr>
        <w:pStyle w:val="4"/>
      </w:pPr>
      <w:r>
        <w:t>6.2 预处理与除尘系统故障</w:t>
      </w:r>
    </w:p>
    <w:p w14:paraId="3C7C06B9">
      <w:r>
        <w:t>预处理系统常见故障为喷淋塔喷嘴堵塞、降温效率下降，除尘系统常见故障为布袋除尘器滤袋堵塞、清灰效果差，直接影响后续净化单元安全和效率。</w:t>
      </w:r>
    </w:p>
    <w:p w14:paraId="06CE8D9D">
      <w:r>
        <w:t>喷淋塔喷嘴堵塞表现为：喷淋压力骤升（超过0.4MPa）、雾化效果变差（出口粉尘浓度升高＞20mg/m³）、塔内气流分布不均（局部出现“白烟”）。成因：循环水水质差（硬度＞500mg/L，钙镁离子结晶）；废气含粘性粉尘（如树脂粉末），附着在喷嘴内壁；喷嘴选型不当（孔径＜1.5mm易堵塞）；过滤器失效（滤网目数＜80目，杂质进入喷嘴）。诊断方法：打开喷淋层检查喷嘴，观察是否有结晶或异物堵塞；拆卸喷嘴，用清水冲洗，若通畅则为暂时性堵塞；测量循环水硬度和悬浮物浓度（SS＞100mg/L易堵塞）。</w:t>
      </w:r>
    </w:p>
    <w:p w14:paraId="26D644DC">
      <w:r>
        <w:t>维修对策：喷嘴清洗（用草酸溶液（浓度5-10%）浸泡堵塞喷嘴2-4h，去除水垢，用压缩空气反向吹扫）；更换喷嘴（选用大孔径喷嘴（孔径2-3mm），材质为不锈钢或陶瓷，耐磨损）；循环水预处理（增设石英砂过滤器（过滤精度5μm）和软化装置（降低硬度至＜300mg/L））；定期排污（每天排放5-10%循环水，补充新鲜水）。</w:t>
      </w:r>
    </w:p>
    <w:p w14:paraId="19973871">
      <w:r>
        <w:t>降温效率下降表现为：降温后废气温度＞80℃（设计要求＜80℃），后续设备入口温度超标报警。成因：喷淋塔循环水量不足（液气比＜2L/m³）；喷嘴雾化不良（喷淋密度不均）；冷却水温过高（＞35℃，换热温差小）；风冷换热器翅片积灰（传热系数K下降＞30%）。诊断方法：测量循环水流量（用电磁流量计），与设计值对比；检查喷嘴喷雾状态（应呈伞形，覆盖均匀）；测量冷却水进口温度和出口温度，计算换热量Q=cmΔt，判断是否满足热负荷需求；检查风冷换热器翅片清洁度（用红外热像仪观察，温度分布不均表明积灰）。</w:t>
      </w:r>
    </w:p>
    <w:p w14:paraId="0BE70CD0">
      <w:r>
        <w:t>维修对策：增加循环水量（调节水泵出口阀门，提高液气比至3-5L/m³）；更换损坏喷嘴（确保雾化角60-90°，流量均匀）；降低冷却水温（开启冷却塔风机，或补充低温地下水）；清洗翅片（用高压水枪（压力0.8-1.0MPa）配合专用翅片清洗剂冲洗，去除油污和积灰）。</w:t>
      </w:r>
    </w:p>
    <w:p w14:paraId="72B70037">
      <w:r>
        <w:t>布袋除尘器滤袋堵塞表现为：压差＞2000Pa（设计值1200-1500Pa），风量下降＞20%，出口粉尘浓度升高。成因：滤袋糊袋（废气湿度＞80%，粉尘黏结在滤袋表面）；清灰压力不足（＜0.2MPa，清灰效果差）；清灰周期过长（定时清灰间隔＞30min）；滤袋老化（材质耐温不够，出现硬化收缩）。诊断方法：检查压差变送器读数，若持续升高且清灰后无明显下降，为滤袋堵塞；打开除尘器仓室，观察滤袋表面是否有黏结粉尘层；测量清灰压缩空气压力和喷吹时间。</w:t>
      </w:r>
    </w:p>
    <w:p w14:paraId="76679C5D">
      <w:r>
        <w:t>维修对策：滤袋清洗（对于糊袋滤袋，用清水冲洗（水温＜60℃），晾干后使用，若清洗后阻力仍高则更换）；调整清灰参数（提高清灰压力至0.4-0.6MPa，缩短清灰周期至10-15min，增加喷吹时间至0.15-0.2s）；控制废气湿度（预处理增加脱水装置，将湿度降至＜70%）；更换老化滤袋（选用耐温、耐湿滤料，如PPS+PTFE覆膜滤袋）。</w:t>
      </w:r>
    </w:p>
    <w:p w14:paraId="5949D2D2">
      <w:pPr>
        <w:pStyle w:val="4"/>
      </w:pPr>
      <w:r>
        <w:t>6.3 有机处理单元故障</w:t>
      </w:r>
    </w:p>
    <w:p w14:paraId="5F8AC603">
      <w:r>
        <w:t>有机处理单元常见故障包括活性炭吸附效率下降、催化燃烧炉温度异常，导致VOCs排放超标。</w:t>
      </w:r>
    </w:p>
    <w:p w14:paraId="75BB7313">
      <w:r>
        <w:t>活性炭吸附效率下降表现为：出口VOCs浓度＞50mg/m³（设计＜50mg/m³），吸附塔阻力异常（升高或降低）。成因：活性炭饱和（吸附量达到饱和吸附量的90%）；活性炭碘值下降（＜800mg/g，吸附能力降低）；废气湿度＞70%，水汽占据吸附位点；废气中含有高沸点VOCs（如增塑剂），导致活性炭“中毒"；吸附塔漏气（进出口阀门密封不良，短路气流）。诊断方法：测量活性炭碘值（用碘吸附值测定法，取活性炭样品送第三方检测）；分析废气成分（用气相色谱-质谱联用仪（GC-MS）检测是否有高沸点有机物）；检查吸附塔进出口浓度差，若差＜50%，判断为效率下降；肥皂水检漏法检查阀门和法兰连接处是否漏气。</w:t>
      </w:r>
    </w:p>
    <w:p w14:paraId="63CB928E">
      <w:r>
        <w:t>维修对策：活性炭再生或更换（饱和活性炭送入专业厂家进行热再生（600-800℃惰性气体保护），再生后碘值恢复至＞1000mg/g，或直接更换新活性炭（椰壳活性炭，碘值1000-1200mg/g））；脱水预处理（在吸附塔前增设除湿装置（如冷冻干燥机，露点温度＜10℃））；更换中毒活性炭（若吸附高沸点有机物且无法再生，需整体更换）；修复漏气点（更换阀门密封垫片（选用氟橡胶材质），紧固法兰螺栓（对角均匀拧紧））。</w:t>
      </w:r>
    </w:p>
    <w:p w14:paraId="6691394A">
      <w:r>
        <w:t>催化燃烧炉温度异常表现为：升温困难（无法达到250℃起燃温度）、温度波动大（±50℃以上）、局部超温（＞450℃）。成因：燃气供应不足（压力＜0.05MPa）；催化剂失活（活性组分Pt/Pd含量＜0.1%）；废气浓度波动大（VOCs浓度＜1000mg/m³，无法维持自热）；换热器堵塞（积碳或粉尘堵塞通道，热效率＜80%）；热电偶故障（温度测量偏差＞10℃）。诊断方法：检查燃气压力表，若压力低，检查减压阀和燃气管道是否堵塞；取样分析催化剂活性（测定转化率，＜90%为失活）；用VOCs检测仪连续监测进口浓度，观察波动幅度；测量换热器进出口温差，若＜100℃，判断为堵塞；用标准温度计对比热电偶读数，判断是否故障。</w:t>
      </w:r>
    </w:p>
    <w:p w14:paraId="6574A25A">
      <w:r>
        <w:t>维修对策：调整燃气供应（更换燃气减压阀，确保压力稳定在0.08-0.1MPa）；更换催化剂（选用蜂窝陶瓷催化剂，Pt/Pd负载量0.2%，空速15000h⁻¹）；增设缓冲罐（容积V=Q×t/3600，t为缓冲时间，取5-10min）稳定废气浓度；清洗换热器（用高压水枪冲洗或化学清洗（硝酸溶液5%）去除积碳）；更换热电偶（选用K型热电偶，分度号匹配，插入深度≥150mm）。</w:t>
      </w:r>
    </w:p>
    <w:p w14:paraId="68B4307D">
      <w:pPr>
        <w:pStyle w:val="4"/>
      </w:pPr>
      <w:r>
        <w:t>6.4 控制系统与辅助设备故障</w:t>
      </w:r>
    </w:p>
    <w:p w14:paraId="515737C0">
      <w:r>
        <w:t>控制系统故障包括传感器漂移、PLC通信异常，辅助设备故障包括电动阀门卡涩、仪表显示不准，影响系统自动化运行。</w:t>
      </w:r>
    </w:p>
    <w:p w14:paraId="065227BE">
      <w:r>
        <w:t>传感器漂移表现为：测量值与实际值偏差＞10%（如实际温度80℃，显示90℃），无规律性波动。成因：传感器老化（使用时间＞1年，零点漂移）；接线松动或接触不良；电磁干扰（附近有强电设备，信号电缆未屏蔽）；校准过期（超过6个月未校准）。诊断方法：用标准信号发生器（如4-20mA信号源）输入标准信号，观察PLC显示值，若偏差＞1%，为传感器或模块故障；检查接线端子，用万用表测量回路电阻，若＞10Ω，为接触不良；将传感器信号线远离强电电缆（间距＞300mm），观察波动是否减小；用标准气体或恒温槽校准传感器（如VOCs检测仪用50ppm丙烷标准气校准）。</w:t>
      </w:r>
    </w:p>
    <w:p w14:paraId="1B3591A5">
      <w:r>
        <w:t>维修对策：传感器校准（用标准设备进行零点和量程校准，如温度传感器在0℃和100℃两点校准，误差≤±0.5℃）；紧固接线（用螺丝刀拧紧接线端子，确保接触电阻＜1Ω）；信号电缆屏蔽（更换为双绞屏蔽电缆，单端接地（控制室侧））；更换老化传感器（使用时间＞2年的传感器建议更换，选用同型号、高精度传感器（精度±0.5%FS））。</w:t>
      </w:r>
    </w:p>
    <w:p w14:paraId="031FE6FF">
      <w:r>
        <w:t>电动阀门卡涩表现为：阀门不动作或动作缓慢（全开/全关时间＞30s），开度反馈与实际位置偏差＞5%。成因：阀杆生锈或积尘（未定期润滑）；齿轮箱缺油或齿轮磨损；电机故障（过载保护动作，或绕组烧毁）；定位器参数设置错误（比例带、积分时间不合适）。诊断方法：手动操作阀门（摇动手轮），若阻力大，为机械卡涩；检查电机绕组绝缘（＜0.5MΩ为短路或接地）；用手操器连接定位器，发送指令观察是否动作，若不动作，为定位器故障。</w:t>
      </w:r>
    </w:p>
    <w:p w14:paraId="0F53AD35">
      <w:r>
        <w:t>维修对策：阀杆润滑（拆卸阀门，用砂纸打磨锈迹，涂抹高温润滑脂（如二硫化钼润滑脂，耐温-40~300℃））；齿轮箱维护（补充齿轮油（型号ISO VG32），更换磨损齿轮）；电机维修（更换过载保护器（设定电流为额定值1.2倍），烧毁绕组需重绕或更换电机）；定位器重新调试（用手操器设置参数：比例带5-10%，积分时间0.5-1s，确保阶跃响应无超调）。</w:t>
      </w:r>
    </w:p>
    <w:p w14:paraId="43F3BCD1">
      <w:pPr>
        <w:pStyle w:val="3"/>
      </w:pPr>
      <w:r>
        <w:t>七、预防性维护与保养</w:t>
      </w:r>
    </w:p>
    <w:p w14:paraId="1ABA283D">
      <w:pPr>
        <w:pStyle w:val="4"/>
      </w:pPr>
      <w:r>
        <w:t>7.1 周期性检查计划</w:t>
      </w:r>
    </w:p>
    <w:p w14:paraId="3D157E2D">
      <w:r>
        <w:t>预防性维护的核心是通过周期性检查及时发现潜在故障，按检查周期分为日检、周检、月检、年检，形成全生命周期维护体系。</w:t>
      </w:r>
    </w:p>
    <w:p w14:paraId="502172E6">
      <w:r>
        <w:t>日检由当班操作工执行，检查项目及标准：废气收集系统（集气罩负压-80~-120Pa，风机电流≤额定值80%，无异响）；预处理系统（喷淋塔液位1.5-2.0m，循环水pH值8-10，降温后温度＜80℃）；除尘系统（布袋除尘器压差800-1500Pa，卸灰阀运行正常，无漏灰）；净化系统（活性炭吸附塔出口VOCs浓度＜50mg/m³，催化燃烧炉温度300-350℃，燃气压力0.08-0.1MPa）；控制系统（所有仪表显示正常，无报警信息，PLC运行指示灯绿色）。检查方法：现场巡视观察、记录仪表数据，异常情况立即处理并上报。</w:t>
      </w:r>
    </w:p>
    <w:p w14:paraId="6DC31848">
      <w:r>
        <w:t>周检由技术员执行，检查项目及标准：废气收集系统（管道风速12-18m/s，风机皮带松紧度10-15mm下沉量，电机轴承温度＜65℃）；预处理系统（喷淋泵出口压力0.2-0.3MPa，喷嘴雾化均匀无堵塞，火花捕集器压差＜100Pa）；除尘系统（滤袋表面粉尘层厚度＜5mm，清灰压力0.4-0.6MPa，脉冲阀动作正常（声音清脆））；净化系统（活性炭床层无塌陷，脱附氮气温度120-180℃，催化燃烧炉CO浓度＜100ppm）；控制系统（传感器数据与便携式仪表对比偏差＜5%，阀门开度反馈与实际位置偏差＜2%）。检查方法：使用风速仪、红外测温仪、压力表等工具测量，用听诊器检查设备有无异常声音。</w:t>
      </w:r>
    </w:p>
    <w:p w14:paraId="27C4B63B">
      <w:r>
        <w:t>月检由工程师执行，检查项目及标准：废气收集系统（管道密封性（漏风率＜5%，用烟雾发生器检测），风机叶轮动平衡（振动速度＜4.5mm/s），基础地脚螺栓紧固力矩（按厂家规定，如M20螺栓力矩400N·m））；预处理系统（喷淋塔内壁腐蚀情况（壁厚≥设计值80%，用超声波测厚仪检测），风冷换热器翅片清洁度（无明显积灰，用内窥镜观察），循环水水质（SS＜50mg/L，硬度＜300mg/L））；除尘系统（滤袋完好率100%（无破损、脱落），清灰程序参数（喷吹时间0.1-0.2s，间隔30s），灰斗料位计准确性（用标准砝码校准））；净化系统（活性炭碘值＞800mg/g（取样检测），催化剂活性＞95%（测定转化率），换热器热效率＞90%（根据进出口温差计算））；控制系统（PLC程序备份，HMI画面响应时间＜1s，报警历史记录完整性）。检查方法：专业仪器检测（如超声波测厚仪、动平衡仪），性能测试（如除尘效率、吸附效率测定）。</w:t>
      </w:r>
    </w:p>
    <w:p w14:paraId="598AE29A">
      <w:r>
        <w:t>年检由设备管理部门组织，邀请厂家参与，检查项目及标准：全系统性能测试（处理风量、污染物去除率、能耗达标，符合设计要求）；设备解体检查（风机轴承游隙＜0.1mm，齿轮箱齿轮磨损量＜0.1mm，阀门密封面无划痕）；安全设施校验（安全阀起跳压力0.15MPa，消防系统喷射时间＞10s，紧急停车系统响应时间＜500ms）；仪表校准（所有传感器用标准设备校准，误差≤±1%FS）；管道和设备腐蚀状况评估（剩余寿命预测，制定大修计划）。检查方法：第三方检测机构进行性能测试，解体检查关键部件，更换接近寿命终点的部件（如轴承、密封件）。</w:t>
      </w:r>
    </w:p>
    <w:p w14:paraId="6199ACBD">
      <w:pPr>
        <w:pStyle w:val="4"/>
      </w:pPr>
      <w:r>
        <w:t>7.2 关键部件更换与校准</w:t>
      </w:r>
    </w:p>
    <w:p w14:paraId="2F23BFCA">
      <w:r>
        <w:t>关键部件的定期更换和校准是确保系统性能的基础，需明确更换周期、更换标准和校准方法。</w:t>
      </w:r>
    </w:p>
    <w:p w14:paraId="7B281DF7">
      <w:r>
        <w:t>需定期更换的部件及周期：滤袋（3-6个月，更换标准：破损率＞5%或阻力持续升高无法恢复）；活性炭（1-2年，更换标准：碘值＜800mg/g或吸附效率＜80%）；催化剂（2-3年，更换标准：转化率＜90%或床层压差＞1000Pa）；轴承（风机、泵类电机轴承，2-3年，更换标准：振动速度＞6.3mm/s或游隙＞0.2mm）；密封件（阀门垫片、O型圈，6-12个月，更换标准：出现老化、裂纹或泄漏）；传感器探头（VOCs检测仪、温度传感器，1-2年，更换标准：测量误差＞5%FS或响应时间＞5s）。更换流程：停机→拆卸旧部件→清洁安装面→安装新部件（按厂家安装说明书，如轴承加热温度80-100℃）→调试（如滤袋更换后需进行“预涂灰”，防止初始过滤效率低）。</w:t>
      </w:r>
    </w:p>
    <w:p w14:paraId="425DAFB8">
      <w:r>
        <w:t>需定期校准的仪表及方法：温度传感器（每月用恒温槽校准，范围0-300℃，多点校准（0℃、100℃、200℃），误差≤±1℃）；压力变送器（每月用标准压力计校准，范围-1000-5000Pa，零点和量程校准，误差≤±0.5%FS）；VOCs检测仪（每月用标准气体校准，丙烷50ppm、100ppm、200ppm三点校准，误差≤±5%）；流量计（每季度用标准节流装置校准，范围20-100%量程，误差≤±2%）；液位计（每季度用水位标准装置校准，范围0-3m，误差≤±10mm）；电动阀门定位器（每季度用信号发生器校准，4-20mA对应0-90°，线性误差≤±1%）。校准记录需填写《仪表校准证书》，包括校准日期、标准设备编号、校准结果、校准人，证书保存期3年。</w:t>
      </w:r>
    </w:p>
    <w:p w14:paraId="3CE78335">
      <w:r>
        <w:t>备品备件管理：建立关键部件备件库，最低库存量：滤袋（按总数10%）、活性炭（1m³）、轴承（每种型号2套）、传感器（每种型号1个）、电磁阀（5个）；备件存储条件：干燥通风（相对湿度＜60%），远离腐蚀性气体，轴承需油封保存，活性炭密封防潮；备件领用实行“先进先出”原则，建立出入库台账，定期盘点（每月一次）。</w:t>
      </w:r>
    </w:p>
    <w:p w14:paraId="347C6763">
      <w:pPr>
        <w:pStyle w:val="4"/>
      </w:pPr>
      <w:r>
        <w:t>7.3 运行数据记录与分析</w:t>
      </w:r>
    </w:p>
    <w:p w14:paraId="755D851E">
      <w:r>
        <w:t>运行数据记录与分析是优化维护策略、提高系统可靠性的重要手段，需建立完善的数据管理体系。</w:t>
      </w:r>
    </w:p>
    <w:p w14:paraId="4E2D6A4E">
      <w:r>
        <w:t>数据记录内容包括：实时运行数据（每小时记录一次）：处理风量、废气进口/出口温度、压力、VOCs浓度、粉尘浓度；设备运行参数（每小时记录一次）：风机频率、电流、轴承温度，水泵流量、压力，阀门开度，加热功率；能耗数据（每日记录一次）：电耗（分设备统计）、燃气耗量、水耗；维护记录（每次维护后记录）：维护项目、更换部件型号及数量、校准数据；故障记录（每次故障后记录）：故障现象、发生时间、处理过程、原因分析。记录方式：采用电子表格（Excel）或专用数据采集软件，数据需真实、准确、完整，不得随意涂改。</w:t>
      </w:r>
    </w:p>
    <w:p w14:paraId="5643C5E3">
      <w:r>
        <w:t>数据分析方法：趋势分析（绘制关键参数历史曲线，如VOCs去除率月趋势，判断是否逐渐下降，预测活性炭更换时间）；对比分析（同一设备不同时期数据对比（如风机电流逐年升高，表明叶轮积尘或轴承磨损），不同设备间数据对比（如并联吸附塔阻力偏差＞10%，表明流量分配不均））；统计分析（计算故障频次（如喷淋塔喷嘴堵塞月均3次）、平均无故障时间（MTBF）、平均修复时间（MTTR），找出高频故障点）；能效分析（计算单位处理风量能耗（kWh/m³），与设计值对比，分析节能潜力（如优化风机频率降低电耗））。</w:t>
      </w:r>
    </w:p>
    <w:p w14:paraId="4DF1848F">
      <w:r>
        <w:t>数据分析应用：优化维护周期（根据滤袋压差变化规律，将清灰周期从20min调整为15min，减少滤袋堵塞）；改进操作参数（根据废气浓度变化，动态调整催化燃烧炉温度（浓度高时降低温度，浓度低时提高温度），降低燃气消耗）；设备改造（根据管道风速分布数据，在涡流区增设导流板，提高收集效率）；制定大修计划（根据轴承振动趋势预测剩余寿命，提前采购备件，安排停机大修）。每年编写《系统运行分析报告》，内容包括年度运行概况、主要性能指标、故障统计、维护总结、改进建议，为下一年度维护计划提供依据。</w:t>
      </w:r>
    </w:p>
    <w:p w14:paraId="3AACA94F">
      <w:pPr>
        <w:pStyle w:val="4"/>
      </w:pPr>
      <w:r>
        <w:t>7.4 安全与环保合规管理</w:t>
      </w:r>
    </w:p>
    <w:p w14:paraId="541141E2">
      <w:r>
        <w:t>维护过程中的安全防护和环保合规是保障人员安全和满足法规要求的关键，需严格执行相关规定。</w:t>
      </w:r>
    </w:p>
    <w:p w14:paraId="06A7C0AC">
      <w:r>
        <w:t>安全防护措施：个人防护装备（PPE）配备：操作工配备安全帽、防尘口罩（KN95）、护目镜、防滑鞋；维护人员根据作业类型增加防护装备（如进入受限空间需配备四合一气体检测仪（O2、LEL、CO、H2S）、安全带，接触酸碱物质需配备防化服、耐酸碱手套）。作业安全管理：受限空间作业（如进入喷淋塔、吸附塔）需办理作业许可，执行“先通风、再检测、后作业”原则，通风时间≥30min，检测合格（O2 19.5-23.5%，可燃气体＜0.5%LEL，有毒气体＜职业接触限值）后方可进入，作业过程中设监护人，每小时检测一次气体浓度；高空作业（＞2m）需搭设脚手架或使用高空作业车，系好安全带，工具用绳系牢防止坠落；动火作业（如焊接管道）需办理动火许可，清除周围可燃物，配备灭火器，作业后30min复查有无火种。设备安全管理：转动设备（风机、泵）设置防护罩，电气设备接地电阻＜4Ω，高压设备（如催化燃烧炉）设置安全警示标识，消防通道保持畅通（宽度≥1.2m），应急照明和疏散指示标志完好。</w:t>
      </w:r>
    </w:p>
    <w:p w14:paraId="78D69037">
      <w:r>
        <w:t>环保合规管理：排放监测（在线监测系统（CEMS）需通过环保部门验收并定期比对监测（每季度一次），数据实时上传至环保平台，确保VOCs排放浓度＜50mg/m³，粉尘排放浓度＜10mg/m³）；固废处理（废活性炭、废滤袋属于危险废物，需交由有资质单位处置，建立转移联单，保存5年以上；废润滑油、废清洗剂等危险废物分类存放，设置专用容器和标识）；废水处理（喷淋塔废水经中和、沉淀处理后回用，不外排，污泥按危险废物处置）；应急预案（每年组织一次应急演练（如VOCs泄漏应急处置），检验预案可行性，更新应急物资（如灭火器、防毒面具））；环保台账（记录废气处理量、污染物去除量、危废转移情况、监测数据，保存3年以上，接受环保部门检查）。</w:t>
      </w:r>
    </w:p>
    <w:p w14:paraId="063C26E8">
      <w:r>
        <w:t>合规性评估：每年聘请第三方机构进行环保合规评估，检查是否符合最新排放标准（如《工业企业挥发性有机物排放控制标准》DB12/524-2020），识别合规风险（如监测因子不全、排放限值超标），制定整改措施；关注环保政策更新，及时调整处理工艺（如新增特征污染物控制要求时，增加相应处理单元）；定期对操作工进行环保法规培训（每年不少于4学时），提高环保意识。</w:t>
      </w:r>
    </w:p>
    <w:p w14:paraId="463D8CF0">
      <w:pPr>
        <w:pStyle w:val="3"/>
      </w:pPr>
      <w:r>
        <w:t>八、附录</w:t>
      </w:r>
    </w:p>
    <w:p w14:paraId="456DCCC8">
      <w:pPr>
        <w:pStyle w:val="4"/>
      </w:pPr>
      <w:r>
        <w:t>8.1 系统技术参数表</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701C5B45">
        <w:tblPrEx>
          <w:tblCellMar>
            <w:top w:w="0" w:type="dxa"/>
            <w:left w:w="0" w:type="dxa"/>
            <w:bottom w:w="0" w:type="dxa"/>
            <w:right w:w="0" w:type="dxa"/>
          </w:tblCellMar>
        </w:tblPrEx>
        <w:tc>
          <w:tcPr>
            <w:tcW w:w="0" w:type="auto"/>
            <w:vAlign w:val="center"/>
          </w:tcPr>
          <w:p w14:paraId="6A730CC2">
            <w:pPr>
              <w:jc w:val="center"/>
              <w:rPr>
                <w:b/>
              </w:rPr>
            </w:pPr>
            <w:r>
              <w:rPr>
                <w:b/>
              </w:rPr>
              <w:t>系统单元</w:t>
            </w:r>
          </w:p>
        </w:tc>
        <w:tc>
          <w:tcPr>
            <w:tcW w:w="0" w:type="auto"/>
            <w:vAlign w:val="center"/>
          </w:tcPr>
          <w:p w14:paraId="3A3A7291">
            <w:pPr>
              <w:jc w:val="center"/>
              <w:rPr>
                <w:b/>
              </w:rPr>
            </w:pPr>
            <w:r>
              <w:rPr>
                <w:b/>
              </w:rPr>
              <w:t>设备名称</w:t>
            </w:r>
          </w:p>
        </w:tc>
        <w:tc>
          <w:tcPr>
            <w:tcW w:w="0" w:type="auto"/>
            <w:vAlign w:val="center"/>
          </w:tcPr>
          <w:p w14:paraId="1078A9E6">
            <w:pPr>
              <w:jc w:val="center"/>
              <w:rPr>
                <w:b/>
              </w:rPr>
            </w:pPr>
            <w:r>
              <w:rPr>
                <w:b/>
              </w:rPr>
              <w:t>主要技术参数</w:t>
            </w:r>
          </w:p>
        </w:tc>
        <w:tc>
          <w:tcPr>
            <w:tcW w:w="0" w:type="auto"/>
            <w:vAlign w:val="center"/>
          </w:tcPr>
          <w:p w14:paraId="2200668B">
            <w:pPr>
              <w:jc w:val="center"/>
              <w:rPr>
                <w:b/>
              </w:rPr>
            </w:pPr>
            <w:r>
              <w:rPr>
                <w:b/>
              </w:rPr>
              <w:t>设计值范围</w:t>
            </w:r>
          </w:p>
        </w:tc>
      </w:tr>
      <w:tr w14:paraId="4DC13057">
        <w:tblPrEx>
          <w:tblCellMar>
            <w:top w:w="0" w:type="dxa"/>
            <w:left w:w="0" w:type="dxa"/>
            <w:bottom w:w="0" w:type="dxa"/>
            <w:right w:w="0" w:type="dxa"/>
          </w:tblCellMar>
        </w:tblPrEx>
        <w:tc>
          <w:tcPr>
            <w:tcW w:w="0" w:type="auto"/>
            <w:vAlign w:val="center"/>
          </w:tcPr>
          <w:p w14:paraId="087407F2">
            <w:r>
              <w:t>废气收集系统</w:t>
            </w:r>
          </w:p>
        </w:tc>
        <w:tc>
          <w:tcPr>
            <w:tcW w:w="0" w:type="auto"/>
            <w:vAlign w:val="center"/>
          </w:tcPr>
          <w:p w14:paraId="1A88EDBB">
            <w:r>
              <w:t>集气罩</w:t>
            </w:r>
          </w:p>
        </w:tc>
        <w:tc>
          <w:tcPr>
            <w:tcW w:w="0" w:type="auto"/>
            <w:vAlign w:val="center"/>
          </w:tcPr>
          <w:p w14:paraId="4380FE49">
            <w:r>
              <w:t>顶吸式，尺寸3m×2m，控制风速1.0m/s</w:t>
            </w:r>
          </w:p>
        </w:tc>
        <w:tc>
          <w:tcPr>
            <w:tcW w:w="0" w:type="auto"/>
            <w:vAlign w:val="center"/>
          </w:tcPr>
          <w:p w14:paraId="749394E7">
            <w:r>
              <w:t>-</w:t>
            </w:r>
          </w:p>
        </w:tc>
      </w:tr>
      <w:tr w14:paraId="01530D71">
        <w:tblPrEx>
          <w:tblCellMar>
            <w:top w:w="0" w:type="dxa"/>
            <w:left w:w="0" w:type="dxa"/>
            <w:bottom w:w="0" w:type="dxa"/>
            <w:right w:w="0" w:type="dxa"/>
          </w:tblCellMar>
        </w:tblPrEx>
        <w:tc>
          <w:tcPr>
            <w:tcW w:w="0" w:type="auto"/>
            <w:vAlign w:val="center"/>
          </w:tcPr>
          <w:p w14:paraId="7B2B0801"/>
        </w:tc>
        <w:tc>
          <w:tcPr>
            <w:tcW w:w="0" w:type="auto"/>
            <w:vAlign w:val="center"/>
          </w:tcPr>
          <w:p w14:paraId="214FC1FE">
            <w:r>
              <w:t>通风管道</w:t>
            </w:r>
          </w:p>
        </w:tc>
        <w:tc>
          <w:tcPr>
            <w:tcW w:w="0" w:type="auto"/>
            <w:vAlign w:val="center"/>
          </w:tcPr>
          <w:p w14:paraId="0657DEA6">
            <w:r>
              <w:t>材质304不锈钢，主管直径800mm，风速15m/s，阻力损失800Pa</w:t>
            </w:r>
          </w:p>
        </w:tc>
        <w:tc>
          <w:tcPr>
            <w:tcW w:w="0" w:type="auto"/>
            <w:vAlign w:val="center"/>
          </w:tcPr>
          <w:p w14:paraId="1E145809">
            <w:r>
              <w:t>风速12-18m/s</w:t>
            </w:r>
          </w:p>
        </w:tc>
      </w:tr>
      <w:tr w14:paraId="5446754C">
        <w:tc>
          <w:tcPr>
            <w:tcW w:w="0" w:type="auto"/>
            <w:vAlign w:val="center"/>
          </w:tcPr>
          <w:p w14:paraId="788710DC"/>
        </w:tc>
        <w:tc>
          <w:tcPr>
            <w:tcW w:w="0" w:type="auto"/>
            <w:vAlign w:val="center"/>
          </w:tcPr>
          <w:p w14:paraId="54A8A9AA">
            <w:r>
              <w:t>引风机</w:t>
            </w:r>
          </w:p>
        </w:tc>
        <w:tc>
          <w:tcPr>
            <w:tcW w:w="0" w:type="auto"/>
            <w:vAlign w:val="center"/>
          </w:tcPr>
          <w:p w14:paraId="55D84F60">
            <w:r>
              <w:t>型号4-72-6C，风量20000m³/h，全压3000Pa，电机功率37kW</w:t>
            </w:r>
          </w:p>
        </w:tc>
        <w:tc>
          <w:tcPr>
            <w:tcW w:w="0" w:type="auto"/>
            <w:vAlign w:val="center"/>
          </w:tcPr>
          <w:p w14:paraId="78B70A1B">
            <w:r>
              <w:t>风量5000-50000m³/h</w:t>
            </w:r>
          </w:p>
        </w:tc>
      </w:tr>
      <w:tr w14:paraId="2CF66CFB">
        <w:tblPrEx>
          <w:tblCellMar>
            <w:top w:w="0" w:type="dxa"/>
            <w:left w:w="0" w:type="dxa"/>
            <w:bottom w:w="0" w:type="dxa"/>
            <w:right w:w="0" w:type="dxa"/>
          </w:tblCellMar>
        </w:tblPrEx>
        <w:tc>
          <w:tcPr>
            <w:tcW w:w="0" w:type="auto"/>
            <w:vAlign w:val="center"/>
          </w:tcPr>
          <w:p w14:paraId="5F590B78">
            <w:r>
              <w:t>预处理系统</w:t>
            </w:r>
          </w:p>
        </w:tc>
        <w:tc>
          <w:tcPr>
            <w:tcW w:w="0" w:type="auto"/>
            <w:vAlign w:val="center"/>
          </w:tcPr>
          <w:p w14:paraId="45A74906">
            <w:r>
              <w:t>喷淋塔</w:t>
            </w:r>
          </w:p>
        </w:tc>
        <w:tc>
          <w:tcPr>
            <w:tcW w:w="0" w:type="auto"/>
            <w:vAlign w:val="center"/>
          </w:tcPr>
          <w:p w14:paraId="677C6384">
            <w:r>
              <w:t>直径2.0m，高度5.0m，PP材质，3层喷淋，液气比3L/m³</w:t>
            </w:r>
          </w:p>
        </w:tc>
        <w:tc>
          <w:tcPr>
            <w:tcW w:w="0" w:type="auto"/>
            <w:vAlign w:val="center"/>
          </w:tcPr>
          <w:p w14:paraId="6BF72398">
            <w:r>
              <w:t>降温效率＞60%</w:t>
            </w:r>
          </w:p>
        </w:tc>
      </w:tr>
      <w:tr w14:paraId="0EC34AB4">
        <w:tblPrEx>
          <w:tblCellMar>
            <w:top w:w="0" w:type="dxa"/>
            <w:left w:w="0" w:type="dxa"/>
            <w:bottom w:w="0" w:type="dxa"/>
            <w:right w:w="0" w:type="dxa"/>
          </w:tblCellMar>
        </w:tblPrEx>
        <w:tc>
          <w:tcPr>
            <w:tcW w:w="0" w:type="auto"/>
            <w:vAlign w:val="center"/>
          </w:tcPr>
          <w:p w14:paraId="6F8A0061"/>
        </w:tc>
        <w:tc>
          <w:tcPr>
            <w:tcW w:w="0" w:type="auto"/>
            <w:vAlign w:val="center"/>
          </w:tcPr>
          <w:p w14:paraId="57248504">
            <w:r>
              <w:t>火花捕集器</w:t>
            </w:r>
          </w:p>
        </w:tc>
        <w:tc>
          <w:tcPr>
            <w:tcW w:w="0" w:type="auto"/>
            <w:vAlign w:val="center"/>
          </w:tcPr>
          <w:p w14:paraId="5CC1E560">
            <w:r>
              <w:t>直径1.0m，不锈钢材质，三层拦截网，捕集效率≥99%</w:t>
            </w:r>
          </w:p>
        </w:tc>
        <w:tc>
          <w:tcPr>
            <w:tcW w:w="0" w:type="auto"/>
            <w:vAlign w:val="center"/>
          </w:tcPr>
          <w:p w14:paraId="732542D3">
            <w:r>
              <w:t>-</w:t>
            </w:r>
          </w:p>
        </w:tc>
      </w:tr>
      <w:tr w14:paraId="29287B94">
        <w:tblPrEx>
          <w:tblCellMar>
            <w:top w:w="0" w:type="dxa"/>
            <w:left w:w="0" w:type="dxa"/>
            <w:bottom w:w="0" w:type="dxa"/>
            <w:right w:w="0" w:type="dxa"/>
          </w:tblCellMar>
        </w:tblPrEx>
        <w:tc>
          <w:tcPr>
            <w:tcW w:w="0" w:type="auto"/>
            <w:vAlign w:val="center"/>
          </w:tcPr>
          <w:p w14:paraId="4DF5C2DF">
            <w:r>
              <w:t>除尘系统</w:t>
            </w:r>
          </w:p>
        </w:tc>
        <w:tc>
          <w:tcPr>
            <w:tcW w:w="0" w:type="auto"/>
            <w:vAlign w:val="center"/>
          </w:tcPr>
          <w:p w14:paraId="22182AC2">
            <w:r>
              <w:t>旋风除尘器</w:t>
            </w:r>
          </w:p>
        </w:tc>
        <w:tc>
          <w:tcPr>
            <w:tcW w:w="0" w:type="auto"/>
            <w:vAlign w:val="center"/>
          </w:tcPr>
          <w:p w14:paraId="3852420F">
            <w:r>
              <w:t>直径1.2m，锥角15°，进口风速18m/s，分离效率85%（10μm颗粒）</w:t>
            </w:r>
          </w:p>
        </w:tc>
        <w:tc>
          <w:tcPr>
            <w:tcW w:w="0" w:type="auto"/>
            <w:vAlign w:val="center"/>
          </w:tcPr>
          <w:p w14:paraId="66DDBB1A">
            <w:r>
              <w:t>-</w:t>
            </w:r>
          </w:p>
        </w:tc>
      </w:tr>
      <w:tr w14:paraId="46694B70">
        <w:tc>
          <w:tcPr>
            <w:tcW w:w="0" w:type="auto"/>
            <w:vAlign w:val="center"/>
          </w:tcPr>
          <w:p w14:paraId="676865F1"/>
        </w:tc>
        <w:tc>
          <w:tcPr>
            <w:tcW w:w="0" w:type="auto"/>
            <w:vAlign w:val="center"/>
          </w:tcPr>
          <w:p w14:paraId="258E3D51">
            <w:r>
              <w:t>布袋除尘器</w:t>
            </w:r>
          </w:p>
        </w:tc>
        <w:tc>
          <w:tcPr>
            <w:tcW w:w="0" w:type="auto"/>
            <w:vAlign w:val="center"/>
          </w:tcPr>
          <w:p w14:paraId="5F454295">
            <w:r>
              <w:t>过滤面积150m²，滤袋材质PPS针刺毡，过滤风速1.0m/min，清灰压力0.5MPa</w:t>
            </w:r>
          </w:p>
        </w:tc>
        <w:tc>
          <w:tcPr>
            <w:tcW w:w="0" w:type="auto"/>
            <w:vAlign w:val="center"/>
          </w:tcPr>
          <w:p w14:paraId="2F6343F4">
            <w:r>
              <w:t>除尘效率≥99.5%</w:t>
            </w:r>
          </w:p>
        </w:tc>
      </w:tr>
      <w:tr w14:paraId="4E46DEB4">
        <w:tblPrEx>
          <w:tblCellMar>
            <w:top w:w="0" w:type="dxa"/>
            <w:left w:w="0" w:type="dxa"/>
            <w:bottom w:w="0" w:type="dxa"/>
            <w:right w:w="0" w:type="dxa"/>
          </w:tblCellMar>
        </w:tblPrEx>
        <w:tc>
          <w:tcPr>
            <w:tcW w:w="0" w:type="auto"/>
            <w:vAlign w:val="center"/>
          </w:tcPr>
          <w:p w14:paraId="75C7265D">
            <w:r>
              <w:t>净化系统</w:t>
            </w:r>
          </w:p>
        </w:tc>
        <w:tc>
          <w:tcPr>
            <w:tcW w:w="0" w:type="auto"/>
            <w:vAlign w:val="center"/>
          </w:tcPr>
          <w:p w14:paraId="2FDF4B81">
            <w:r>
              <w:t>活性炭吸附塔</w:t>
            </w:r>
          </w:p>
        </w:tc>
        <w:tc>
          <w:tcPr>
            <w:tcW w:w="0" w:type="auto"/>
            <w:vAlign w:val="center"/>
          </w:tcPr>
          <w:p w14:paraId="1A669132">
            <w:r>
              <w:t>直径2.5m，高度4.0m，活性炭填充量8m³，碘值1000mg/g，吸附效率95%</w:t>
            </w:r>
          </w:p>
        </w:tc>
        <w:tc>
          <w:tcPr>
            <w:tcW w:w="0" w:type="auto"/>
            <w:vAlign w:val="center"/>
          </w:tcPr>
          <w:p w14:paraId="1BCE2985">
            <w:r>
              <w:t>-</w:t>
            </w:r>
          </w:p>
        </w:tc>
      </w:tr>
      <w:tr w14:paraId="2A4DE620">
        <w:tblPrEx>
          <w:tblCellMar>
            <w:top w:w="0" w:type="dxa"/>
            <w:left w:w="0" w:type="dxa"/>
            <w:bottom w:w="0" w:type="dxa"/>
            <w:right w:w="0" w:type="dxa"/>
          </w:tblCellMar>
        </w:tblPrEx>
        <w:tc>
          <w:tcPr>
            <w:tcW w:w="0" w:type="auto"/>
            <w:vAlign w:val="center"/>
          </w:tcPr>
          <w:p w14:paraId="19453E48"/>
        </w:tc>
        <w:tc>
          <w:tcPr>
            <w:tcW w:w="0" w:type="auto"/>
            <w:vAlign w:val="center"/>
          </w:tcPr>
          <w:p w14:paraId="69AE6206">
            <w:r>
              <w:t>催化燃烧装置（RCO）</w:t>
            </w:r>
          </w:p>
        </w:tc>
        <w:tc>
          <w:tcPr>
            <w:tcW w:w="0" w:type="auto"/>
            <w:vAlign w:val="center"/>
          </w:tcPr>
          <w:p w14:paraId="25D2F14E">
            <w:r>
              <w:t>处理风量10000m³/h，催化剂Pt/Pd负载量0.2%，燃烧温度300℃，热效率90%</w:t>
            </w:r>
          </w:p>
        </w:tc>
        <w:tc>
          <w:tcPr>
            <w:tcW w:w="0" w:type="auto"/>
            <w:vAlign w:val="center"/>
          </w:tcPr>
          <w:p w14:paraId="64C29409">
            <w:r>
              <w:t>VOCs去除率≥97%</w:t>
            </w:r>
          </w:p>
        </w:tc>
      </w:tr>
      <w:tr w14:paraId="3DC81117">
        <w:tblPrEx>
          <w:tblCellMar>
            <w:top w:w="0" w:type="dxa"/>
            <w:left w:w="0" w:type="dxa"/>
            <w:bottom w:w="0" w:type="dxa"/>
            <w:right w:w="0" w:type="dxa"/>
          </w:tblCellMar>
        </w:tblPrEx>
        <w:tc>
          <w:tcPr>
            <w:tcW w:w="0" w:type="auto"/>
            <w:vAlign w:val="center"/>
          </w:tcPr>
          <w:p w14:paraId="14BA8E42">
            <w:r>
              <w:t>控制系统</w:t>
            </w:r>
          </w:p>
        </w:tc>
        <w:tc>
          <w:tcPr>
            <w:tcW w:w="0" w:type="auto"/>
            <w:vAlign w:val="center"/>
          </w:tcPr>
          <w:p w14:paraId="46E5B126">
            <w:r>
              <w:t>PLC控制器</w:t>
            </w:r>
          </w:p>
        </w:tc>
        <w:tc>
          <w:tcPr>
            <w:tcW w:w="0" w:type="auto"/>
            <w:vAlign w:val="center"/>
          </w:tcPr>
          <w:p w14:paraId="237A390D">
            <w:r>
              <w:t>西门子S7-300，模拟量输入/输出8/4通道，数字量输入/输出32/16点</w:t>
            </w:r>
          </w:p>
        </w:tc>
        <w:tc>
          <w:tcPr>
            <w:tcW w:w="0" w:type="auto"/>
            <w:vAlign w:val="center"/>
          </w:tcPr>
          <w:p w14:paraId="5EB34016">
            <w:r>
              <w:t>扫描周期＜200ms</w:t>
            </w:r>
          </w:p>
        </w:tc>
      </w:tr>
      <w:tr w14:paraId="2F1E6ACD">
        <w:tc>
          <w:tcPr>
            <w:tcW w:w="0" w:type="auto"/>
            <w:vAlign w:val="center"/>
          </w:tcPr>
          <w:p w14:paraId="7B922389"/>
        </w:tc>
        <w:tc>
          <w:tcPr>
            <w:tcW w:w="0" w:type="auto"/>
            <w:vAlign w:val="center"/>
          </w:tcPr>
          <w:p w14:paraId="103A2C9A">
            <w:r>
              <w:t>在线监测系统</w:t>
            </w:r>
          </w:p>
        </w:tc>
        <w:tc>
          <w:tcPr>
            <w:tcW w:w="0" w:type="auto"/>
            <w:vAlign w:val="center"/>
          </w:tcPr>
          <w:p w14:paraId="1785A340">
            <w:r>
              <w:t>VOCs检测仪（0-2000mg/m³），粉尘检测仪（0-100mg/m³），数据上传频率1次/min</w:t>
            </w:r>
          </w:p>
        </w:tc>
        <w:tc>
          <w:tcPr>
            <w:tcW w:w="0" w:type="auto"/>
            <w:vAlign w:val="center"/>
          </w:tcPr>
          <w:p w14:paraId="1EC76C63">
            <w:r>
              <w:t>测量误差≤±5%FS</w:t>
            </w:r>
          </w:p>
        </w:tc>
      </w:tr>
    </w:tbl>
    <w:p w14:paraId="60533628">
      <w:pPr>
        <w:pStyle w:val="4"/>
      </w:pPr>
      <w:r>
        <w:t>8.2 常用备件清单与规格</w:t>
      </w:r>
    </w:p>
    <w:tbl>
      <w:tblPr>
        <w:tblStyle w:val="50"/>
        <w:tblW w:w="0" w:type="auto"/>
        <w:tblInd w:w="0" w:type="dxa"/>
        <w:tblLayout w:type="fixed"/>
        <w:tblCellMar>
          <w:top w:w="0" w:type="dxa"/>
          <w:left w:w="0" w:type="dxa"/>
          <w:bottom w:w="0" w:type="dxa"/>
          <w:right w:w="0" w:type="dxa"/>
        </w:tblCellMar>
      </w:tblPr>
      <w:tblGrid>
        <w:gridCol w:w="1440"/>
        <w:gridCol w:w="1440"/>
        <w:gridCol w:w="1440"/>
        <w:gridCol w:w="1440"/>
        <w:gridCol w:w="1440"/>
        <w:gridCol w:w="1440"/>
      </w:tblGrid>
      <w:tr w14:paraId="70B009E6">
        <w:tblPrEx>
          <w:tblCellMar>
            <w:top w:w="0" w:type="dxa"/>
            <w:left w:w="0" w:type="dxa"/>
            <w:bottom w:w="0" w:type="dxa"/>
            <w:right w:w="0" w:type="dxa"/>
          </w:tblCellMar>
        </w:tblPrEx>
        <w:tc>
          <w:tcPr>
            <w:tcW w:w="0" w:type="auto"/>
            <w:vAlign w:val="center"/>
          </w:tcPr>
          <w:p w14:paraId="1CD10B1A">
            <w:pPr>
              <w:jc w:val="center"/>
              <w:rPr>
                <w:b/>
              </w:rPr>
            </w:pPr>
            <w:r>
              <w:rPr>
                <w:b/>
              </w:rPr>
              <w:t>序号</w:t>
            </w:r>
          </w:p>
        </w:tc>
        <w:tc>
          <w:tcPr>
            <w:tcW w:w="0" w:type="auto"/>
            <w:vAlign w:val="center"/>
          </w:tcPr>
          <w:p w14:paraId="581C6625">
            <w:pPr>
              <w:jc w:val="center"/>
              <w:rPr>
                <w:b/>
              </w:rPr>
            </w:pPr>
            <w:r>
              <w:rPr>
                <w:b/>
              </w:rPr>
              <w:t>备件名称</w:t>
            </w:r>
          </w:p>
        </w:tc>
        <w:tc>
          <w:tcPr>
            <w:tcW w:w="0" w:type="auto"/>
            <w:vAlign w:val="center"/>
          </w:tcPr>
          <w:p w14:paraId="50C5DF65">
            <w:pPr>
              <w:jc w:val="center"/>
              <w:rPr>
                <w:b/>
              </w:rPr>
            </w:pPr>
            <w:r>
              <w:rPr>
                <w:b/>
              </w:rPr>
              <w:t>型号规格</w:t>
            </w:r>
          </w:p>
        </w:tc>
        <w:tc>
          <w:tcPr>
            <w:tcW w:w="0" w:type="auto"/>
            <w:vAlign w:val="center"/>
          </w:tcPr>
          <w:p w14:paraId="5BEA8167">
            <w:pPr>
              <w:jc w:val="center"/>
              <w:rPr>
                <w:b/>
              </w:rPr>
            </w:pPr>
            <w:r>
              <w:rPr>
                <w:b/>
              </w:rPr>
              <w:t>数量（台套）</w:t>
            </w:r>
          </w:p>
        </w:tc>
        <w:tc>
          <w:tcPr>
            <w:tcW w:w="0" w:type="auto"/>
            <w:vAlign w:val="center"/>
          </w:tcPr>
          <w:p w14:paraId="40B97AC7">
            <w:pPr>
              <w:jc w:val="center"/>
              <w:rPr>
                <w:b/>
              </w:rPr>
            </w:pPr>
            <w:r>
              <w:rPr>
                <w:b/>
              </w:rPr>
              <w:t>用途</w:t>
            </w:r>
          </w:p>
        </w:tc>
        <w:tc>
          <w:tcPr>
            <w:tcW w:w="0" w:type="auto"/>
            <w:vAlign w:val="center"/>
          </w:tcPr>
          <w:p w14:paraId="22D90558">
            <w:pPr>
              <w:jc w:val="center"/>
              <w:rPr>
                <w:b/>
              </w:rPr>
            </w:pPr>
            <w:r>
              <w:rPr>
                <w:b/>
              </w:rPr>
              <w:t>供应商</w:t>
            </w:r>
          </w:p>
        </w:tc>
      </w:tr>
      <w:tr w14:paraId="204DFCD7">
        <w:tblPrEx>
          <w:tblCellMar>
            <w:top w:w="0" w:type="dxa"/>
            <w:left w:w="0" w:type="dxa"/>
            <w:bottom w:w="0" w:type="dxa"/>
            <w:right w:w="0" w:type="dxa"/>
          </w:tblCellMar>
        </w:tblPrEx>
        <w:tc>
          <w:tcPr>
            <w:tcW w:w="0" w:type="auto"/>
            <w:vAlign w:val="center"/>
          </w:tcPr>
          <w:p w14:paraId="2BAA4327">
            <w:r>
              <w:t>1</w:t>
            </w:r>
          </w:p>
        </w:tc>
        <w:tc>
          <w:tcPr>
            <w:tcW w:w="0" w:type="auto"/>
            <w:vAlign w:val="center"/>
          </w:tcPr>
          <w:p w14:paraId="015F69BE">
            <w:r>
              <w:t>滤袋</w:t>
            </w:r>
          </w:p>
        </w:tc>
        <w:tc>
          <w:tcPr>
            <w:tcW w:w="0" w:type="auto"/>
            <w:vAlign w:val="center"/>
          </w:tcPr>
          <w:p w14:paraId="760D68EE">
            <w:r>
              <w:t>PPS针刺毡，φ130×2000mm</w:t>
            </w:r>
          </w:p>
        </w:tc>
        <w:tc>
          <w:tcPr>
            <w:tcW w:w="0" w:type="auto"/>
            <w:vAlign w:val="center"/>
          </w:tcPr>
          <w:p w14:paraId="6444AE24">
            <w:r>
              <w:t>100</w:t>
            </w:r>
          </w:p>
        </w:tc>
        <w:tc>
          <w:tcPr>
            <w:tcW w:w="0" w:type="auto"/>
            <w:vAlign w:val="center"/>
          </w:tcPr>
          <w:p w14:paraId="7B3E86C2">
            <w:r>
              <w:t>布袋除尘器过滤</w:t>
            </w:r>
          </w:p>
        </w:tc>
        <w:tc>
          <w:tcPr>
            <w:tcW w:w="0" w:type="auto"/>
            <w:vAlign w:val="center"/>
          </w:tcPr>
          <w:p w14:paraId="6968FD01">
            <w:r>
              <w:t>江苏阜升环保</w:t>
            </w:r>
          </w:p>
        </w:tc>
      </w:tr>
      <w:tr w14:paraId="64595048">
        <w:tblPrEx>
          <w:tblCellMar>
            <w:top w:w="0" w:type="dxa"/>
            <w:left w:w="0" w:type="dxa"/>
            <w:bottom w:w="0" w:type="dxa"/>
            <w:right w:w="0" w:type="dxa"/>
          </w:tblCellMar>
        </w:tblPrEx>
        <w:tc>
          <w:tcPr>
            <w:tcW w:w="0" w:type="auto"/>
            <w:vAlign w:val="center"/>
          </w:tcPr>
          <w:p w14:paraId="7FFAB07B">
            <w:r>
              <w:t>2</w:t>
            </w:r>
          </w:p>
        </w:tc>
        <w:tc>
          <w:tcPr>
            <w:tcW w:w="0" w:type="auto"/>
            <w:vAlign w:val="center"/>
          </w:tcPr>
          <w:p w14:paraId="5483C4AD">
            <w:r>
              <w:t>活性炭</w:t>
            </w:r>
          </w:p>
        </w:tc>
        <w:tc>
          <w:tcPr>
            <w:tcW w:w="0" w:type="auto"/>
            <w:vAlign w:val="center"/>
          </w:tcPr>
          <w:p w14:paraId="467B666A">
            <w:r>
              <w:t>椰壳柱状，φ5mm，碘值1000mg/g</w:t>
            </w:r>
          </w:p>
        </w:tc>
        <w:tc>
          <w:tcPr>
            <w:tcW w:w="0" w:type="auto"/>
            <w:vAlign w:val="center"/>
          </w:tcPr>
          <w:p w14:paraId="16A16CEA">
            <w:r>
              <w:t>10m³</w:t>
            </w:r>
          </w:p>
        </w:tc>
        <w:tc>
          <w:tcPr>
            <w:tcW w:w="0" w:type="auto"/>
            <w:vAlign w:val="center"/>
          </w:tcPr>
          <w:p w14:paraId="0CEF9661">
            <w:r>
              <w:t>吸附塔吸附VOCs</w:t>
            </w:r>
          </w:p>
        </w:tc>
        <w:tc>
          <w:tcPr>
            <w:tcW w:w="0" w:type="auto"/>
            <w:vAlign w:val="center"/>
          </w:tcPr>
          <w:p w14:paraId="6EF36F90">
            <w:r>
              <w:t>上海活性炭厂</w:t>
            </w:r>
          </w:p>
        </w:tc>
      </w:tr>
      <w:tr w14:paraId="38BEE5E3">
        <w:tc>
          <w:tcPr>
            <w:tcW w:w="0" w:type="auto"/>
            <w:vAlign w:val="center"/>
          </w:tcPr>
          <w:p w14:paraId="688897C5">
            <w:r>
              <w:t>3</w:t>
            </w:r>
          </w:p>
        </w:tc>
        <w:tc>
          <w:tcPr>
            <w:tcW w:w="0" w:type="auto"/>
            <w:vAlign w:val="center"/>
          </w:tcPr>
          <w:p w14:paraId="17C37E84">
            <w:r>
              <w:t>轴承</w:t>
            </w:r>
          </w:p>
        </w:tc>
        <w:tc>
          <w:tcPr>
            <w:tcW w:w="0" w:type="auto"/>
            <w:vAlign w:val="center"/>
          </w:tcPr>
          <w:p w14:paraId="6CF87F6D">
            <w:r>
              <w:t>6308ZZ，C3游隙</w:t>
            </w:r>
          </w:p>
        </w:tc>
        <w:tc>
          <w:tcPr>
            <w:tcW w:w="0" w:type="auto"/>
            <w:vAlign w:val="center"/>
          </w:tcPr>
          <w:p w14:paraId="18022A7F">
            <w:r>
              <w:t>5</w:t>
            </w:r>
          </w:p>
        </w:tc>
        <w:tc>
          <w:tcPr>
            <w:tcW w:w="0" w:type="auto"/>
            <w:vAlign w:val="center"/>
          </w:tcPr>
          <w:p w14:paraId="622DC57B">
            <w:r>
              <w:t>风机、泵类电机</w:t>
            </w:r>
          </w:p>
        </w:tc>
        <w:tc>
          <w:tcPr>
            <w:tcW w:w="0" w:type="auto"/>
            <w:vAlign w:val="center"/>
          </w:tcPr>
          <w:p w14:paraId="15142E40">
            <w:r>
              <w:t>SKF</w:t>
            </w:r>
          </w:p>
        </w:tc>
      </w:tr>
      <w:tr w14:paraId="36A25A36">
        <w:tblPrEx>
          <w:tblCellMar>
            <w:top w:w="0" w:type="dxa"/>
            <w:left w:w="0" w:type="dxa"/>
            <w:bottom w:w="0" w:type="dxa"/>
            <w:right w:w="0" w:type="dxa"/>
          </w:tblCellMar>
        </w:tblPrEx>
        <w:tc>
          <w:tcPr>
            <w:tcW w:w="0" w:type="auto"/>
            <w:vAlign w:val="center"/>
          </w:tcPr>
          <w:p w14:paraId="52662831">
            <w:r>
              <w:t>4</w:t>
            </w:r>
          </w:p>
        </w:tc>
        <w:tc>
          <w:tcPr>
            <w:tcW w:w="0" w:type="auto"/>
            <w:vAlign w:val="center"/>
          </w:tcPr>
          <w:p w14:paraId="17744C3F">
            <w:r>
              <w:t>脉冲阀</w:t>
            </w:r>
          </w:p>
        </w:tc>
        <w:tc>
          <w:tcPr>
            <w:tcW w:w="0" w:type="auto"/>
            <w:vAlign w:val="center"/>
          </w:tcPr>
          <w:p w14:paraId="2E3A4E81">
            <w:r>
              <w:t>DMF-Z-25，直角式</w:t>
            </w:r>
          </w:p>
        </w:tc>
        <w:tc>
          <w:tcPr>
            <w:tcW w:w="0" w:type="auto"/>
            <w:vAlign w:val="center"/>
          </w:tcPr>
          <w:p w14:paraId="57123874">
            <w:r>
              <w:t>10</w:t>
            </w:r>
          </w:p>
        </w:tc>
        <w:tc>
          <w:tcPr>
            <w:tcW w:w="0" w:type="auto"/>
            <w:vAlign w:val="center"/>
          </w:tcPr>
          <w:p w14:paraId="4A1E122E">
            <w:r>
              <w:t>布袋除尘器清灰</w:t>
            </w:r>
          </w:p>
        </w:tc>
        <w:tc>
          <w:tcPr>
            <w:tcW w:w="0" w:type="auto"/>
            <w:vAlign w:val="center"/>
          </w:tcPr>
          <w:p w14:paraId="7D8C1CC9">
            <w:r>
              <w:t>浙江华能气动</w:t>
            </w:r>
          </w:p>
        </w:tc>
      </w:tr>
      <w:tr w14:paraId="0F9F068C">
        <w:tblPrEx>
          <w:tblCellMar>
            <w:top w:w="0" w:type="dxa"/>
            <w:left w:w="0" w:type="dxa"/>
            <w:bottom w:w="0" w:type="dxa"/>
            <w:right w:w="0" w:type="dxa"/>
          </w:tblCellMar>
        </w:tblPrEx>
        <w:tc>
          <w:tcPr>
            <w:tcW w:w="0" w:type="auto"/>
            <w:vAlign w:val="center"/>
          </w:tcPr>
          <w:p w14:paraId="1F73DE35">
            <w:r>
              <w:t>5</w:t>
            </w:r>
          </w:p>
        </w:tc>
        <w:tc>
          <w:tcPr>
            <w:tcW w:w="0" w:type="auto"/>
            <w:vAlign w:val="center"/>
          </w:tcPr>
          <w:p w14:paraId="3B87F10A">
            <w:r>
              <w:t>喷嘴</w:t>
            </w:r>
          </w:p>
        </w:tc>
        <w:tc>
          <w:tcPr>
            <w:tcW w:w="0" w:type="auto"/>
            <w:vAlign w:val="center"/>
          </w:tcPr>
          <w:p w14:paraId="23C560A2">
            <w:r>
              <w:t>不锈钢，φ2.5mm，雾化角90°</w:t>
            </w:r>
          </w:p>
        </w:tc>
        <w:tc>
          <w:tcPr>
            <w:tcW w:w="0" w:type="auto"/>
            <w:vAlign w:val="center"/>
          </w:tcPr>
          <w:p w14:paraId="7977D908">
            <w:r>
              <w:t>50</w:t>
            </w:r>
          </w:p>
        </w:tc>
        <w:tc>
          <w:tcPr>
            <w:tcW w:w="0" w:type="auto"/>
            <w:vAlign w:val="center"/>
          </w:tcPr>
          <w:p w14:paraId="5E7A0DD1">
            <w:r>
              <w:t>喷淋塔降温</w:t>
            </w:r>
          </w:p>
        </w:tc>
        <w:tc>
          <w:tcPr>
            <w:tcW w:w="0" w:type="auto"/>
            <w:vAlign w:val="center"/>
          </w:tcPr>
          <w:p w14:paraId="6F069E32">
            <w:r>
              <w:t>深圳美特喷嘴</w:t>
            </w:r>
          </w:p>
        </w:tc>
      </w:tr>
      <w:tr w14:paraId="47306EBF">
        <w:tblPrEx>
          <w:tblCellMar>
            <w:top w:w="0" w:type="dxa"/>
            <w:left w:w="0" w:type="dxa"/>
            <w:bottom w:w="0" w:type="dxa"/>
            <w:right w:w="0" w:type="dxa"/>
          </w:tblCellMar>
        </w:tblPrEx>
        <w:tc>
          <w:tcPr>
            <w:tcW w:w="0" w:type="auto"/>
            <w:vAlign w:val="center"/>
          </w:tcPr>
          <w:p w14:paraId="2E59CE39">
            <w:r>
              <w:t>6</w:t>
            </w:r>
          </w:p>
        </w:tc>
        <w:tc>
          <w:tcPr>
            <w:tcW w:w="0" w:type="auto"/>
            <w:vAlign w:val="center"/>
          </w:tcPr>
          <w:p w14:paraId="3950BFF3">
            <w:r>
              <w:t>VOCs传感器</w:t>
            </w:r>
          </w:p>
        </w:tc>
        <w:tc>
          <w:tcPr>
            <w:tcW w:w="0" w:type="auto"/>
            <w:vAlign w:val="center"/>
          </w:tcPr>
          <w:p w14:paraId="6151E0BD">
            <w:r>
              <w:t>PID原理，0-2000mg/m³</w:t>
            </w:r>
          </w:p>
        </w:tc>
        <w:tc>
          <w:tcPr>
            <w:tcW w:w="0" w:type="auto"/>
            <w:vAlign w:val="center"/>
          </w:tcPr>
          <w:p w14:paraId="70294169">
            <w:r>
              <w:t>2</w:t>
            </w:r>
          </w:p>
        </w:tc>
        <w:tc>
          <w:tcPr>
            <w:tcW w:w="0" w:type="auto"/>
            <w:vAlign w:val="center"/>
          </w:tcPr>
          <w:p w14:paraId="088658D2">
            <w:r>
              <w:t>VOCs浓度监测</w:t>
            </w:r>
          </w:p>
        </w:tc>
        <w:tc>
          <w:tcPr>
            <w:tcW w:w="0" w:type="auto"/>
            <w:vAlign w:val="center"/>
          </w:tcPr>
          <w:p w14:paraId="0EE51E73">
            <w:r>
              <w:t>英国离子</w:t>
            </w:r>
          </w:p>
        </w:tc>
      </w:tr>
      <w:tr w14:paraId="635683E5">
        <w:tc>
          <w:tcPr>
            <w:tcW w:w="0" w:type="auto"/>
            <w:vAlign w:val="center"/>
          </w:tcPr>
          <w:p w14:paraId="152934EB">
            <w:r>
              <w:t>7</w:t>
            </w:r>
          </w:p>
        </w:tc>
        <w:tc>
          <w:tcPr>
            <w:tcW w:w="0" w:type="auto"/>
            <w:vAlign w:val="center"/>
          </w:tcPr>
          <w:p w14:paraId="3C96CDB0">
            <w:r>
              <w:t>热电偶</w:t>
            </w:r>
          </w:p>
        </w:tc>
        <w:tc>
          <w:tcPr>
            <w:tcW w:w="0" w:type="auto"/>
            <w:vAlign w:val="center"/>
          </w:tcPr>
          <w:p w14:paraId="0580956D">
            <w:r>
              <w:t>K型，φ8×500mm，4-20mA</w:t>
            </w:r>
          </w:p>
        </w:tc>
        <w:tc>
          <w:tcPr>
            <w:tcW w:w="0" w:type="auto"/>
            <w:vAlign w:val="center"/>
          </w:tcPr>
          <w:p w14:paraId="769BD3B3">
            <w:r>
              <w:t>5</w:t>
            </w:r>
          </w:p>
        </w:tc>
        <w:tc>
          <w:tcPr>
            <w:tcW w:w="0" w:type="auto"/>
            <w:vAlign w:val="center"/>
          </w:tcPr>
          <w:p w14:paraId="0800562A">
            <w:r>
              <w:t>温度测量</w:t>
            </w:r>
          </w:p>
        </w:tc>
        <w:tc>
          <w:tcPr>
            <w:tcW w:w="0" w:type="auto"/>
            <w:vAlign w:val="center"/>
          </w:tcPr>
          <w:p w14:paraId="6D9E95EA">
            <w:r>
              <w:t>上海自动化仪表</w:t>
            </w:r>
          </w:p>
        </w:tc>
      </w:tr>
      <w:tr w14:paraId="13B1F8CC">
        <w:tblPrEx>
          <w:tblCellMar>
            <w:top w:w="0" w:type="dxa"/>
            <w:left w:w="0" w:type="dxa"/>
            <w:bottom w:w="0" w:type="dxa"/>
            <w:right w:w="0" w:type="dxa"/>
          </w:tblCellMar>
        </w:tblPrEx>
        <w:tc>
          <w:tcPr>
            <w:tcW w:w="0" w:type="auto"/>
            <w:vAlign w:val="center"/>
          </w:tcPr>
          <w:p w14:paraId="2AD69625">
            <w:r>
              <w:t>8</w:t>
            </w:r>
          </w:p>
        </w:tc>
        <w:tc>
          <w:tcPr>
            <w:tcW w:w="0" w:type="auto"/>
            <w:vAlign w:val="center"/>
          </w:tcPr>
          <w:p w14:paraId="107CCC43">
            <w:r>
              <w:t>电磁阀</w:t>
            </w:r>
          </w:p>
        </w:tc>
        <w:tc>
          <w:tcPr>
            <w:tcW w:w="0" w:type="auto"/>
            <w:vAlign w:val="center"/>
          </w:tcPr>
          <w:p w14:paraId="0C483C15">
            <w:r>
              <w:t>2W-200-20，AC220V</w:t>
            </w:r>
          </w:p>
        </w:tc>
        <w:tc>
          <w:tcPr>
            <w:tcW w:w="0" w:type="auto"/>
            <w:vAlign w:val="center"/>
          </w:tcPr>
          <w:p w14:paraId="14E6099E">
            <w:r>
              <w:t>10</w:t>
            </w:r>
          </w:p>
        </w:tc>
        <w:tc>
          <w:tcPr>
            <w:tcW w:w="0" w:type="auto"/>
            <w:vAlign w:val="center"/>
          </w:tcPr>
          <w:p w14:paraId="6D2E032F">
            <w:r>
              <w:t>气动阀门控制</w:t>
            </w:r>
          </w:p>
        </w:tc>
        <w:tc>
          <w:tcPr>
            <w:tcW w:w="0" w:type="auto"/>
            <w:vAlign w:val="center"/>
          </w:tcPr>
          <w:p w14:paraId="023738FA">
            <w:r>
              <w:t>亚德客</w:t>
            </w:r>
          </w:p>
        </w:tc>
      </w:tr>
      <w:tr w14:paraId="6AD6CC8A">
        <w:tblPrEx>
          <w:tblCellMar>
            <w:top w:w="0" w:type="dxa"/>
            <w:left w:w="0" w:type="dxa"/>
            <w:bottom w:w="0" w:type="dxa"/>
            <w:right w:w="0" w:type="dxa"/>
          </w:tblCellMar>
        </w:tblPrEx>
        <w:tc>
          <w:tcPr>
            <w:tcW w:w="0" w:type="auto"/>
            <w:vAlign w:val="center"/>
          </w:tcPr>
          <w:p w14:paraId="5BFAE5C3">
            <w:r>
              <w:t>9</w:t>
            </w:r>
          </w:p>
        </w:tc>
        <w:tc>
          <w:tcPr>
            <w:tcW w:w="0" w:type="auto"/>
            <w:vAlign w:val="center"/>
          </w:tcPr>
          <w:p w14:paraId="38CF8DA6">
            <w:r>
              <w:t>密封垫片</w:t>
            </w:r>
          </w:p>
        </w:tc>
        <w:tc>
          <w:tcPr>
            <w:tcW w:w="0" w:type="auto"/>
            <w:vAlign w:val="center"/>
          </w:tcPr>
          <w:p w14:paraId="2EBD5179">
            <w:r>
              <w:t>氟橡胶，φ200×φ180mm</w:t>
            </w:r>
          </w:p>
        </w:tc>
        <w:tc>
          <w:tcPr>
            <w:tcW w:w="0" w:type="auto"/>
            <w:vAlign w:val="center"/>
          </w:tcPr>
          <w:p w14:paraId="4CBAE1FB">
            <w:r>
              <w:t>20</w:t>
            </w:r>
          </w:p>
        </w:tc>
        <w:tc>
          <w:tcPr>
            <w:tcW w:w="0" w:type="auto"/>
            <w:vAlign w:val="center"/>
          </w:tcPr>
          <w:p w14:paraId="1CB76149">
            <w:r>
              <w:t>管道法兰密封</w:t>
            </w:r>
          </w:p>
        </w:tc>
        <w:tc>
          <w:tcPr>
            <w:tcW w:w="0" w:type="auto"/>
            <w:vAlign w:val="center"/>
          </w:tcPr>
          <w:p w14:paraId="24A41CE4">
            <w:r>
              <w:t>本地密封件厂</w:t>
            </w:r>
          </w:p>
        </w:tc>
      </w:tr>
      <w:tr w14:paraId="147C7560">
        <w:tblPrEx>
          <w:tblCellMar>
            <w:top w:w="0" w:type="dxa"/>
            <w:left w:w="0" w:type="dxa"/>
            <w:bottom w:w="0" w:type="dxa"/>
            <w:right w:w="0" w:type="dxa"/>
          </w:tblCellMar>
        </w:tblPrEx>
        <w:tc>
          <w:tcPr>
            <w:tcW w:w="0" w:type="auto"/>
            <w:vAlign w:val="center"/>
          </w:tcPr>
          <w:p w14:paraId="0C1157F0">
            <w:r>
              <w:t>10</w:t>
            </w:r>
          </w:p>
        </w:tc>
        <w:tc>
          <w:tcPr>
            <w:tcW w:w="0" w:type="auto"/>
            <w:vAlign w:val="center"/>
          </w:tcPr>
          <w:p w14:paraId="17566ABC">
            <w:r>
              <w:t>催化剂模块</w:t>
            </w:r>
          </w:p>
        </w:tc>
        <w:tc>
          <w:tcPr>
            <w:tcW w:w="0" w:type="auto"/>
            <w:vAlign w:val="center"/>
          </w:tcPr>
          <w:p w14:paraId="1EFED8EE">
            <w:r>
              <w:t>蜂窝陶瓷，100×100×500mm</w:t>
            </w:r>
          </w:p>
        </w:tc>
        <w:tc>
          <w:tcPr>
            <w:tcW w:w="0" w:type="auto"/>
            <w:vAlign w:val="center"/>
          </w:tcPr>
          <w:p w14:paraId="245E44FC">
            <w:r>
              <w:t>2</w:t>
            </w:r>
          </w:p>
        </w:tc>
        <w:tc>
          <w:tcPr>
            <w:tcW w:w="0" w:type="auto"/>
            <w:vAlign w:val="center"/>
          </w:tcPr>
          <w:p w14:paraId="02D0854E">
            <w:r>
              <w:t>RCO催化燃烧</w:t>
            </w:r>
          </w:p>
        </w:tc>
        <w:tc>
          <w:tcPr>
            <w:tcW w:w="0" w:type="auto"/>
            <w:vAlign w:val="center"/>
          </w:tcPr>
          <w:p w14:paraId="23CE6AFC">
            <w:r>
              <w:t>贵研铂业</w:t>
            </w:r>
          </w:p>
        </w:tc>
      </w:tr>
      <w:tr w14:paraId="26D63D11">
        <w:tc>
          <w:tcPr>
            <w:tcW w:w="0" w:type="auto"/>
            <w:vAlign w:val="center"/>
          </w:tcPr>
          <w:p w14:paraId="4F2EBBF1">
            <w:r>
              <w:t>11</w:t>
            </w:r>
          </w:p>
        </w:tc>
        <w:tc>
          <w:tcPr>
            <w:tcW w:w="0" w:type="auto"/>
            <w:vAlign w:val="center"/>
          </w:tcPr>
          <w:p w14:paraId="5D5B91A0">
            <w:r>
              <w:t>压力表</w:t>
            </w:r>
          </w:p>
        </w:tc>
        <w:tc>
          <w:tcPr>
            <w:tcW w:w="0" w:type="auto"/>
            <w:vAlign w:val="center"/>
          </w:tcPr>
          <w:p w14:paraId="1BC93503">
            <w:r>
              <w:t>Y-100，0-1MPa，径向</w:t>
            </w:r>
          </w:p>
        </w:tc>
        <w:tc>
          <w:tcPr>
            <w:tcW w:w="0" w:type="auto"/>
            <w:vAlign w:val="center"/>
          </w:tcPr>
          <w:p w14:paraId="69AA0159">
            <w:r>
              <w:t>5</w:t>
            </w:r>
          </w:p>
        </w:tc>
        <w:tc>
          <w:tcPr>
            <w:tcW w:w="0" w:type="auto"/>
            <w:vAlign w:val="center"/>
          </w:tcPr>
          <w:p w14:paraId="3F480C33">
            <w:r>
              <w:t>压力测量</w:t>
            </w:r>
          </w:p>
        </w:tc>
        <w:tc>
          <w:tcPr>
            <w:tcW w:w="0" w:type="auto"/>
            <w:vAlign w:val="center"/>
          </w:tcPr>
          <w:p w14:paraId="62691B35">
            <w:r>
              <w:t>西安仪表厂</w:t>
            </w:r>
          </w:p>
        </w:tc>
      </w:tr>
      <w:tr w14:paraId="12C9147E">
        <w:tblPrEx>
          <w:tblCellMar>
            <w:top w:w="0" w:type="dxa"/>
            <w:left w:w="0" w:type="dxa"/>
            <w:bottom w:w="0" w:type="dxa"/>
            <w:right w:w="0" w:type="dxa"/>
          </w:tblCellMar>
        </w:tblPrEx>
        <w:tc>
          <w:tcPr>
            <w:tcW w:w="0" w:type="auto"/>
            <w:vAlign w:val="center"/>
          </w:tcPr>
          <w:p w14:paraId="0F902E93">
            <w:r>
              <w:t>12</w:t>
            </w:r>
          </w:p>
        </w:tc>
        <w:tc>
          <w:tcPr>
            <w:tcW w:w="0" w:type="auto"/>
            <w:vAlign w:val="center"/>
          </w:tcPr>
          <w:p w14:paraId="295EBDFD">
            <w:r>
              <w:t>电动调节阀</w:t>
            </w:r>
          </w:p>
        </w:tc>
        <w:tc>
          <w:tcPr>
            <w:tcW w:w="0" w:type="auto"/>
            <w:vAlign w:val="center"/>
          </w:tcPr>
          <w:p w14:paraId="231B6B7C">
            <w:r>
              <w:t>ZAZP-16C，DN100，4-20mA</w:t>
            </w:r>
          </w:p>
        </w:tc>
        <w:tc>
          <w:tcPr>
            <w:tcW w:w="0" w:type="auto"/>
            <w:vAlign w:val="center"/>
          </w:tcPr>
          <w:p w14:paraId="716214DB">
            <w:r>
              <w:t>2</w:t>
            </w:r>
          </w:p>
        </w:tc>
        <w:tc>
          <w:tcPr>
            <w:tcW w:w="0" w:type="auto"/>
            <w:vAlign w:val="center"/>
          </w:tcPr>
          <w:p w14:paraId="3506506D">
            <w:r>
              <w:t>流量调节</w:t>
            </w:r>
          </w:p>
        </w:tc>
        <w:tc>
          <w:tcPr>
            <w:tcW w:w="0" w:type="auto"/>
            <w:vAlign w:val="center"/>
          </w:tcPr>
          <w:p w14:paraId="319DBECE">
            <w:r>
              <w:t>上海自动化阀门</w:t>
            </w:r>
          </w:p>
        </w:tc>
      </w:tr>
    </w:tbl>
    <w:p w14:paraId="65625D8B">
      <w:pPr>
        <w:pStyle w:val="4"/>
      </w:pPr>
      <w:r>
        <w:t>8.3 相关图纸索引</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4B4B606D">
        <w:tblPrEx>
          <w:tblCellMar>
            <w:top w:w="0" w:type="dxa"/>
            <w:left w:w="0" w:type="dxa"/>
            <w:bottom w:w="0" w:type="dxa"/>
            <w:right w:w="0" w:type="dxa"/>
          </w:tblCellMar>
        </w:tblPrEx>
        <w:tc>
          <w:tcPr>
            <w:tcW w:w="0" w:type="auto"/>
            <w:vAlign w:val="center"/>
          </w:tcPr>
          <w:p w14:paraId="79880951">
            <w:pPr>
              <w:jc w:val="center"/>
              <w:rPr>
                <w:b/>
              </w:rPr>
            </w:pPr>
            <w:r>
              <w:rPr>
                <w:b/>
              </w:rPr>
              <w:t>图纸编号</w:t>
            </w:r>
          </w:p>
        </w:tc>
        <w:tc>
          <w:tcPr>
            <w:tcW w:w="0" w:type="auto"/>
            <w:vAlign w:val="center"/>
          </w:tcPr>
          <w:p w14:paraId="791B3BC1">
            <w:pPr>
              <w:jc w:val="center"/>
              <w:rPr>
                <w:b/>
              </w:rPr>
            </w:pPr>
            <w:r>
              <w:rPr>
                <w:b/>
              </w:rPr>
              <w:t>图纸名称</w:t>
            </w:r>
          </w:p>
        </w:tc>
        <w:tc>
          <w:tcPr>
            <w:tcW w:w="0" w:type="auto"/>
            <w:vAlign w:val="center"/>
          </w:tcPr>
          <w:p w14:paraId="5DB6D901">
            <w:pPr>
              <w:jc w:val="center"/>
              <w:rPr>
                <w:b/>
              </w:rPr>
            </w:pPr>
            <w:r>
              <w:rPr>
                <w:b/>
              </w:rPr>
              <w:t>版本</w:t>
            </w:r>
          </w:p>
        </w:tc>
        <w:tc>
          <w:tcPr>
            <w:tcW w:w="0" w:type="auto"/>
            <w:vAlign w:val="center"/>
          </w:tcPr>
          <w:p w14:paraId="6684C1FE">
            <w:pPr>
              <w:jc w:val="center"/>
              <w:rPr>
                <w:b/>
              </w:rPr>
            </w:pPr>
            <w:r>
              <w:rPr>
                <w:b/>
              </w:rPr>
              <w:t>存放位置</w:t>
            </w:r>
          </w:p>
        </w:tc>
        <w:tc>
          <w:tcPr>
            <w:tcW w:w="0" w:type="auto"/>
            <w:vAlign w:val="center"/>
          </w:tcPr>
          <w:p w14:paraId="158FC85C">
            <w:pPr>
              <w:jc w:val="center"/>
              <w:rPr>
                <w:b/>
              </w:rPr>
            </w:pPr>
            <w:r>
              <w:rPr>
                <w:b/>
              </w:rPr>
              <w:t>备注</w:t>
            </w:r>
          </w:p>
        </w:tc>
      </w:tr>
      <w:tr w14:paraId="2231BCBA">
        <w:tblPrEx>
          <w:tblCellMar>
            <w:top w:w="0" w:type="dxa"/>
            <w:left w:w="0" w:type="dxa"/>
            <w:bottom w:w="0" w:type="dxa"/>
            <w:right w:w="0" w:type="dxa"/>
          </w:tblCellMar>
        </w:tblPrEx>
        <w:tc>
          <w:tcPr>
            <w:tcW w:w="0" w:type="auto"/>
            <w:vAlign w:val="center"/>
          </w:tcPr>
          <w:p w14:paraId="210533D9">
            <w:r>
              <w:t>F01-001</w:t>
            </w:r>
          </w:p>
        </w:tc>
        <w:tc>
          <w:tcPr>
            <w:tcW w:w="0" w:type="auto"/>
            <w:vAlign w:val="center"/>
          </w:tcPr>
          <w:p w14:paraId="548915A3">
            <w:r>
              <w:t>废气处理系统工艺流程图</w:t>
            </w:r>
          </w:p>
        </w:tc>
        <w:tc>
          <w:tcPr>
            <w:tcW w:w="0" w:type="auto"/>
            <w:vAlign w:val="center"/>
          </w:tcPr>
          <w:p w14:paraId="7736A475">
            <w:r>
              <w:t>A</w:t>
            </w:r>
          </w:p>
        </w:tc>
        <w:tc>
          <w:tcPr>
            <w:tcW w:w="0" w:type="auto"/>
            <w:vAlign w:val="center"/>
          </w:tcPr>
          <w:p w14:paraId="277E05A5">
            <w:r>
              <w:t>档案室第3柜第2格</w:t>
            </w:r>
          </w:p>
        </w:tc>
        <w:tc>
          <w:tcPr>
            <w:tcW w:w="0" w:type="auto"/>
            <w:vAlign w:val="center"/>
          </w:tcPr>
          <w:p w14:paraId="7A2785FF">
            <w:r>
              <w:t>P&amp;ID图</w:t>
            </w:r>
          </w:p>
        </w:tc>
      </w:tr>
      <w:tr w14:paraId="05C8CE1E">
        <w:tblPrEx>
          <w:tblCellMar>
            <w:top w:w="0" w:type="dxa"/>
            <w:left w:w="0" w:type="dxa"/>
            <w:bottom w:w="0" w:type="dxa"/>
            <w:right w:w="0" w:type="dxa"/>
          </w:tblCellMar>
        </w:tblPrEx>
        <w:tc>
          <w:tcPr>
            <w:tcW w:w="0" w:type="auto"/>
            <w:vAlign w:val="center"/>
          </w:tcPr>
          <w:p w14:paraId="4D57212B">
            <w:r>
              <w:t>F02-002</w:t>
            </w:r>
          </w:p>
        </w:tc>
        <w:tc>
          <w:tcPr>
            <w:tcW w:w="0" w:type="auto"/>
            <w:vAlign w:val="center"/>
          </w:tcPr>
          <w:p w14:paraId="7CAD7BFC">
            <w:r>
              <w:t>设备平面布置图</w:t>
            </w:r>
          </w:p>
        </w:tc>
        <w:tc>
          <w:tcPr>
            <w:tcW w:w="0" w:type="auto"/>
            <w:vAlign w:val="center"/>
          </w:tcPr>
          <w:p w14:paraId="373F92DF">
            <w:r>
              <w:t>A</w:t>
            </w:r>
          </w:p>
        </w:tc>
        <w:tc>
          <w:tcPr>
            <w:tcW w:w="0" w:type="auto"/>
            <w:vAlign w:val="center"/>
          </w:tcPr>
          <w:p w14:paraId="1C70567A">
            <w:r>
              <w:t>档案室第3柜第2格</w:t>
            </w:r>
          </w:p>
        </w:tc>
        <w:tc>
          <w:tcPr>
            <w:tcW w:w="0" w:type="auto"/>
            <w:vAlign w:val="center"/>
          </w:tcPr>
          <w:p w14:paraId="1AFBF552">
            <w:r>
              <w:t>含设备定位尺寸</w:t>
            </w:r>
          </w:p>
        </w:tc>
      </w:tr>
      <w:tr w14:paraId="57DFB3D5">
        <w:tc>
          <w:tcPr>
            <w:tcW w:w="0" w:type="auto"/>
            <w:vAlign w:val="center"/>
          </w:tcPr>
          <w:p w14:paraId="07A45241">
            <w:r>
              <w:t>F03-003</w:t>
            </w:r>
          </w:p>
        </w:tc>
        <w:tc>
          <w:tcPr>
            <w:tcW w:w="0" w:type="auto"/>
            <w:vAlign w:val="center"/>
          </w:tcPr>
          <w:p w14:paraId="7C46A44E">
            <w:r>
              <w:t>管道轴测图（ISO图）</w:t>
            </w:r>
          </w:p>
        </w:tc>
        <w:tc>
          <w:tcPr>
            <w:tcW w:w="0" w:type="auto"/>
            <w:vAlign w:val="center"/>
          </w:tcPr>
          <w:p w14:paraId="084AB62E">
            <w:r>
              <w:t>A</w:t>
            </w:r>
          </w:p>
        </w:tc>
        <w:tc>
          <w:tcPr>
            <w:tcW w:w="0" w:type="auto"/>
            <w:vAlign w:val="center"/>
          </w:tcPr>
          <w:p w14:paraId="264FE3C7">
            <w:r>
              <w:t>档案室第3柜第3格</w:t>
            </w:r>
          </w:p>
        </w:tc>
        <w:tc>
          <w:tcPr>
            <w:tcW w:w="0" w:type="auto"/>
            <w:vAlign w:val="center"/>
          </w:tcPr>
          <w:p w14:paraId="08FBACBF">
            <w:r>
              <w:t>分单元绘制</w:t>
            </w:r>
          </w:p>
        </w:tc>
      </w:tr>
      <w:tr w14:paraId="387A4ED6">
        <w:tblPrEx>
          <w:tblCellMar>
            <w:top w:w="0" w:type="dxa"/>
            <w:left w:w="0" w:type="dxa"/>
            <w:bottom w:w="0" w:type="dxa"/>
            <w:right w:w="0" w:type="dxa"/>
          </w:tblCellMar>
        </w:tblPrEx>
        <w:tc>
          <w:tcPr>
            <w:tcW w:w="0" w:type="auto"/>
            <w:vAlign w:val="center"/>
          </w:tcPr>
          <w:p w14:paraId="6EC9E7BC">
            <w:r>
              <w:t>E01-001</w:t>
            </w:r>
          </w:p>
        </w:tc>
        <w:tc>
          <w:tcPr>
            <w:tcW w:w="0" w:type="auto"/>
            <w:vAlign w:val="center"/>
          </w:tcPr>
          <w:p w14:paraId="22268916">
            <w:r>
              <w:t>电气控制原理图</w:t>
            </w:r>
          </w:p>
        </w:tc>
        <w:tc>
          <w:tcPr>
            <w:tcW w:w="0" w:type="auto"/>
            <w:vAlign w:val="center"/>
          </w:tcPr>
          <w:p w14:paraId="06E6030B">
            <w:r>
              <w:t>B</w:t>
            </w:r>
          </w:p>
        </w:tc>
        <w:tc>
          <w:tcPr>
            <w:tcW w:w="0" w:type="auto"/>
            <w:vAlign w:val="center"/>
          </w:tcPr>
          <w:p w14:paraId="3B659AF7">
            <w:r>
              <w:t>档案室第4柜第1格</w:t>
            </w:r>
          </w:p>
        </w:tc>
        <w:tc>
          <w:tcPr>
            <w:tcW w:w="0" w:type="auto"/>
            <w:vAlign w:val="center"/>
          </w:tcPr>
          <w:p w14:paraId="665E8F86">
            <w:r>
              <w:t>含PLC I/O分配</w:t>
            </w:r>
          </w:p>
        </w:tc>
      </w:tr>
      <w:tr w14:paraId="3EAB7414">
        <w:tblPrEx>
          <w:tblCellMar>
            <w:top w:w="0" w:type="dxa"/>
            <w:left w:w="0" w:type="dxa"/>
            <w:bottom w:w="0" w:type="dxa"/>
            <w:right w:w="0" w:type="dxa"/>
          </w:tblCellMar>
        </w:tblPrEx>
        <w:tc>
          <w:tcPr>
            <w:tcW w:w="0" w:type="auto"/>
            <w:vAlign w:val="center"/>
          </w:tcPr>
          <w:p w14:paraId="7B56B06F">
            <w:r>
              <w:t>E02-002</w:t>
            </w:r>
          </w:p>
        </w:tc>
        <w:tc>
          <w:tcPr>
            <w:tcW w:w="0" w:type="auto"/>
            <w:vAlign w:val="center"/>
          </w:tcPr>
          <w:p w14:paraId="1E216453">
            <w:r>
              <w:t>=自控系统配置图</w:t>
            </w:r>
          </w:p>
        </w:tc>
        <w:tc>
          <w:tcPr>
            <w:tcW w:w="0" w:type="auto"/>
            <w:vAlign w:val="center"/>
          </w:tcPr>
          <w:p w14:paraId="02332A4A">
            <w:r>
              <w:t>B</w:t>
            </w:r>
          </w:p>
        </w:tc>
        <w:tc>
          <w:tcPr>
            <w:tcW w:w="0" w:type="auto"/>
            <w:vAlign w:val="center"/>
          </w:tcPr>
          <w:p w14:paraId="1222A49D">
            <w:r>
              <w:t>档案室第4柜第1格</w:t>
            </w:r>
          </w:p>
        </w:tc>
        <w:tc>
          <w:tcPr>
            <w:tcW w:w="0" w:type="auto"/>
            <w:vAlign w:val="center"/>
          </w:tcPr>
          <w:p w14:paraId="5E4B07A3">
            <w:r>
              <w:t>含传感器、执行器</w:t>
            </w:r>
          </w:p>
        </w:tc>
      </w:tr>
      <w:tr w14:paraId="5EEBD129">
        <w:tblPrEx>
          <w:tblCellMar>
            <w:top w:w="0" w:type="dxa"/>
            <w:left w:w="0" w:type="dxa"/>
            <w:bottom w:w="0" w:type="dxa"/>
            <w:right w:w="0" w:type="dxa"/>
          </w:tblCellMar>
        </w:tblPrEx>
        <w:tc>
          <w:tcPr>
            <w:tcW w:w="0" w:type="auto"/>
            <w:vAlign w:val="center"/>
          </w:tcPr>
          <w:p w14:paraId="1654A04E">
            <w:r>
              <w:t>M01-001</w:t>
            </w:r>
          </w:p>
        </w:tc>
        <w:tc>
          <w:tcPr>
            <w:tcW w:w="0" w:type="auto"/>
            <w:vAlign w:val="center"/>
          </w:tcPr>
          <w:p w14:paraId="12DB4DE0">
            <w:r>
              <w:t>风机安装图</w:t>
            </w:r>
          </w:p>
        </w:tc>
        <w:tc>
          <w:tcPr>
            <w:tcW w:w="0" w:type="auto"/>
            <w:vAlign w:val="center"/>
          </w:tcPr>
          <w:p w14:paraId="08069053">
            <w:r>
              <w:t>A</w:t>
            </w:r>
          </w:p>
        </w:tc>
        <w:tc>
          <w:tcPr>
            <w:tcW w:w="0" w:type="auto"/>
            <w:vAlign w:val="center"/>
          </w:tcPr>
          <w:p w14:paraId="035E2D91">
            <w:r>
              <w:t>档案室第5柜第2格</w:t>
            </w:r>
          </w:p>
        </w:tc>
        <w:tc>
          <w:tcPr>
            <w:tcW w:w="0" w:type="auto"/>
            <w:vAlign w:val="center"/>
          </w:tcPr>
          <w:p w14:paraId="5B0DF4C5">
            <w:r>
              <w:t>含基础尺寸</w:t>
            </w:r>
          </w:p>
        </w:tc>
      </w:tr>
      <w:tr w14:paraId="020F2265">
        <w:tc>
          <w:tcPr>
            <w:tcW w:w="0" w:type="auto"/>
            <w:vAlign w:val="center"/>
          </w:tcPr>
          <w:p w14:paraId="71AF5C18">
            <w:r>
              <w:t>M02-002</w:t>
            </w:r>
          </w:p>
        </w:tc>
        <w:tc>
          <w:tcPr>
            <w:tcW w:w="0" w:type="auto"/>
            <w:vAlign w:val="center"/>
          </w:tcPr>
          <w:p w14:paraId="699122CA">
            <w:r>
              <w:t>布袋除尘器结构图</w:t>
            </w:r>
          </w:p>
        </w:tc>
        <w:tc>
          <w:tcPr>
            <w:tcW w:w="0" w:type="auto"/>
            <w:vAlign w:val="center"/>
          </w:tcPr>
          <w:p w14:paraId="13D36C9F">
            <w:r>
              <w:t>A</w:t>
            </w:r>
          </w:p>
        </w:tc>
        <w:tc>
          <w:tcPr>
            <w:tcW w:w="0" w:type="auto"/>
            <w:vAlign w:val="center"/>
          </w:tcPr>
          <w:p w14:paraId="063A5568">
            <w:r>
              <w:t>档案室第5柜第3格</w:t>
            </w:r>
          </w:p>
        </w:tc>
        <w:tc>
          <w:tcPr>
            <w:tcW w:w="0" w:type="auto"/>
            <w:vAlign w:val="center"/>
          </w:tcPr>
          <w:p w14:paraId="5885B764">
            <w:r>
              <w:t>含滤袋安装尺寸</w:t>
            </w:r>
          </w:p>
        </w:tc>
      </w:tr>
    </w:tbl>
    <w:p w14:paraId="4BBEA0F2">
      <w:pPr>
        <w:pStyle w:val="4"/>
      </w:pPr>
      <w:r>
        <w:t>8.4 参考文献与标准规范</w:t>
      </w:r>
    </w:p>
    <w:p w14:paraId="72207625">
      <w:pPr>
        <w:numPr>
          <w:ilvl w:val="0"/>
          <w:numId w:val="14"/>
        </w:numPr>
        <w:spacing w:before="0" w:beforeAutospacing="1" w:after="0" w:afterAutospacing="1"/>
        <w:ind w:left="720" w:hanging="360"/>
      </w:pPr>
      <w:r>
        <w:t>《大气污染物综合排放标准》（GB 16297-1996）</w:t>
      </w:r>
    </w:p>
    <w:p w14:paraId="70484C89">
      <w:pPr>
        <w:numPr>
          <w:ilvl w:val="0"/>
          <w:numId w:val="14"/>
        </w:numPr>
        <w:spacing w:before="0" w:beforeAutospacing="1" w:after="0" w:afterAutospacing="1"/>
        <w:ind w:left="720" w:hanging="360"/>
      </w:pPr>
      <w:r>
        <w:t>《工业企业挥发性有机物排放控制标准》（DB12/524-2020）</w:t>
      </w:r>
    </w:p>
    <w:p w14:paraId="5400DB3D">
      <w:pPr>
        <w:numPr>
          <w:ilvl w:val="0"/>
          <w:numId w:val="14"/>
        </w:numPr>
        <w:spacing w:before="0" w:beforeAutospacing="1" w:after="0" w:afterAutospacing="1"/>
        <w:ind w:left="720" w:hanging="360"/>
      </w:pPr>
      <w:r>
        <w:t>《通风与空调工程施工质量验收规范》（GB 50243-2016）</w:t>
      </w:r>
    </w:p>
    <w:p w14:paraId="264F52BD">
      <w:pPr>
        <w:numPr>
          <w:ilvl w:val="0"/>
          <w:numId w:val="14"/>
        </w:numPr>
        <w:spacing w:before="0" w:beforeAutospacing="1" w:after="0" w:afterAutospacing="1"/>
        <w:ind w:left="720" w:hanging="360"/>
      </w:pPr>
      <w:r>
        <w:t>《袋式除尘器技术要求》（HJ 2020-2012）</w:t>
      </w:r>
    </w:p>
    <w:p w14:paraId="7ED72BB0">
      <w:pPr>
        <w:numPr>
          <w:ilvl w:val="0"/>
          <w:numId w:val="14"/>
        </w:numPr>
        <w:spacing w:before="0" w:beforeAutospacing="1" w:after="0" w:afterAutospacing="1"/>
        <w:ind w:left="720" w:hanging="360"/>
      </w:pPr>
      <w:r>
        <w:t>《催化燃烧法工业有机废气治理工程技术规范》（HJ 2027-2013）</w:t>
      </w:r>
    </w:p>
    <w:p w14:paraId="19869AE2">
      <w:pPr>
        <w:numPr>
          <w:ilvl w:val="0"/>
          <w:numId w:val="14"/>
        </w:numPr>
        <w:spacing w:before="0" w:beforeAutospacing="1" w:after="0" w:afterAutospacing="1"/>
        <w:ind w:left="720" w:hanging="360"/>
      </w:pPr>
      <w:r>
        <w:t>《爆炸危险环境电力装置设计规范》（GB 50058-2014）</w:t>
      </w:r>
    </w:p>
    <w:p w14:paraId="24BD7632">
      <w:pPr>
        <w:numPr>
          <w:ilvl w:val="0"/>
          <w:numId w:val="14"/>
        </w:numPr>
        <w:spacing w:before="0" w:beforeAutospacing="1" w:after="0" w:afterAutospacing="1"/>
        <w:ind w:left="720" w:hanging="360"/>
      </w:pPr>
      <w:r>
        <w:t>《可编程逻辑控制器应用指南》（西门子工业自动化有限公司）</w:t>
      </w:r>
    </w:p>
    <w:p w14:paraId="5AD8F986">
      <w:pPr>
        <w:numPr>
          <w:ilvl w:val="0"/>
          <w:numId w:val="14"/>
        </w:numPr>
        <w:spacing w:before="0" w:beforeAutospacing="1" w:after="0" w:afterAutospacing="1"/>
        <w:ind w:left="720" w:hanging="360"/>
      </w:pPr>
      <w:r>
        <w:t>《铸造浇注车间废气处理工艺技术手册》（百度文库，2022）</w:t>
      </w:r>
    </w:p>
    <w:p w14:paraId="552DBF89">
      <w:pPr>
        <w:numPr>
          <w:ilvl w:val="0"/>
          <w:numId w:val="14"/>
        </w:numPr>
        <w:spacing w:before="0" w:beforeAutospacing="1" w:after="0" w:afterAutospacing="1"/>
        <w:ind w:left="720" w:hanging="360"/>
      </w:pPr>
      <w:r>
        <w:t>《干式变压器环氧浇注废气处理方案》（知乎，2021）</w:t>
      </w:r>
    </w:p>
    <w:p w14:paraId="50031F25">
      <w:pPr>
        <w:numPr>
          <w:ilvl w:val="0"/>
          <w:numId w:val="15"/>
        </w:numPr>
        <w:spacing w:before="0" w:beforeAutospacing="1" w:after="0" w:afterAutospacing="1"/>
        <w:ind w:left="720" w:hanging="360"/>
      </w:pPr>
      <w:r>
        <w:t>《工业废气处理设备维护与管理》（360文库，2020）</w:t>
      </w:r>
    </w:p>
    <w:p w14:paraId="36AAD82A">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BDFF0A3B"/>
    <w:multiLevelType w:val="singleLevel"/>
    <w:tmpl w:val="BDFF0A3B"/>
    <w:lvl w:ilvl="0" w:tentative="0">
      <w:start w:val="1"/>
      <w:numFmt w:val="decimal"/>
      <w:lvlText w:val="%1."/>
      <w:lvlJc w:val="left"/>
      <w:pPr>
        <w:ind w:left="720" w:hanging="360"/>
      </w:pPr>
      <w:rPr>
        <w:sz w:val="24"/>
      </w:rPr>
    </w:lvl>
  </w:abstractNum>
  <w:abstractNum w:abstractNumId="4">
    <w:nsid w:val="EF7F6C23"/>
    <w:multiLevelType w:val="singleLevel"/>
    <w:tmpl w:val="EF7F6C23"/>
    <w:lvl w:ilvl="0" w:tentative="0">
      <w:start w:val="1"/>
      <w:numFmt w:val="decimal"/>
      <w:lvlText w:val="%1."/>
      <w:lvlJc w:val="left"/>
      <w:pPr>
        <w:ind w:left="720" w:hanging="360"/>
      </w:pPr>
      <w:rPr>
        <w:sz w:val="24"/>
      </w:rPr>
    </w:lvl>
  </w:abstractNum>
  <w:abstractNum w:abstractNumId="5">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6">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7">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8">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9">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10">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11">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2">
    <w:nsid w:val="33FE3FCC"/>
    <w:multiLevelType w:val="singleLevel"/>
    <w:tmpl w:val="33FE3FCC"/>
    <w:lvl w:ilvl="0" w:tentative="0">
      <w:start w:val="10"/>
      <w:numFmt w:val="decimal"/>
      <w:lvlText w:val="%1."/>
      <w:lvlJc w:val="left"/>
      <w:pPr>
        <w:ind w:left="720" w:hanging="360"/>
      </w:pPr>
      <w:rPr>
        <w:sz w:val="24"/>
      </w:rPr>
    </w:lvl>
  </w:abstractNum>
  <w:abstractNum w:abstractNumId="13">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4">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11"/>
  </w:num>
  <w:num w:numId="2">
    <w:abstractNumId w:val="14"/>
  </w:num>
  <w:num w:numId="3">
    <w:abstractNumId w:val="1"/>
  </w:num>
  <w:num w:numId="4">
    <w:abstractNumId w:val="9"/>
  </w:num>
  <w:num w:numId="5">
    <w:abstractNumId w:val="6"/>
  </w:num>
  <w:num w:numId="6">
    <w:abstractNumId w:val="13"/>
  </w:num>
  <w:num w:numId="7">
    <w:abstractNumId w:val="5"/>
  </w:num>
  <w:num w:numId="8">
    <w:abstractNumId w:val="10"/>
  </w:num>
  <w:num w:numId="9">
    <w:abstractNumId w:val="7"/>
  </w:num>
  <w:num w:numId="10">
    <w:abstractNumId w:val="8"/>
  </w:num>
  <w:num w:numId="11">
    <w:abstractNumId w:val="2"/>
  </w:num>
  <w:num w:numId="12">
    <w:abstractNumId w:val="0"/>
  </w:num>
  <w:num w:numId="13">
    <w:abstractNumId w:val="3"/>
  </w:num>
  <w:num w:numId="14">
    <w:abstractNumId w:val="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5FAA84EB"/>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DF6DF86B"/>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2025-10-06T21:35:23Z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0D67B607ED2900789BC5E3684A9033C8_43</vt:lpwstr>
  </property>
  <property fmtid="{D5CDD505-2E9C-101B-9397-08002B2CF9AE}" pid="4" name="KSOTemplateDocerSaveRecord">
    <vt:lpwstr>eyJoZGlkIjoiNzI4YmNmYThhZjA0NTVhODllNDhjMGZiNmFkMDJjN2YiLCJ1c2VySWQiOiIxNjA5OTI0MDI0In0=</vt:lpwstr>
  </property>
</Properties>
</file>