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C1FFCB">
      <w:pPr>
        <w:pStyle w:val="5"/>
      </w:pPr>
    </w:p>
    <w:p w14:paraId="3C1A76D4">
      <w:pPr>
        <w:pStyle w:val="5"/>
      </w:pPr>
    </w:p>
    <w:p w14:paraId="6144A655">
      <w:pPr>
        <w:pStyle w:val="5"/>
      </w:pPr>
      <w:r>
        <w:t>干变浇注车间废气处理系统详解</w:t>
      </w:r>
    </w:p>
    <w:p w14:paraId="327FCFBB">
      <w:pPr>
        <w:pStyle w:val="6"/>
      </w:pPr>
      <w:r>
        <w:rPr>
          <w:b/>
        </w:rPr>
        <w:t>一、系统结构</w:t>
      </w:r>
    </w:p>
    <w:p w14:paraId="7186A79B">
      <w:r>
        <w:t>干变浇注车间废气处理系统通过</w:t>
      </w:r>
      <w:r>
        <w:rPr>
          <w:b/>
        </w:rPr>
        <w:t>多级处理单元协同作用</w:t>
      </w:r>
      <w:r>
        <w:t>，实现废气的收集、净化与达标排放，核心结构包括以下模块：</w:t>
      </w:r>
    </w:p>
    <w:tbl>
      <w:tblPr>
        <w:tblStyle w:val="19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  <w:gridCol w:w="2880"/>
      </w:tblGrid>
      <w:tr w14:paraId="15E719A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E5D4810">
            <w:pPr>
              <w:jc w:val="center"/>
              <w:rPr>
                <w:b/>
              </w:rPr>
            </w:pPr>
            <w:r>
              <w:rPr>
                <w:b/>
              </w:rPr>
              <w:t>模块名称</w:t>
            </w:r>
          </w:p>
        </w:tc>
        <w:tc>
          <w:tcPr>
            <w:tcW w:w="0" w:type="auto"/>
            <w:vAlign w:val="center"/>
          </w:tcPr>
          <w:p w14:paraId="7AF42C68">
            <w:pPr>
              <w:jc w:val="center"/>
              <w:rPr>
                <w:b/>
              </w:rPr>
            </w:pPr>
            <w:r>
              <w:rPr>
                <w:b/>
              </w:rPr>
              <w:t>核心组件</w:t>
            </w:r>
          </w:p>
        </w:tc>
        <w:tc>
          <w:tcPr>
            <w:tcW w:w="0" w:type="auto"/>
            <w:vAlign w:val="center"/>
          </w:tcPr>
          <w:p w14:paraId="32C22601">
            <w:pPr>
              <w:jc w:val="center"/>
              <w:rPr>
                <w:b/>
              </w:rPr>
            </w:pPr>
            <w:r>
              <w:rPr>
                <w:b/>
              </w:rPr>
              <w:t>功能描述</w:t>
            </w:r>
          </w:p>
        </w:tc>
      </w:tr>
      <w:tr w14:paraId="4D1F40C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5B2DC5BD">
            <w:r>
              <w:rPr>
                <w:b/>
              </w:rPr>
              <w:t>废气收集模块</w:t>
            </w:r>
          </w:p>
        </w:tc>
        <w:tc>
          <w:tcPr>
            <w:tcW w:w="0" w:type="auto"/>
            <w:vAlign w:val="center"/>
          </w:tcPr>
          <w:p w14:paraId="51822756">
            <w:r>
              <w:t>集气罩（顶吸/侧吸式）、负压通风管道、离心风机</w:t>
            </w:r>
          </w:p>
        </w:tc>
        <w:tc>
          <w:tcPr>
            <w:tcW w:w="0" w:type="auto"/>
            <w:vAlign w:val="center"/>
          </w:tcPr>
          <w:p w14:paraId="15E75E66">
            <w:r>
              <w:t>通过负压将浇注过程中产生的高温废气（含VOCs、颗粒物、硫化物等）集中捕获，防止无组织排放[^1][^2]。</w:t>
            </w:r>
          </w:p>
        </w:tc>
      </w:tr>
      <w:tr w14:paraId="3188818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5799CF4B">
            <w:r>
              <w:rPr>
                <w:b/>
              </w:rPr>
              <w:t>预处理模块</w:t>
            </w:r>
          </w:p>
        </w:tc>
        <w:tc>
          <w:tcPr>
            <w:tcW w:w="0" w:type="auto"/>
            <w:vAlign w:val="center"/>
          </w:tcPr>
          <w:p w14:paraId="2605C360">
            <w:r>
              <w:t>火花捕集器、旋风除尘器、喷淋降温塔、干式过滤器</w:t>
            </w:r>
          </w:p>
        </w:tc>
        <w:tc>
          <w:tcPr>
            <w:tcW w:w="0" w:type="auto"/>
            <w:vAlign w:val="center"/>
          </w:tcPr>
          <w:p w14:paraId="03B7C82D">
            <w:r>
              <w:t>去除废气中的火花（防止后续设备燃爆）、大颗粒粉尘（如型砂、金属氧化物），并将高温废气（200-600℃）冷却至80℃以下，保护后续净化设备[^1][^3]。</w:t>
            </w:r>
          </w:p>
        </w:tc>
      </w:tr>
      <w:tr w14:paraId="6EE31CCB">
        <w:tc>
          <w:tcPr>
            <w:tcW w:w="0" w:type="auto"/>
            <w:vAlign w:val="center"/>
          </w:tcPr>
          <w:p w14:paraId="3EC12408">
            <w:r>
              <w:rPr>
                <w:b/>
              </w:rPr>
              <w:t>净化处理模块</w:t>
            </w:r>
          </w:p>
        </w:tc>
        <w:tc>
          <w:tcPr>
            <w:tcW w:w="0" w:type="auto"/>
            <w:vAlign w:val="center"/>
          </w:tcPr>
          <w:p w14:paraId="13E172EE">
            <w:r>
              <w:rPr>
                <w:b/>
              </w:rPr>
              <w:t>活性炭吸附塔</w:t>
            </w:r>
            <w:r>
              <w:t>（蜂窝状活性炭）、</w:t>
            </w:r>
            <w:r>
              <w:rPr>
                <w:b/>
              </w:rPr>
              <w:t>催化燃烧装置</w:t>
            </w:r>
            <w:r>
              <w:t>（RCO/RTO）、</w:t>
            </w:r>
            <w:r>
              <w:rPr>
                <w:b/>
              </w:rPr>
              <w:t>布袋除尘器</w:t>
            </w:r>
          </w:p>
        </w:tc>
        <w:tc>
          <w:tcPr>
            <w:tcW w:w="0" w:type="auto"/>
            <w:vAlign w:val="center"/>
          </w:tcPr>
          <w:p w14:paraId="6530A1A5">
            <w:r>
              <w:t>- 活性炭吸附有机物（如苯系物、酚类）；</w:t>
            </w:r>
            <w:r>
              <w:br w:type="textWrapping"/>
            </w:r>
            <w:r>
              <w:t>- 催化燃烧将吸附的VOCs在250-300℃下分解为CO₂和H₂O；</w:t>
            </w:r>
            <w:r>
              <w:br w:type="textWrapping"/>
            </w:r>
            <w:r>
              <w:t>- 布袋除尘器过滤细小粉尘（效率≥99%）[^2][^4]。</w:t>
            </w:r>
          </w:p>
        </w:tc>
      </w:tr>
      <w:tr w14:paraId="574520B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FC1E174">
            <w:r>
              <w:rPr>
                <w:b/>
              </w:rPr>
              <w:t>控制系统模块</w:t>
            </w:r>
          </w:p>
        </w:tc>
        <w:tc>
          <w:tcPr>
            <w:tcW w:w="0" w:type="auto"/>
            <w:vAlign w:val="center"/>
          </w:tcPr>
          <w:p w14:paraId="54AA1D56">
            <w:r>
              <w:t>PLC控制器、在线监测传感器（温度/压力/浓度）、电磁阀、触摸屏</w:t>
            </w:r>
          </w:p>
        </w:tc>
        <w:tc>
          <w:tcPr>
            <w:tcW w:w="0" w:type="auto"/>
            <w:vAlign w:val="center"/>
          </w:tcPr>
          <w:p w14:paraId="11E80CD0">
            <w:r>
              <w:t>实时监控设备运行参数，自动切换吸附/脱附流程，联动风机、阀门等执行机构[^4][^5]。</w:t>
            </w:r>
          </w:p>
        </w:tc>
      </w:tr>
      <w:tr w14:paraId="522A431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7B672B84">
            <w:r>
              <w:rPr>
                <w:b/>
              </w:rPr>
              <w:t>安全与排放模块</w:t>
            </w:r>
          </w:p>
        </w:tc>
        <w:tc>
          <w:tcPr>
            <w:tcW w:w="0" w:type="auto"/>
            <w:vAlign w:val="center"/>
          </w:tcPr>
          <w:p w14:paraId="430529D8">
            <w:r>
              <w:t>防爆膜、泄爆口、阻火器、排气筒（高度≥15m）、尾气在线监测仪</w:t>
            </w:r>
          </w:p>
        </w:tc>
        <w:tc>
          <w:tcPr>
            <w:tcW w:w="0" w:type="auto"/>
            <w:vAlign w:val="center"/>
          </w:tcPr>
          <w:p w14:paraId="22DB26B9">
            <w:r>
              <w:t>防止设备超压爆炸，确保处理后废气中VOCs浓度≤50mg/m³、颗粒物≤10mg/m³，符合GB 3095-2018标准[^4][^5]。</w:t>
            </w:r>
          </w:p>
        </w:tc>
      </w:tr>
    </w:tbl>
    <w:p w14:paraId="36866383">
      <w:pPr>
        <w:pStyle w:val="6"/>
      </w:pPr>
      <w:r>
        <w:rPr>
          <w:b/>
        </w:rPr>
        <w:t>二、核心功能</w:t>
      </w:r>
    </w:p>
    <w:p w14:paraId="31122162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rPr>
          <w:b/>
        </w:rPr>
        <w:t>高效废气捕获</w:t>
      </w:r>
    </w:p>
    <w:p w14:paraId="33635063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集气罩覆盖浇注工位，通过风机产生负压（风压500-2000Pa），捕获效率达90%以上，避免废气扩散至车间环境[^1][^5]。</w:t>
      </w:r>
    </w:p>
    <w:p w14:paraId="108AAF4D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rPr>
          <w:b/>
        </w:rPr>
        <w:t>污染物分级去除</w:t>
      </w:r>
    </w:p>
    <w:p w14:paraId="378EA6ED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rPr>
          <w:b/>
        </w:rPr>
        <w:t>颗粒物控制</w:t>
      </w:r>
      <w:r>
        <w:t>：旋风除尘器去除粒径＞10μm的粉尘，布袋除尘器过滤粒径＜1μm的超细粉尘[^2]。</w:t>
      </w:r>
    </w:p>
    <w:p w14:paraId="41FB5AE3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rPr>
          <w:b/>
        </w:rPr>
        <w:t>VOCs净化</w:t>
      </w:r>
      <w:r>
        <w:t>：活性炭吸附低浓度VOCs（≤1000mg/m³），催化燃烧处理高浓度废气（＞500mg/m³），净化效率达95%-99.5%[^4]。</w:t>
      </w:r>
    </w:p>
    <w:p w14:paraId="40E386C8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rPr>
          <w:b/>
        </w:rPr>
        <w:t>有害气体处理</w:t>
      </w:r>
      <w:r>
        <w:t>：喷淋塔通过碱性溶液（如NaOH）吸收SO₂、NOx等酸性气体，中和效率＞80%[^3]。</w:t>
      </w:r>
    </w:p>
    <w:p w14:paraId="60A57575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rPr>
          <w:b/>
        </w:rPr>
        <w:t>自动化与节能运行</w:t>
      </w:r>
    </w:p>
    <w:p w14:paraId="4B3FD48F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采用PLC+触摸屏实现全自动控制，支持远程监控；催化燃烧装置通过蓄热体回收热量（节能率＞70%），降低电耗[^4][^5]。</w:t>
      </w:r>
    </w:p>
    <w:p w14:paraId="3FA58EC0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rPr>
          <w:b/>
        </w:rPr>
        <w:t>安全防护</w:t>
      </w:r>
    </w:p>
    <w:p w14:paraId="5511E41E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配置温度传感器（监测催化床温度，超350℃自动停机）、防爆膜（爆破压力0.15MPa）及CO浓度报警，防止火灾爆炸风险[^4]。</w:t>
      </w:r>
    </w:p>
    <w:p w14:paraId="42E1D928">
      <w:pPr>
        <w:pStyle w:val="6"/>
      </w:pPr>
      <w:r>
        <w:rPr>
          <w:b/>
        </w:rPr>
        <w:t>三、机械原理</w:t>
      </w:r>
    </w:p>
    <w:p w14:paraId="5560A28C">
      <w:r>
        <w:t>系统通过</w:t>
      </w:r>
      <w:r>
        <w:rPr>
          <w:b/>
        </w:rPr>
        <w:t>流体力学与机械传动</w:t>
      </w:r>
      <w:r>
        <w:t>实现废气定向流动与净化：</w:t>
      </w:r>
    </w:p>
    <w:p w14:paraId="46C2E26D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rPr>
          <w:b/>
        </w:rPr>
        <w:t>废气输送机制</w:t>
      </w:r>
    </w:p>
    <w:p w14:paraId="4D847BA7">
      <w:pPr>
        <w:numPr>
          <w:ilvl w:val="1"/>
          <w:numId w:val="3"/>
        </w:numPr>
        <w:spacing w:before="0" w:beforeAutospacing="1" w:after="0" w:afterAutospacing="1"/>
        <w:ind w:left="1440" w:hanging="360"/>
      </w:pPr>
      <w:r>
        <w:t>离心风机通过皮带传动驱动叶轮旋转，产生负压将废气从集气罩吸入管道（风速12-18m/s），管道采用坡度设计（≥3°）防止积液[^1][^4]。</w:t>
      </w:r>
    </w:p>
    <w:p w14:paraId="46002067">
      <w:pPr>
        <w:numPr>
          <w:ilvl w:val="1"/>
          <w:numId w:val="3"/>
        </w:numPr>
        <w:spacing w:before="0" w:beforeAutospacing="1" w:after="0" w:afterAutospacing="1"/>
        <w:ind w:left="1440" w:hanging="360"/>
      </w:pPr>
      <w:r>
        <w:t>风量调节通过变频电机控制风机转速，匹配浇注间歇期（低风量）与连续生产期（高风量）需求[^5]。</w:t>
      </w:r>
    </w:p>
    <w:p w14:paraId="2F3F3025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rPr>
          <w:b/>
        </w:rPr>
        <w:t>预处理设备机械结构</w:t>
      </w:r>
    </w:p>
    <w:p w14:paraId="2F8CDC86">
      <w:pPr>
        <w:numPr>
          <w:ilvl w:val="1"/>
          <w:numId w:val="3"/>
        </w:numPr>
        <w:spacing w:before="0" w:beforeAutospacing="1" w:after="0" w:afterAutospacing="1"/>
        <w:ind w:left="1440" w:hanging="360"/>
      </w:pPr>
      <w:r>
        <w:rPr>
          <w:b/>
        </w:rPr>
        <w:t>旋风除尘器</w:t>
      </w:r>
      <w:r>
        <w:t>：废气沿切线进入圆柱筒，在离心力作用下，大颗粒（＞10μm）被甩向筒壁，通过底部灰斗排出[^2]。</w:t>
      </w:r>
    </w:p>
    <w:p w14:paraId="74B23D8C">
      <w:pPr>
        <w:numPr>
          <w:ilvl w:val="1"/>
          <w:numId w:val="3"/>
        </w:numPr>
        <w:spacing w:before="0" w:beforeAutospacing="1" w:after="0" w:afterAutospacing="1"/>
        <w:ind w:left="1440" w:hanging="360"/>
      </w:pPr>
      <w:r>
        <w:rPr>
          <w:b/>
        </w:rPr>
        <w:t>喷淋降温塔</w:t>
      </w:r>
      <w:r>
        <w:t>：废气与雾化水逆向接触，通过气液热交换降温，水雾由高压泵（压力0.3-0.5MPa）驱动喷嘴产生[^3]。</w:t>
      </w:r>
    </w:p>
    <w:p w14:paraId="520D8F07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rPr>
          <w:b/>
        </w:rPr>
        <w:t>净化设备核心机械原理</w:t>
      </w:r>
    </w:p>
    <w:p w14:paraId="374D4EBD">
      <w:pPr>
        <w:numPr>
          <w:ilvl w:val="1"/>
          <w:numId w:val="3"/>
        </w:numPr>
        <w:spacing w:before="0" w:beforeAutospacing="1" w:after="0" w:afterAutospacing="1"/>
        <w:ind w:left="1440" w:hanging="360"/>
      </w:pPr>
      <w:r>
        <w:rPr>
          <w:b/>
        </w:rPr>
        <w:t>活性炭吸附塔</w:t>
      </w:r>
      <w:r>
        <w:t>：采用抽屉式活性炭模块（填充量50-200kg/塔），通过气动阀门切换吸附/脱附模式，脱附时热空气（120-180℃）逆向吹扫活性炭[^4]。</w:t>
      </w:r>
    </w:p>
    <w:p w14:paraId="53A149DC">
      <w:pPr>
        <w:numPr>
          <w:ilvl w:val="1"/>
          <w:numId w:val="3"/>
        </w:numPr>
        <w:spacing w:before="0" w:beforeAutospacing="1" w:after="0" w:afterAutospacing="1"/>
        <w:ind w:left="1440" w:hanging="360"/>
      </w:pPr>
      <w:r>
        <w:rPr>
          <w:b/>
        </w:rPr>
        <w:t>布袋除尘器</w:t>
      </w:r>
      <w:r>
        <w:t>：滤袋（材质PPS或PTFE）垂直悬挂，通过脉冲电磁阀（压力0.4-0.6MPa）喷吹压缩空气，使滤袋振动清灰（清灰周期1-3分钟）[^2]。</w:t>
      </w:r>
    </w:p>
    <w:p w14:paraId="5C306FC4">
      <w:pPr>
        <w:numPr>
          <w:ilvl w:val="1"/>
          <w:numId w:val="3"/>
        </w:numPr>
        <w:spacing w:before="0" w:beforeAutospacing="1" w:after="0" w:afterAutospacing="1"/>
        <w:ind w:left="1440" w:hanging="360"/>
      </w:pPr>
      <w:r>
        <w:rPr>
          <w:b/>
        </w:rPr>
        <w:t>催化燃烧装置</w:t>
      </w:r>
      <w:r>
        <w:t>：内置蜂窝状催化剂（Pt/Rh贵金属），废气与高温烟气在蓄热陶瓷体（比热容0.8kJ/kg·℃）中换热，实现能量回收[^4]。</w:t>
      </w:r>
    </w:p>
    <w:p w14:paraId="69B6010B">
      <w:pPr>
        <w:pStyle w:val="6"/>
      </w:pPr>
      <w:r>
        <w:rPr>
          <w:b/>
        </w:rPr>
        <w:t>四、控制原理</w:t>
      </w:r>
    </w:p>
    <w:p w14:paraId="2CAE9468">
      <w:r>
        <w:t>系统采用</w:t>
      </w:r>
      <w:r>
        <w:rPr>
          <w:b/>
        </w:rPr>
        <w:t>PLC为核心的闭环控制</w:t>
      </w:r>
      <w:r>
        <w:t>，结合传感器与执行器实现智能化运行：</w:t>
      </w:r>
    </w:p>
    <w:p w14:paraId="130A230C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rPr>
          <w:b/>
        </w:rPr>
        <w:t>核心控制逻辑</w:t>
      </w:r>
    </w:p>
    <w:p w14:paraId="4B83BEBA">
      <w:pPr>
        <w:numPr>
          <w:ilvl w:val="1"/>
          <w:numId w:val="4"/>
        </w:numPr>
        <w:spacing w:before="0" w:beforeAutospacing="1" w:after="0" w:afterAutospacing="1"/>
        <w:ind w:left="1440" w:hanging="360"/>
      </w:pPr>
      <w:r>
        <w:rPr>
          <w:b/>
        </w:rPr>
        <w:t>参数监测</w:t>
      </w:r>
      <w:r>
        <w:t>：通过温度传感器（催化床、废气入口）、压力变送器（管道风压）、VOCs在线监测仪（PID传感器）实时采集数据[^5]。</w:t>
      </w:r>
    </w:p>
    <w:p w14:paraId="4AB806EA">
      <w:pPr>
        <w:numPr>
          <w:ilvl w:val="1"/>
          <w:numId w:val="4"/>
        </w:numPr>
        <w:spacing w:before="0" w:beforeAutospacing="1" w:after="0" w:afterAutospacing="1"/>
        <w:ind w:left="1440" w:hanging="360"/>
      </w:pPr>
      <w:r>
        <w:rPr>
          <w:b/>
        </w:rPr>
        <w:t>自动调节</w:t>
      </w:r>
      <w:r>
        <w:t>：</w:t>
      </w:r>
    </w:p>
    <w:p w14:paraId="5D71C01B">
      <w:pPr>
        <w:numPr>
          <w:ilvl w:val="2"/>
          <w:numId w:val="4"/>
        </w:numPr>
        <w:spacing w:before="0" w:beforeAutospacing="1" w:after="0" w:afterAutospacing="1"/>
        <w:ind w:left="2160" w:hanging="360"/>
      </w:pPr>
      <w:r>
        <w:t>当VOCs浓度＞500mg/m³时，PLC启动催化燃烧装置（预热至250℃）；</w:t>
      </w:r>
    </w:p>
    <w:p w14:paraId="18A4E6C1">
      <w:pPr>
        <w:numPr>
          <w:ilvl w:val="2"/>
          <w:numId w:val="4"/>
        </w:numPr>
        <w:spacing w:before="0" w:beforeAutospacing="1" w:after="0" w:afterAutospacing="1"/>
        <w:ind w:left="2160" w:hanging="360"/>
      </w:pPr>
      <w:r>
        <w:t>布袋除尘器压差＞1500Pa时，触发脉冲清灰；</w:t>
      </w:r>
    </w:p>
    <w:p w14:paraId="4CB6C94E">
      <w:pPr>
        <w:numPr>
          <w:ilvl w:val="2"/>
          <w:numId w:val="4"/>
        </w:numPr>
        <w:spacing w:before="0" w:beforeAutospacing="1" w:after="0" w:afterAutospacing="1"/>
        <w:ind w:left="2160" w:hanging="360"/>
      </w:pPr>
      <w:r>
        <w:t>风机出口温度＞80℃时，联动喷淋降温塔补水[^4][^5]。</w:t>
      </w:r>
    </w:p>
    <w:p w14:paraId="751822E8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rPr>
          <w:b/>
        </w:rPr>
        <w:t>吸附-脱附循环控制</w:t>
      </w:r>
    </w:p>
    <w:p w14:paraId="653B82F3">
      <w:pPr>
        <w:numPr>
          <w:ilvl w:val="1"/>
          <w:numId w:val="4"/>
        </w:numPr>
        <w:spacing w:before="0" w:beforeAutospacing="1" w:after="0" w:afterAutospacing="1"/>
        <w:ind w:left="1440" w:hanging="360"/>
      </w:pPr>
      <w:r>
        <w:t>双吸附塔交替工作：塔A吸附时，塔B进行脱附（热空气吹扫+氮气冷却），切换周期由活性炭饱和度（通过出口VOCs浓度判断）决定[^4]。</w:t>
      </w:r>
    </w:p>
    <w:p w14:paraId="61750288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rPr>
          <w:b/>
        </w:rPr>
        <w:t>安全联锁控制</w:t>
      </w:r>
    </w:p>
    <w:p w14:paraId="796677BD">
      <w:pPr>
        <w:numPr>
          <w:ilvl w:val="1"/>
          <w:numId w:val="4"/>
        </w:numPr>
        <w:spacing w:before="0" w:beforeAutospacing="1" w:after="0" w:afterAutospacing="1"/>
        <w:ind w:left="1440" w:hanging="360"/>
      </w:pPr>
      <w:r>
        <w:t>防爆膜破裂→系统紧急停机并关闭进气阀；</w:t>
      </w:r>
    </w:p>
    <w:p w14:paraId="181F4E5D">
      <w:pPr>
        <w:numPr>
          <w:ilvl w:val="1"/>
          <w:numId w:val="4"/>
        </w:numPr>
        <w:spacing w:before="0" w:beforeAutospacing="1" w:after="0" w:afterAutospacing="1"/>
        <w:ind w:left="1440" w:hanging="360"/>
      </w:pPr>
      <w:r>
        <w:t>催化床温度＞350℃→切断加热电源并启动冷风稀释；</w:t>
      </w:r>
    </w:p>
    <w:p w14:paraId="2C88CCE2">
      <w:pPr>
        <w:numPr>
          <w:ilvl w:val="1"/>
          <w:numId w:val="4"/>
        </w:numPr>
        <w:spacing w:before="0" w:beforeAutospacing="1" w:after="0" w:afterAutospacing="1"/>
        <w:ind w:left="1440" w:hanging="360"/>
      </w:pPr>
      <w:r>
        <w:t>风机故障→触发声光报警并打开旁通阀门[^4]。</w:t>
      </w:r>
    </w:p>
    <w:p w14:paraId="521EB7CB">
      <w:pPr>
        <w:pStyle w:val="6"/>
      </w:pPr>
      <w:r>
        <w:rPr>
          <w:b/>
        </w:rPr>
        <w:t>五、常见故障、成因与对策</w:t>
      </w:r>
    </w:p>
    <w:tbl>
      <w:tblPr>
        <w:tblStyle w:val="19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  <w:gridCol w:w="2880"/>
      </w:tblGrid>
      <w:tr w14:paraId="46B914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6880750">
            <w:pPr>
              <w:jc w:val="center"/>
              <w:rPr>
                <w:b/>
              </w:rPr>
            </w:pPr>
            <w:r>
              <w:rPr>
                <w:b/>
              </w:rPr>
              <w:t>故障类型</w:t>
            </w:r>
          </w:p>
        </w:tc>
        <w:tc>
          <w:tcPr>
            <w:tcW w:w="0" w:type="auto"/>
            <w:vAlign w:val="center"/>
          </w:tcPr>
          <w:p w14:paraId="216D3150">
            <w:pPr>
              <w:jc w:val="center"/>
              <w:rPr>
                <w:b/>
              </w:rPr>
            </w:pPr>
            <w:r>
              <w:rPr>
                <w:b/>
              </w:rPr>
              <w:t>可能成因</w:t>
            </w:r>
          </w:p>
        </w:tc>
        <w:tc>
          <w:tcPr>
            <w:tcW w:w="0" w:type="auto"/>
            <w:vAlign w:val="center"/>
          </w:tcPr>
          <w:p w14:paraId="77CF22F1">
            <w:pPr>
              <w:jc w:val="center"/>
              <w:rPr>
                <w:b/>
              </w:rPr>
            </w:pPr>
            <w:r>
              <w:rPr>
                <w:b/>
              </w:rPr>
              <w:t>解决对策</w:t>
            </w:r>
          </w:p>
        </w:tc>
      </w:tr>
      <w:tr w14:paraId="2F8A8AE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79012C72">
            <w:r>
              <w:rPr>
                <w:b/>
              </w:rPr>
              <w:t>风机振动异常（振幅＞0.1mm）</w:t>
            </w:r>
          </w:p>
        </w:tc>
        <w:tc>
          <w:tcPr>
            <w:tcW w:w="0" w:type="auto"/>
            <w:vAlign w:val="center"/>
          </w:tcPr>
          <w:p w14:paraId="11D19268">
            <w:r>
              <w:t>叶轮积灰失衡、轴承缺油或磨损、皮带张紧度不均</w:t>
            </w:r>
          </w:p>
        </w:tc>
        <w:tc>
          <w:tcPr>
            <w:tcW w:w="0" w:type="auto"/>
            <w:vAlign w:val="center"/>
          </w:tcPr>
          <w:p w14:paraId="3CF66EA3">
            <w:r>
              <w:t>清理叶轮粉尘、补充锂基润滑脂（型号3#）、调整皮带轮平行度（偏差≤0.5mm）[^4]。</w:t>
            </w:r>
          </w:p>
        </w:tc>
      </w:tr>
      <w:tr w14:paraId="71DF071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C80DE07">
            <w:r>
              <w:rPr>
                <w:b/>
              </w:rPr>
              <w:t>活性炭吸附效率下降</w:t>
            </w:r>
          </w:p>
        </w:tc>
        <w:tc>
          <w:tcPr>
            <w:tcW w:w="0" w:type="auto"/>
            <w:vAlign w:val="center"/>
          </w:tcPr>
          <w:p w14:paraId="5E3B3457">
            <w:r>
              <w:t>活性炭饱和（吸附量达8-10%）、进气湿度＞80%导致活性炭结块</w:t>
            </w:r>
          </w:p>
        </w:tc>
        <w:tc>
          <w:tcPr>
            <w:tcW w:w="0" w:type="auto"/>
            <w:vAlign w:val="center"/>
          </w:tcPr>
          <w:p w14:paraId="5E768554">
            <w:r>
              <w:t>启动脱附再生（180℃热空气吹扫3小时）、前置除湿装置（如硅胶干燥塔）[^4][^5]。</w:t>
            </w:r>
          </w:p>
        </w:tc>
      </w:tr>
      <w:tr w14:paraId="7BA235B5">
        <w:tc>
          <w:tcPr>
            <w:tcW w:w="0" w:type="auto"/>
            <w:vAlign w:val="center"/>
          </w:tcPr>
          <w:p w14:paraId="21F1C985">
            <w:r>
              <w:rPr>
                <w:b/>
              </w:rPr>
              <w:t>布袋除尘器压差过高（＞2000Pa）</w:t>
            </w:r>
          </w:p>
        </w:tc>
        <w:tc>
          <w:tcPr>
            <w:tcW w:w="0" w:type="auto"/>
            <w:vAlign w:val="center"/>
          </w:tcPr>
          <w:p w14:paraId="34674EE5">
            <w:r>
              <w:t>滤袋堵塞（粉尘黏结）、脉冲阀故障（膜片破损）</w:t>
            </w:r>
          </w:p>
        </w:tc>
        <w:tc>
          <w:tcPr>
            <w:tcW w:w="0" w:type="auto"/>
            <w:vAlign w:val="center"/>
          </w:tcPr>
          <w:p w14:paraId="26518557">
            <w:r>
              <w:t>更换滤袋（寿命8000小时）、检修电磁阀（更换密封垫）并提高喷吹压力至0.6MPa[^2]。</w:t>
            </w:r>
          </w:p>
        </w:tc>
      </w:tr>
      <w:tr w14:paraId="5A0D96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3D4C2A5">
            <w:r>
              <w:rPr>
                <w:b/>
              </w:rPr>
              <w:t>催化燃烧温度异常（＜200℃）</w:t>
            </w:r>
          </w:p>
        </w:tc>
        <w:tc>
          <w:tcPr>
            <w:tcW w:w="0" w:type="auto"/>
            <w:vAlign w:val="center"/>
          </w:tcPr>
          <w:p w14:paraId="73ACF40C">
            <w:r>
              <w:t>电加热管损坏、催化剂中毒（硫/氯元素附着）、废气流量过大</w:t>
            </w:r>
          </w:p>
        </w:tc>
        <w:tc>
          <w:tcPr>
            <w:tcW w:w="0" w:type="auto"/>
            <w:vAlign w:val="center"/>
          </w:tcPr>
          <w:p w14:paraId="06A5BE0B">
            <w:r>
              <w:t>更换加热管（功率3-6kW）、更换催化剂（寿命2-3年）、降低风机转速（减小风量）[^4]。</w:t>
            </w:r>
          </w:p>
        </w:tc>
      </w:tr>
      <w:tr w14:paraId="47DDDF0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E954FB4">
            <w:r>
              <w:rPr>
                <w:b/>
              </w:rPr>
              <w:t>系统报警停机（防爆膜破裂）</w:t>
            </w:r>
          </w:p>
        </w:tc>
        <w:tc>
          <w:tcPr>
            <w:tcW w:w="0" w:type="auto"/>
            <w:vAlign w:val="center"/>
          </w:tcPr>
          <w:p w14:paraId="16908A6B">
            <w:r>
              <w:t>废气中易燃物浓度超标（如苯系物＞25%LEL）、火花捕集器失效</w:t>
            </w:r>
          </w:p>
        </w:tc>
        <w:tc>
          <w:tcPr>
            <w:tcW w:w="0" w:type="auto"/>
            <w:vAlign w:val="center"/>
          </w:tcPr>
          <w:p w14:paraId="539FD0EB">
            <w:r>
              <w:t>检查上游工艺是否泄漏有机溶剂、清理火花捕集器滤网（目数100目）并加装阻火器[^4]。</w:t>
            </w:r>
          </w:p>
        </w:tc>
      </w:tr>
    </w:tbl>
    <w:p w14:paraId="74649320">
      <w:pPr>
        <w:pStyle w:val="6"/>
      </w:pPr>
      <w:r>
        <w:rPr>
          <w:b/>
        </w:rPr>
        <w:t>总结</w:t>
      </w:r>
    </w:p>
    <w:p w14:paraId="06A9B0D2">
      <w:r>
        <w:t>干变浇注车间废气处理系统通过“</w:t>
      </w:r>
      <w:r>
        <w:rPr>
          <w:b/>
        </w:rPr>
        <w:t>收集-预处理-净化-排放</w:t>
      </w:r>
      <w:r>
        <w:t>”全流程控制，实现对高温、高湿、多污染物废气的高效治理。设备工程师需重点关注风机与泵类的机械维护（如润滑、动平衡）、过滤材料（活性炭、滤袋）的定期更换，以及控制系统传感器校准，确保系统长期稳定运行，满足环保排放与生产安全要求。</w:t>
      </w:r>
    </w:p>
    <w:p w14:paraId="30586F83">
      <w:pPr>
        <w:bidi w:val="0"/>
        <w:ind w:left="0" w:leftChars="0" w:firstLine="0" w:firstLineChars="0"/>
        <w:rPr>
          <w:rFonts w:hint="default"/>
          <w:lang w:val="en-US" w:eastAsia="zh-CN"/>
        </w:rPr>
      </w:pPr>
    </w:p>
    <w:sectPr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微软雅黑">
    <w:altName w:val="汉仪旗黑KW 55S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SimHei">
    <w:altName w:val="汉仪中黑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Cambria">
    <w:altName w:val="Georgia"/>
    <w:panose1 w:val="02040503050406030204"/>
    <w:charset w:val="86"/>
    <w:family w:val="auto"/>
    <w:pitch w:val="default"/>
    <w:sig w:usb0="00000000" w:usb1="00000000" w:usb2="02000000" w:usb3="00000000" w:csb0="2000019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onsolas">
    <w:altName w:val="Noto Sans Mono"/>
    <w:panose1 w:val="020B0609020204030204"/>
    <w:charset w:val="00"/>
    <w:family w:val="auto"/>
    <w:pitch w:val="default"/>
    <w:sig w:usb0="00000000" w:usb1="00000000" w:usb2="00000001" w:usb3="00000000" w:csb0="6000019F" w:csb1="DFD70000"/>
  </w:font>
  <w:font w:name="Noto Sans Mono">
    <w:panose1 w:val="020B0509040504020204"/>
    <w:charset w:val="00"/>
    <w:family w:val="auto"/>
    <w:pitch w:val="default"/>
    <w:sig w:usb0="E00002FF" w:usb1="400038DF" w:usb2="08000029" w:usb3="001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  <w:ind w:firstLine="480"/>
      </w:pPr>
      <w:r>
        <w:separator/>
      </w:r>
    </w:p>
  </w:footnote>
  <w:footnote w:type="continuationSeparator" w:id="1">
    <w:p>
      <w:pPr>
        <w:spacing w:before="0" w:after="0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BB78C4B"/>
    <w:multiLevelType w:val="multilevel"/>
    <w:tmpl w:val="ABB78C4B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  <w:sz w:val="20"/>
      </w:rPr>
    </w:lvl>
  </w:abstractNum>
  <w:abstractNum w:abstractNumId="1">
    <w:nsid w:val="DE5F8C2A"/>
    <w:multiLevelType w:val="multilevel"/>
    <w:tmpl w:val="DE5F8C2A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2">
    <w:nsid w:val="FE7337E0"/>
    <w:multiLevelType w:val="multilevel"/>
    <w:tmpl w:val="FE7337E0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3">
    <w:nsid w:val="29AA8454"/>
    <w:multiLevelType w:val="multilevel"/>
    <w:tmpl w:val="29AA8454"/>
    <w:lvl w:ilvl="0" w:tentative="0">
      <w:start w:val="1"/>
      <w:numFmt w:val="chineseCounting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 w:ascii="SimHei" w:hAnsi="SimHei" w:eastAsia="SimHei"/>
      </w:rPr>
    </w:lvl>
    <w:lvl w:ilvl="1" w:tentative="0">
      <w:start w:val="1"/>
      <w:numFmt w:val="chineseCounting"/>
      <w:suff w:val="nothing"/>
      <w:lvlText w:val="（%2）"/>
      <w:lvlJc w:val="left"/>
      <w:pPr>
        <w:tabs>
          <w:tab w:val="left" w:pos="0"/>
        </w:tabs>
        <w:ind w:left="0" w:firstLine="0"/>
      </w:pPr>
      <w:rPr>
        <w:rFonts w:hint="eastAsia" w:ascii="SimHei" w:hAnsi="SimHei" w:eastAsia="SimHei"/>
      </w:rPr>
    </w:lvl>
    <w:lvl w:ilvl="2" w:tentative="0">
      <w:start w:val="1"/>
      <w:numFmt w:val="decimal"/>
      <w:suff w:val="nothing"/>
      <w:lvlText w:val="%3．"/>
      <w:lvlJc w:val="left"/>
      <w:pPr>
        <w:tabs>
          <w:tab w:val="left" w:pos="0"/>
        </w:tabs>
        <w:ind w:left="0" w:firstLine="400"/>
      </w:pPr>
      <w:rPr>
        <w:rFonts w:hint="eastAsia" w:ascii="SimHei" w:hAnsi="SimHei" w:eastAsia="SimHei"/>
      </w:rPr>
    </w:lvl>
    <w:lvl w:ilvl="3" w:tentative="0">
      <w:start w:val="1"/>
      <w:numFmt w:val="decimal"/>
      <w:suff w:val="nothing"/>
      <w:lvlText w:val="（%4）"/>
      <w:lvlJc w:val="left"/>
      <w:pPr>
        <w:tabs>
          <w:tab w:val="left" w:pos="0"/>
        </w:tabs>
        <w:ind w:left="0" w:firstLine="402"/>
      </w:pPr>
      <w:rPr>
        <w:rFonts w:hint="eastAsia" w:ascii="SimHei" w:hAnsi="SimHei" w:eastAsia="SimHei"/>
      </w:rPr>
    </w:lvl>
    <w:lvl w:ilvl="4" w:tentative="0">
      <w:start w:val="1"/>
      <w:numFmt w:val="decimalEnclosedCircleChinese"/>
      <w:pStyle w:val="7"/>
      <w:suff w:val="nothing"/>
      <w:lvlText w:val="%5"/>
      <w:lvlJc w:val="left"/>
      <w:pPr>
        <w:tabs>
          <w:tab w:val="left" w:pos="0"/>
        </w:tabs>
        <w:ind w:left="0" w:firstLine="402"/>
      </w:pPr>
      <w:rPr>
        <w:rFonts w:hint="eastAsia" w:ascii="SimHei" w:hAnsi="SimHei" w:eastAsia="SimHei"/>
      </w:rPr>
    </w:lvl>
    <w:lvl w:ilvl="5" w:tentative="0">
      <w:start w:val="1"/>
      <w:numFmt w:val="decimal"/>
      <w:pStyle w:val="8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9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10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1"/>
      <w:suff w:val="nothing"/>
      <w:lvlText w:val="%9 "/>
      <w:lvlJc w:val="left"/>
      <w:pPr>
        <w:ind w:left="0" w:firstLine="402"/>
      </w:pPr>
      <w:rPr>
        <w:rFonts w:hint="eastAsia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useFELayout/>
    <w:doNotUseIndentAsNumberingTabStop/>
    <w:splitPgBreakAndParaMark/>
    <w:compatSetting w:name="compatibilityMode" w:uri="http://schemas.microsoft.com/office/word" w:val="12"/>
  </w:compat>
  <w:docVars>
    <w:docVar w:name="commondata" w:val="eyJoZGlkIjoiOTgxM2RjOGM4NmFhZTkyOTlkMmE4MWQ0Zjg2YjZhY2IifQ=="/>
  </w:docVars>
  <w:rsids>
    <w:rsidRoot w:val="00000000"/>
    <w:rsid w:val="005539A0"/>
    <w:rsid w:val="01787946"/>
    <w:rsid w:val="06D7100B"/>
    <w:rsid w:val="06FC22B9"/>
    <w:rsid w:val="0AE0655C"/>
    <w:rsid w:val="0DB8556E"/>
    <w:rsid w:val="15B64A89"/>
    <w:rsid w:val="17872A04"/>
    <w:rsid w:val="17DFC7E3"/>
    <w:rsid w:val="1A5F56EF"/>
    <w:rsid w:val="1DE33F41"/>
    <w:rsid w:val="1F070103"/>
    <w:rsid w:val="259C15A5"/>
    <w:rsid w:val="27CD64A0"/>
    <w:rsid w:val="31C37EBA"/>
    <w:rsid w:val="37050677"/>
    <w:rsid w:val="38D330D8"/>
    <w:rsid w:val="3C2123AD"/>
    <w:rsid w:val="3EBE03F2"/>
    <w:rsid w:val="3FEA17AB"/>
    <w:rsid w:val="410B542B"/>
    <w:rsid w:val="427B35B9"/>
    <w:rsid w:val="435B43F6"/>
    <w:rsid w:val="45B00A41"/>
    <w:rsid w:val="4BDA60D4"/>
    <w:rsid w:val="4C934C01"/>
    <w:rsid w:val="4FD75668"/>
    <w:rsid w:val="504F35C5"/>
    <w:rsid w:val="51FD2B1C"/>
    <w:rsid w:val="5426635A"/>
    <w:rsid w:val="545D5AF4"/>
    <w:rsid w:val="54902503"/>
    <w:rsid w:val="55426F5C"/>
    <w:rsid w:val="56D71B8E"/>
    <w:rsid w:val="585D4798"/>
    <w:rsid w:val="5C0056E3"/>
    <w:rsid w:val="608E59B3"/>
    <w:rsid w:val="61D75138"/>
    <w:rsid w:val="6401649C"/>
    <w:rsid w:val="653F53AC"/>
    <w:rsid w:val="65907A54"/>
    <w:rsid w:val="666F1DE3"/>
    <w:rsid w:val="6A2D474B"/>
    <w:rsid w:val="6C2E1DF8"/>
    <w:rsid w:val="6CFD7AE5"/>
    <w:rsid w:val="6D877A12"/>
    <w:rsid w:val="7EEB2912"/>
    <w:rsid w:val="7EEC216D"/>
    <w:rsid w:val="E469114B"/>
    <w:rsid w:val="F57E5501"/>
    <w:rsid w:val="FF38D3B7"/>
    <w:rsid w:val="FFF38BD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100" w:beforeAutospacing="1" w:after="100" w:afterAutospacing="1"/>
      <w:ind w:firstLine="560" w:firstLineChars="200"/>
      <w:jc w:val="both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numPr>
        <w:ilvl w:val="0"/>
        <w:numId w:val="0"/>
      </w:numPr>
      <w:tabs>
        <w:tab w:val="left" w:pos="0"/>
      </w:tabs>
      <w:spacing w:before="480" w:after="0"/>
      <w:jc w:val="center"/>
      <w:outlineLvl w:val="0"/>
    </w:pPr>
    <w:rPr>
      <w:rFonts w:cstheme="majorBidi"/>
      <w:b/>
      <w:bCs/>
      <w:color w:val="auto"/>
      <w:sz w:val="32"/>
      <w:szCs w:val="32"/>
    </w:rPr>
  </w:style>
  <w:style w:type="paragraph" w:styleId="4">
    <w:name w:val="heading 2"/>
    <w:next w:val="3"/>
    <w:unhideWhenUsed/>
    <w:qFormat/>
    <w:uiPriority w:val="9"/>
    <w:pPr>
      <w:keepNext/>
      <w:keepLines/>
      <w:numPr>
        <w:ilvl w:val="1"/>
        <w:numId w:val="0"/>
      </w:numPr>
      <w:tabs>
        <w:tab w:val="left" w:pos="0"/>
      </w:tabs>
      <w:spacing w:after="0"/>
      <w:outlineLvl w:val="1"/>
    </w:pPr>
    <w:rPr>
      <w:rFonts w:ascii="Times New Roman" w:hAnsi="Times New Roman" w:eastAsia="宋体" w:cstheme="majorBidi"/>
      <w:b/>
      <w:bCs/>
      <w:color w:val="auto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numPr>
        <w:ilvl w:val="2"/>
        <w:numId w:val="0"/>
      </w:numPr>
      <w:tabs>
        <w:tab w:val="left" w:pos="0"/>
      </w:tabs>
      <w:spacing w:before="200" w:after="0"/>
      <w:ind w:firstLine="0"/>
      <w:outlineLvl w:val="2"/>
    </w:pPr>
    <w:rPr>
      <w:rFonts w:ascii="微软雅黑" w:hAnsi="微软雅黑" w:eastAsia="微软雅黑" w:cstheme="majorBidi"/>
      <w:b/>
      <w:bCs/>
      <w:color w:val="auto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numPr>
        <w:ilvl w:val="3"/>
        <w:numId w:val="0"/>
      </w:numPr>
      <w:tabs>
        <w:tab w:val="left" w:pos="0"/>
      </w:tabs>
      <w:spacing w:before="200" w:after="0"/>
      <w:ind w:firstLine="402"/>
      <w:outlineLvl w:val="3"/>
    </w:pPr>
    <w:rPr>
      <w:rFonts w:ascii="微软雅黑" w:hAnsi="微软雅黑" w:eastAsia="微软雅黑" w:cstheme="majorBidi"/>
      <w:bCs/>
      <w:i/>
      <w:color w:val="auto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numPr>
        <w:ilvl w:val="4"/>
        <w:numId w:val="1"/>
      </w:numPr>
      <w:spacing w:before="200" w:after="0"/>
      <w:ind w:firstLine="402"/>
      <w:outlineLvl w:val="4"/>
    </w:pPr>
    <w:rPr>
      <w:rFonts w:ascii="微软雅黑" w:hAnsi="微软雅黑" w:eastAsia="微软雅黑" w:cstheme="majorBidi"/>
      <w:iCs/>
      <w:color w:val="auto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numPr>
        <w:ilvl w:val="5"/>
        <w:numId w:val="1"/>
      </w:numPr>
      <w:spacing w:before="200" w:after="0"/>
      <w:ind w:firstLine="402"/>
      <w:outlineLvl w:val="5"/>
    </w:pPr>
    <w:rPr>
      <w:rFonts w:ascii="微软雅黑" w:hAnsi="微软雅黑" w:eastAsia="微软雅黑" w:cstheme="majorBidi"/>
      <w:color w:val="auto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numPr>
        <w:ilvl w:val="6"/>
        <w:numId w:val="1"/>
      </w:numPr>
      <w:spacing w:before="200" w:after="0"/>
      <w:ind w:firstLine="402"/>
      <w:outlineLvl w:val="6"/>
    </w:pPr>
    <w:rPr>
      <w:rFonts w:ascii="微软雅黑" w:hAnsi="微软雅黑" w:eastAsia="微软雅黑" w:cstheme="majorBidi"/>
      <w:color w:val="auto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numPr>
        <w:ilvl w:val="7"/>
        <w:numId w:val="1"/>
      </w:numPr>
      <w:spacing w:before="200" w:after="0"/>
      <w:ind w:firstLine="402"/>
      <w:outlineLvl w:val="7"/>
    </w:pPr>
    <w:rPr>
      <w:rFonts w:ascii="微软雅黑" w:hAnsi="微软雅黑" w:eastAsia="微软雅黑" w:cstheme="majorBidi"/>
      <w:color w:val="auto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numPr>
        <w:ilvl w:val="8"/>
        <w:numId w:val="1"/>
      </w:numPr>
      <w:spacing w:before="200" w:after="0"/>
      <w:ind w:firstLine="402"/>
      <w:outlineLvl w:val="8"/>
    </w:pPr>
    <w:rPr>
      <w:rFonts w:ascii="微软雅黑" w:hAnsi="微软雅黑" w:eastAsia="微软雅黑" w:cstheme="majorBidi"/>
      <w:color w:val="auto"/>
    </w:rPr>
  </w:style>
  <w:style w:type="character" w:default="1" w:styleId="20">
    <w:name w:val="Default Paragraph Font"/>
    <w:semiHidden/>
    <w:unhideWhenUsed/>
    <w:qFormat/>
    <w:uiPriority w:val="0"/>
  </w:style>
  <w:style w:type="table" w:default="1" w:styleId="19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2"/>
    <w:qFormat/>
    <w:uiPriority w:val="0"/>
    <w:pPr>
      <w:spacing w:before="180" w:after="180"/>
      <w:ind w:firstLine="560" w:firstLineChars="200"/>
      <w:jc w:val="both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rFonts w:ascii="微软雅黑" w:hAnsi="微软雅黑"/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="微软雅黑" w:hAnsi="微软雅黑" w:eastAsia="微软雅黑" w:cstheme="majorBidi"/>
      <w:b/>
      <w:bCs/>
      <w:color w:val="auto"/>
      <w:sz w:val="36"/>
      <w:szCs w:val="36"/>
    </w:rPr>
  </w:style>
  <w:style w:type="paragraph" w:styleId="17">
    <w:name w:val="footnote text"/>
    <w:basedOn w:val="1"/>
    <w:unhideWhenUsed/>
    <w:qFormat/>
    <w:uiPriority w:val="9"/>
    <w:rPr>
      <w:rFonts w:ascii="微软雅黑" w:hAnsi="微软雅黑" w:eastAsia="微软雅黑"/>
    </w:rPr>
  </w:style>
  <w:style w:type="paragraph" w:styleId="18">
    <w:name w:val="Normal (Web)"/>
    <w:basedOn w:val="1"/>
    <w:next w:val="1"/>
    <w:qFormat/>
    <w:uiPriority w:val="0"/>
    <w:pPr>
      <w:spacing w:before="-2147483648" w:beforeAutospacing="1" w:after="-2147483648" w:afterAutospacing="1"/>
    </w:pPr>
    <w:rPr>
      <w:rFonts w:cs="微软雅黑"/>
      <w:lang w:eastAsia="zh-CN" w:bidi="ar"/>
      <w:woUserID w:val="1"/>
    </w:rPr>
  </w:style>
  <w:style w:type="character" w:styleId="21">
    <w:name w:val="Hyperlink"/>
    <w:basedOn w:val="22"/>
    <w:qFormat/>
    <w:uiPriority w:val="0"/>
    <w:rPr>
      <w:color w:val="0070C0"/>
      <w:u w:val="single"/>
    </w:rPr>
  </w:style>
  <w:style w:type="character" w:customStyle="1" w:styleId="22">
    <w:name w:val="Body Text Char"/>
    <w:basedOn w:val="20"/>
    <w:link w:val="3"/>
    <w:qFormat/>
    <w:uiPriority w:val="0"/>
    <w:rPr>
      <w:rFonts w:ascii="微软雅黑" w:hAnsi="微软雅黑" w:eastAsia="微软雅黑"/>
    </w:rPr>
  </w:style>
  <w:style w:type="character" w:styleId="23">
    <w:name w:val="footnote reference"/>
    <w:basedOn w:val="22"/>
    <w:qFormat/>
    <w:uiPriority w:val="0"/>
    <w:rPr>
      <w:vertAlign w:val="superscript"/>
    </w:rPr>
  </w:style>
  <w:style w:type="paragraph" w:customStyle="1" w:styleId="24">
    <w:name w:val="First Paragraph"/>
    <w:basedOn w:val="3"/>
    <w:next w:val="3"/>
    <w:qFormat/>
    <w:uiPriority w:val="0"/>
    <w:pPr>
      <w:ind w:firstLine="720" w:firstLineChars="200"/>
      <w:jc w:val="both"/>
    </w:pPr>
  </w:style>
  <w:style w:type="paragraph" w:customStyle="1" w:styleId="25">
    <w:name w:val="Compact"/>
    <w:basedOn w:val="3"/>
    <w:qFormat/>
    <w:uiPriority w:val="0"/>
    <w:pPr>
      <w:spacing w:before="36" w:after="36"/>
    </w:pPr>
  </w:style>
  <w:style w:type="paragraph" w:customStyle="1" w:styleId="26">
    <w:name w:val="Author"/>
    <w:next w:val="3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customStyle="1" w:styleId="27">
    <w:name w:val="Abstract Title"/>
    <w:basedOn w:val="1"/>
    <w:next w:val="28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28">
    <w:name w:val="Abstract"/>
    <w:basedOn w:val="1"/>
    <w:next w:val="3"/>
    <w:qFormat/>
    <w:uiPriority w:val="0"/>
    <w:pPr>
      <w:keepNext/>
      <w:keepLines/>
      <w:spacing w:before="100" w:after="300"/>
    </w:pPr>
    <w:rPr>
      <w:rFonts w:ascii="微软雅黑" w:hAnsi="微软雅黑" w:eastAsia="微软雅黑"/>
      <w:sz w:val="20"/>
      <w:szCs w:val="20"/>
    </w:rPr>
  </w:style>
  <w:style w:type="paragraph" w:customStyle="1" w:styleId="29">
    <w:name w:val="Bibliography"/>
    <w:basedOn w:val="1"/>
    <w:qFormat/>
    <w:uiPriority w:val="0"/>
  </w:style>
  <w:style w:type="paragraph" w:customStyle="1" w:styleId="30">
    <w:name w:val="Footnote Block Text"/>
    <w:unhideWhenUsed/>
    <w:qFormat/>
    <w:uiPriority w:val="9"/>
    <w:pPr>
      <w:spacing w:before="100" w:after="100"/>
      <w:ind w:left="480" w:right="480" w:firstLine="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table" w:customStyle="1" w:styleId="3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32">
    <w:name w:val="Definition Term"/>
    <w:basedOn w:val="1"/>
    <w:next w:val="33"/>
    <w:qFormat/>
    <w:uiPriority w:val="0"/>
    <w:pPr>
      <w:keepNext/>
      <w:keepLines/>
      <w:spacing w:after="0"/>
    </w:pPr>
    <w:rPr>
      <w:rFonts w:ascii="微软雅黑" w:hAnsi="微软雅黑" w:eastAsia="微软雅黑"/>
      <w:b/>
    </w:rPr>
  </w:style>
  <w:style w:type="paragraph" w:customStyle="1" w:styleId="33">
    <w:name w:val="Definition"/>
    <w:basedOn w:val="1"/>
    <w:qFormat/>
    <w:uiPriority w:val="0"/>
    <w:rPr>
      <w:rFonts w:ascii="微软雅黑" w:hAnsi="微软雅黑" w:eastAsia="微软雅黑"/>
    </w:rPr>
  </w:style>
  <w:style w:type="paragraph" w:customStyle="1" w:styleId="34">
    <w:name w:val="Table Caption"/>
    <w:basedOn w:val="12"/>
    <w:qFormat/>
    <w:uiPriority w:val="0"/>
    <w:pPr>
      <w:keepNext/>
    </w:pPr>
    <w:rPr>
      <w:rFonts w:ascii="微软雅黑" w:hAnsi="微软雅黑" w:eastAsia="微软雅黑"/>
    </w:rPr>
  </w:style>
  <w:style w:type="paragraph" w:customStyle="1" w:styleId="35">
    <w:name w:val="Image Caption"/>
    <w:basedOn w:val="12"/>
    <w:qFormat/>
    <w:uiPriority w:val="0"/>
    <w:rPr>
      <w:rFonts w:ascii="微软雅黑" w:hAnsi="微软雅黑" w:eastAsia="微软雅黑"/>
    </w:rPr>
  </w:style>
  <w:style w:type="paragraph" w:customStyle="1" w:styleId="36">
    <w:name w:val="Figure"/>
    <w:basedOn w:val="1"/>
    <w:qFormat/>
    <w:uiPriority w:val="0"/>
  </w:style>
  <w:style w:type="paragraph" w:customStyle="1" w:styleId="37">
    <w:name w:val="Captioned Figure"/>
    <w:basedOn w:val="36"/>
    <w:qFormat/>
    <w:uiPriority w:val="0"/>
    <w:pPr>
      <w:keepNext/>
    </w:pPr>
  </w:style>
  <w:style w:type="character" w:customStyle="1" w:styleId="38">
    <w:name w:val="Verbatim Char"/>
    <w:basedOn w:val="22"/>
    <w:qFormat/>
    <w:uiPriority w:val="0"/>
    <w:rPr>
      <w:rFonts w:ascii="Consolas" w:hAnsi="Consolas"/>
      <w:sz w:val="22"/>
    </w:rPr>
  </w:style>
  <w:style w:type="character" w:customStyle="1" w:styleId="39">
    <w:name w:val="Section Number"/>
    <w:basedOn w:val="22"/>
    <w:qFormat/>
    <w:uiPriority w:val="0"/>
  </w:style>
  <w:style w:type="paragraph" w:customStyle="1" w:styleId="40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paragraph" w:customStyle="1" w:styleId="41">
    <w:name w:val="Source Code"/>
    <w:qFormat/>
    <w:uiPriority w:val="0"/>
    <w:pPr>
      <w:wordWrap w:val="0"/>
    </w:pPr>
    <w:rPr>
      <w:rFonts w:asciiTheme="minorHAnsi" w:hAnsiTheme="minorHAnsi" w:eastAsiaTheme="minorHAnsi" w:cstheme="minorBidi"/>
    </w:rPr>
  </w:style>
  <w:style w:type="character" w:customStyle="1" w:styleId="42">
    <w:name w:val="KeywordTok"/>
    <w:qFormat/>
    <w:uiPriority w:val="0"/>
    <w:rPr>
      <w:b/>
      <w:color w:val="007020"/>
    </w:rPr>
  </w:style>
  <w:style w:type="character" w:customStyle="1" w:styleId="43">
    <w:name w:val="DataTypeTok"/>
    <w:qFormat/>
    <w:uiPriority w:val="0"/>
    <w:rPr>
      <w:color w:val="902000"/>
    </w:rPr>
  </w:style>
  <w:style w:type="character" w:customStyle="1" w:styleId="44">
    <w:name w:val="DecValTok"/>
    <w:qFormat/>
    <w:uiPriority w:val="0"/>
    <w:rPr>
      <w:color w:val="40A070"/>
    </w:rPr>
  </w:style>
  <w:style w:type="character" w:customStyle="1" w:styleId="45">
    <w:name w:val="BaseNTok"/>
    <w:qFormat/>
    <w:uiPriority w:val="0"/>
    <w:rPr>
      <w:color w:val="40A070"/>
    </w:rPr>
  </w:style>
  <w:style w:type="character" w:customStyle="1" w:styleId="46">
    <w:name w:val="FloatTok"/>
    <w:qFormat/>
    <w:uiPriority w:val="0"/>
    <w:rPr>
      <w:color w:val="40A070"/>
    </w:rPr>
  </w:style>
  <w:style w:type="character" w:customStyle="1" w:styleId="47">
    <w:name w:val="ConstantTok"/>
    <w:qFormat/>
    <w:uiPriority w:val="0"/>
    <w:rPr>
      <w:color w:val="880000"/>
    </w:rPr>
  </w:style>
  <w:style w:type="character" w:customStyle="1" w:styleId="48">
    <w:name w:val="CharTok"/>
    <w:qFormat/>
    <w:uiPriority w:val="0"/>
    <w:rPr>
      <w:color w:val="4070A0"/>
    </w:rPr>
  </w:style>
  <w:style w:type="character" w:customStyle="1" w:styleId="49">
    <w:name w:val="SpecialCharTok"/>
    <w:qFormat/>
    <w:uiPriority w:val="0"/>
    <w:rPr>
      <w:color w:val="4070A0"/>
    </w:rPr>
  </w:style>
  <w:style w:type="character" w:customStyle="1" w:styleId="50">
    <w:name w:val="StringTok"/>
    <w:qFormat/>
    <w:uiPriority w:val="0"/>
    <w:rPr>
      <w:color w:val="4070A0"/>
    </w:rPr>
  </w:style>
  <w:style w:type="character" w:customStyle="1" w:styleId="51">
    <w:name w:val="VerbatimStringTok"/>
    <w:qFormat/>
    <w:uiPriority w:val="0"/>
    <w:rPr>
      <w:color w:val="4070A0"/>
    </w:rPr>
  </w:style>
  <w:style w:type="character" w:customStyle="1" w:styleId="52">
    <w:name w:val="SpecialStringTok"/>
    <w:qFormat/>
    <w:uiPriority w:val="0"/>
    <w:rPr>
      <w:color w:val="BB6688"/>
    </w:rPr>
  </w:style>
  <w:style w:type="character" w:customStyle="1" w:styleId="53">
    <w:name w:val="ImportTok"/>
    <w:qFormat/>
    <w:uiPriority w:val="0"/>
    <w:rPr>
      <w:b/>
      <w:color w:val="008000"/>
    </w:rPr>
  </w:style>
  <w:style w:type="character" w:customStyle="1" w:styleId="54">
    <w:name w:val="CommentTok"/>
    <w:qFormat/>
    <w:uiPriority w:val="0"/>
    <w:rPr>
      <w:i/>
      <w:color w:val="60A0B0"/>
    </w:rPr>
  </w:style>
  <w:style w:type="character" w:customStyle="1" w:styleId="55">
    <w:name w:val="DocumentationTok"/>
    <w:qFormat/>
    <w:uiPriority w:val="0"/>
    <w:rPr>
      <w:i/>
      <w:color w:val="BA2121"/>
    </w:rPr>
  </w:style>
  <w:style w:type="character" w:customStyle="1" w:styleId="56">
    <w:name w:val="AnnotationTok"/>
    <w:qFormat/>
    <w:uiPriority w:val="0"/>
    <w:rPr>
      <w:b/>
      <w:i/>
      <w:color w:val="60A0B0"/>
    </w:rPr>
  </w:style>
  <w:style w:type="character" w:customStyle="1" w:styleId="57">
    <w:name w:val="CommentVarTok"/>
    <w:qFormat/>
    <w:uiPriority w:val="0"/>
    <w:rPr>
      <w:b/>
      <w:i/>
      <w:color w:val="60A0B0"/>
    </w:rPr>
  </w:style>
  <w:style w:type="character" w:customStyle="1" w:styleId="58">
    <w:name w:val="OtherTok"/>
    <w:qFormat/>
    <w:uiPriority w:val="0"/>
    <w:rPr>
      <w:color w:val="007020"/>
    </w:rPr>
  </w:style>
  <w:style w:type="character" w:customStyle="1" w:styleId="59">
    <w:name w:val="FunctionTok"/>
    <w:qFormat/>
    <w:uiPriority w:val="0"/>
    <w:rPr>
      <w:color w:val="06287E"/>
    </w:rPr>
  </w:style>
  <w:style w:type="character" w:customStyle="1" w:styleId="60">
    <w:name w:val="VariableTok"/>
    <w:qFormat/>
    <w:uiPriority w:val="0"/>
    <w:rPr>
      <w:color w:val="19177C"/>
    </w:rPr>
  </w:style>
  <w:style w:type="character" w:customStyle="1" w:styleId="61">
    <w:name w:val="ControlFlowTok"/>
    <w:qFormat/>
    <w:uiPriority w:val="0"/>
    <w:rPr>
      <w:b/>
      <w:color w:val="007020"/>
    </w:rPr>
  </w:style>
  <w:style w:type="character" w:customStyle="1" w:styleId="62">
    <w:name w:val="OperatorTok"/>
    <w:qFormat/>
    <w:uiPriority w:val="0"/>
    <w:rPr>
      <w:color w:val="666666"/>
    </w:rPr>
  </w:style>
  <w:style w:type="character" w:customStyle="1" w:styleId="63">
    <w:name w:val="BuiltInTok"/>
    <w:qFormat/>
    <w:uiPriority w:val="0"/>
    <w:rPr>
      <w:color w:val="008000"/>
    </w:rPr>
  </w:style>
  <w:style w:type="character" w:customStyle="1" w:styleId="64">
    <w:name w:val="ExtensionTok"/>
    <w:qFormat/>
    <w:uiPriority w:val="0"/>
  </w:style>
  <w:style w:type="character" w:customStyle="1" w:styleId="65">
    <w:name w:val="PreprocessorTok"/>
    <w:qFormat/>
    <w:uiPriority w:val="0"/>
    <w:rPr>
      <w:color w:val="BC7A00"/>
    </w:rPr>
  </w:style>
  <w:style w:type="character" w:customStyle="1" w:styleId="66">
    <w:name w:val="AttributeTok"/>
    <w:qFormat/>
    <w:uiPriority w:val="0"/>
    <w:rPr>
      <w:color w:val="7D9029"/>
    </w:rPr>
  </w:style>
  <w:style w:type="character" w:customStyle="1" w:styleId="67">
    <w:name w:val="RegionMarkerTok"/>
    <w:qFormat/>
    <w:uiPriority w:val="0"/>
  </w:style>
  <w:style w:type="character" w:customStyle="1" w:styleId="68">
    <w:name w:val="InformationTok"/>
    <w:qFormat/>
    <w:uiPriority w:val="0"/>
    <w:rPr>
      <w:b/>
      <w:i/>
      <w:color w:val="60A0B0"/>
    </w:rPr>
  </w:style>
  <w:style w:type="character" w:customStyle="1" w:styleId="69">
    <w:name w:val="WarningTok"/>
    <w:qFormat/>
    <w:uiPriority w:val="0"/>
    <w:rPr>
      <w:b/>
      <w:i/>
      <w:color w:val="60A0B0"/>
    </w:rPr>
  </w:style>
  <w:style w:type="character" w:customStyle="1" w:styleId="70">
    <w:name w:val="AlertTok"/>
    <w:qFormat/>
    <w:uiPriority w:val="0"/>
    <w:rPr>
      <w:b/>
      <w:color w:val="FF0000"/>
    </w:rPr>
  </w:style>
  <w:style w:type="character" w:customStyle="1" w:styleId="71">
    <w:name w:val="ErrorTok"/>
    <w:qFormat/>
    <w:uiPriority w:val="0"/>
    <w:rPr>
      <w:b/>
      <w:color w:val="FF0000"/>
    </w:rPr>
  </w:style>
  <w:style w:type="character" w:customStyle="1" w:styleId="72">
    <w:name w:val="NormalTok"/>
    <w:qFormat/>
    <w:uiPriority w:val="0"/>
  </w:style>
  <w:style w:type="character" w:customStyle="1" w:styleId="73">
    <w:name w:val="10"/>
    <w:basedOn w:val="20"/>
    <w:uiPriority w:val="0"/>
    <w:rPr>
      <w:rFonts w:hint="default" w:ascii="Times New Roman" w:hAnsi="Times New Roman" w:cs="Times New Roman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3682</Words>
  <Characters>3780</Characters>
  <Lines>1</Lines>
  <Paragraphs>1</Paragraphs>
  <TotalTime>81</TotalTime>
  <ScaleCrop>false</ScaleCrop>
  <LinksUpToDate>false</LinksUpToDate>
  <CharactersWithSpaces>3780</CharactersWithSpaces>
  <Application>WPS Office WWO_wpscloud_20250925191819-314b3f48ed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2024-11-14T15:05:00Z</dcterms:created>
  <dc:creator>bowen</dc:creator>
  <cp:lastModifiedBy>伍冠任</cp:lastModifiedBy>
  <dcterms:modified xsi:type="dcterms:W3CDTF">2025-09-29T23:50:03Z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2052-12.9.0.23117</vt:lpwstr>
  </property>
  <property fmtid="{D5CDD505-2E9C-101B-9397-08002B2CF9AE}" pid="3" name="ICV">
    <vt:lpwstr>D0BE28B809B1771DABAADA681AF6491C_43</vt:lpwstr>
  </property>
</Properties>
</file>