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89A022">
      <w:pPr>
        <w:pStyle w:val="2"/>
      </w:pPr>
    </w:p>
    <w:p w14:paraId="209D08D8">
      <w:pPr>
        <w:pStyle w:val="2"/>
      </w:pPr>
      <w:r>
        <w:t>干变浇注车间废气处理系统喷漆房技术手册</w:t>
      </w:r>
    </w:p>
    <w:p w14:paraId="048DC15E">
      <w:pPr>
        <w:pStyle w:val="3"/>
      </w:pPr>
      <w:r>
        <w:t>一、概述</w:t>
      </w:r>
    </w:p>
    <w:p w14:paraId="61DE54A9">
      <w:pPr>
        <w:pStyle w:val="4"/>
      </w:pPr>
      <w:r>
        <w:t>1.1 手册目的与适用范围</w:t>
      </w:r>
    </w:p>
    <w:p w14:paraId="5B291C20">
      <w:r>
        <w:t>本手册旨在为干变浇注车间废气处理系统喷漆房的设备工程师、技术人员及维护人员提供全面的专业指导，涵盖设备结构原理、操作流程、故障诊断及维护保养等核心内容。手册适用于该喷漆房的安装调试、日常运行监控、定期维护、故障处理及安全管理等场景，可作为设备全生命周期管理的标准化参考文件。使用时需注意：本手册仅针对本型号喷漆房（含室体系统、送风系统、漆雾过滤系统等核心模块），未经制造商许可，不得擅自修改设备结构或参数；涉及电气改造、防爆系统调整等关键操作时，必须由具备资质的专业人员执行，并严格遵循国家及行业相关标准。</w:t>
      </w:r>
    </w:p>
    <w:p w14:paraId="52FDC800">
      <w:pPr>
        <w:pStyle w:val="4"/>
      </w:pPr>
      <w:r>
        <w:t>1.2 设备主要功能与技术参数</w:t>
      </w:r>
    </w:p>
    <w:p w14:paraId="1C31A268">
      <w:r>
        <w:t>喷漆房核心功能包括漆雾高效捕捉、有机废气净化及作业安全防护。通过多级过滤与吸附处理，实现漆雾与挥发性有机物（VOCs）的分级去除，同时通过防爆、防静电设计保障作业环境安全。关键技术参数如下：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  <w:gridCol w:w="4320"/>
      </w:tblGrid>
      <w:tr w14:paraId="3E3225A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CA06FD5">
            <w:pPr>
              <w:jc w:val="center"/>
              <w:rPr>
                <w:b/>
              </w:rPr>
            </w:pPr>
            <w:r>
              <w:rPr>
                <w:b/>
              </w:rPr>
              <w:t>技术参数项</w:t>
            </w:r>
          </w:p>
        </w:tc>
        <w:tc>
          <w:tcPr>
            <w:tcW w:w="0" w:type="auto"/>
            <w:vAlign w:val="center"/>
          </w:tcPr>
          <w:p w14:paraId="74DFA839">
            <w:pPr>
              <w:jc w:val="center"/>
              <w:rPr>
                <w:b/>
              </w:rPr>
            </w:pPr>
            <w:r>
              <w:rPr>
                <w:b/>
              </w:rPr>
              <w:t>数值范围/标准要求</w:t>
            </w:r>
          </w:p>
        </w:tc>
      </w:tr>
      <w:tr w14:paraId="7BBC54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00AF0DC">
            <w:r>
              <w:t>处理风量</w:t>
            </w:r>
          </w:p>
        </w:tc>
        <w:tc>
          <w:tcPr>
            <w:tcW w:w="0" w:type="auto"/>
            <w:vAlign w:val="center"/>
          </w:tcPr>
          <w:p w14:paraId="56F9493B">
            <w:r>
              <w:t>49000 m³/h（单台风机）</w:t>
            </w:r>
          </w:p>
        </w:tc>
      </w:tr>
      <w:tr w14:paraId="5A98A11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DFAFF1A">
            <w:r>
              <w:t>工作区带载风速</w:t>
            </w:r>
          </w:p>
        </w:tc>
        <w:tc>
          <w:tcPr>
            <w:tcW w:w="0" w:type="auto"/>
            <w:vAlign w:val="center"/>
          </w:tcPr>
          <w:p w14:paraId="04D70CAC">
            <w:r>
              <w:t>0.3-0.5 m/s</w:t>
            </w:r>
          </w:p>
        </w:tc>
      </w:tr>
      <w:tr w14:paraId="6C31AF79">
        <w:tc>
          <w:tcPr>
            <w:tcW w:w="0" w:type="auto"/>
            <w:vAlign w:val="center"/>
          </w:tcPr>
          <w:p w14:paraId="5FC15719">
            <w:r>
              <w:t>漆雾过滤效率</w:t>
            </w:r>
          </w:p>
        </w:tc>
        <w:tc>
          <w:tcPr>
            <w:tcW w:w="0" w:type="auto"/>
            <w:vAlign w:val="center"/>
          </w:tcPr>
          <w:p w14:paraId="59CDBB44">
            <w:r>
              <w:t>≥98%（针对0.3-10 μm颗粒）</w:t>
            </w:r>
          </w:p>
        </w:tc>
      </w:tr>
      <w:tr w14:paraId="269C85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7538426">
            <w:r>
              <w:t>有机废气（VOCs）去除率</w:t>
            </w:r>
          </w:p>
        </w:tc>
        <w:tc>
          <w:tcPr>
            <w:tcW w:w="0" w:type="auto"/>
            <w:vAlign w:val="center"/>
          </w:tcPr>
          <w:p w14:paraId="74D26D99">
            <w:r>
              <w:t>≥95%</w:t>
            </w:r>
          </w:p>
        </w:tc>
      </w:tr>
      <w:tr w14:paraId="09F97C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83EF662">
            <w:r>
              <w:t>防爆等级</w:t>
            </w:r>
          </w:p>
        </w:tc>
        <w:tc>
          <w:tcPr>
            <w:tcW w:w="0" w:type="auto"/>
            <w:vAlign w:val="center"/>
          </w:tcPr>
          <w:p w14:paraId="40D7251D">
            <w:r>
              <w:t>Exib（隔爆型）/Exd（增安型）</w:t>
            </w:r>
          </w:p>
        </w:tc>
      </w:tr>
      <w:tr w14:paraId="192C4D3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CAA8D84">
            <w:r>
              <w:t>风机风压</w:t>
            </w:r>
          </w:p>
        </w:tc>
        <w:tc>
          <w:tcPr>
            <w:tcW w:w="0" w:type="auto"/>
            <w:vAlign w:val="center"/>
          </w:tcPr>
          <w:p w14:paraId="6E36F4F5">
            <w:r>
              <w:t>0.7-1.0 KPa</w:t>
            </w:r>
          </w:p>
        </w:tc>
      </w:tr>
      <w:tr w14:paraId="4F7F51E1">
        <w:tc>
          <w:tcPr>
            <w:tcW w:w="0" w:type="auto"/>
            <w:vAlign w:val="center"/>
          </w:tcPr>
          <w:p w14:paraId="37E2DEF8">
            <w:r>
              <w:t>过滤棉厚度</w:t>
            </w:r>
          </w:p>
        </w:tc>
        <w:tc>
          <w:tcPr>
            <w:tcW w:w="0" w:type="auto"/>
            <w:vAlign w:val="center"/>
          </w:tcPr>
          <w:p w14:paraId="63B6749F">
            <w:r>
              <w:t>50mm/60mm/100mm（可选）</w:t>
            </w:r>
          </w:p>
        </w:tc>
      </w:tr>
      <w:tr w14:paraId="7CF947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2DB30D3">
            <w:r>
              <w:t>活性炭比表面积</w:t>
            </w:r>
          </w:p>
        </w:tc>
        <w:tc>
          <w:tcPr>
            <w:tcW w:w="0" w:type="auto"/>
            <w:vAlign w:val="center"/>
          </w:tcPr>
          <w:p w14:paraId="237129B6">
            <w:r>
              <w:t>700-1500 m²/g</w:t>
            </w:r>
          </w:p>
        </w:tc>
      </w:tr>
      <w:tr w14:paraId="23D97A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4C1D465">
            <w:r>
              <w:t>室体泄压面积</w:t>
            </w:r>
          </w:p>
        </w:tc>
        <w:tc>
          <w:tcPr>
            <w:tcW w:w="0" w:type="auto"/>
            <w:vAlign w:val="center"/>
          </w:tcPr>
          <w:p w14:paraId="6E0F176E">
            <w:r>
              <w:t>≥0.05 ㎡/m³</w:t>
            </w:r>
          </w:p>
        </w:tc>
      </w:tr>
      <w:tr w14:paraId="4FB767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0DB7F06">
            <w:r>
              <w:t>接地电阻</w:t>
            </w:r>
          </w:p>
        </w:tc>
        <w:tc>
          <w:tcPr>
            <w:tcW w:w="0" w:type="auto"/>
            <w:vAlign w:val="center"/>
          </w:tcPr>
          <w:p w14:paraId="035395AA">
            <w:r>
              <w:t>≤4 Ω（设备接地）/≤100 Ω（防静电接地）</w:t>
            </w:r>
          </w:p>
        </w:tc>
      </w:tr>
      <w:tr w14:paraId="2DECF8E8">
        <w:tc>
          <w:tcPr>
            <w:tcW w:w="0" w:type="auto"/>
            <w:vAlign w:val="center"/>
          </w:tcPr>
          <w:p w14:paraId="440A3936">
            <w:r>
              <w:t>照明照度</w:t>
            </w:r>
          </w:p>
        </w:tc>
        <w:tc>
          <w:tcPr>
            <w:tcW w:w="0" w:type="auto"/>
            <w:vAlign w:val="center"/>
          </w:tcPr>
          <w:p w14:paraId="556B684B">
            <w:r>
              <w:t>800-1000 勒克司</w:t>
            </w:r>
          </w:p>
        </w:tc>
      </w:tr>
    </w:tbl>
    <w:p w14:paraId="2C50D346">
      <w:pPr>
        <w:pStyle w:val="4"/>
      </w:pPr>
      <w:r>
        <w:t>1.3 安全警示与注意事项</w:t>
      </w:r>
    </w:p>
    <w:p w14:paraId="50B46941">
      <w:r>
        <w:t>喷漆房作业存在易燃易爆、有毒气体泄漏等高危风险，操作及维护过程中必须严格遵守以下安全要求：严禁在房内使用非防爆工具或产生火花的设备；作业前必须确认静电接地系统完好（接地电阻≤100 Ω），设备金属部件需可靠接地；禁止在未启动排风系统的情况下进行喷漆作业；房内严禁存放易燃易爆物品，沾漆的棉纱、手套等废弃物需放入有盖金属容器并及时清理；作业时必须佩戴防静电服、防毒面具、护目镜等防护用具；当可燃气体浓度报警器发出声光报警（浓度达到爆炸下限25%）时，应立即停止作业并启动应急排风，待浓度降至安全范围后方可重新操作；设备运行中若发现异常声响、异味或参数超标，必须立即停机检查，严禁带故障运行。</w:t>
      </w:r>
    </w:p>
    <w:p w14:paraId="4601671E">
      <w:pPr>
        <w:pStyle w:val="3"/>
      </w:pPr>
      <w:r>
        <w:t>二、结构组成</w:t>
      </w:r>
    </w:p>
    <w:p w14:paraId="1E7AC468">
      <w:pPr>
        <w:pStyle w:val="4"/>
      </w:pPr>
      <w:r>
        <w:t>2.1 室体系统</w:t>
      </w:r>
    </w:p>
    <w:p w14:paraId="3243D7CD">
      <w:r>
        <w:t>室体系统采用拼装式结构设计，壁板选用高密度复合板，内外层为0.5mm厚镀锌彩钢板表面喷塑处理，中间填充高密度复合保温材料，总厚度75mm，具备良好的保温性与密封性，其防腐性能符合GB/T12754《彩色涂层钢板及钢带》标准要求，耐盐雾性能≥500小时。室体强度与稳定性通过框架结构加固，可承受±0.5KPa风压作用而无明显变形。泄压设施按建筑设计防火规范设置，屋顶泄压面积≥0.05㎡/m³，泄压口采用轻质易碎材料（如泄压膜），当室内压力达到0.15MPa时自动破裂泄爆。地面采用不产生火花的材料铺设（如环氧树脂+石英砂耐磨层），表面电阻＜1×10⁶Ω，且设置坡度（坡度1-2‰）及集液槽，便于漆雾废水收集与排放。</w:t>
      </w:r>
    </w:p>
    <w:p w14:paraId="7ED15779">
      <w:pPr>
        <w:pStyle w:val="4"/>
      </w:pPr>
      <w:r>
        <w:t>2.2 送风系统</w:t>
      </w:r>
    </w:p>
    <w:p w14:paraId="5C2E866A">
      <w:r>
        <w:t>送风系统采用被动进风过滤方式，气流组织形式为“上送风下抽风”，确保漆雾沿预设路径定向流动。外部空气经进风口进入后，依次通过三级过滤：初级过滤为防鸟栅栏+初效过滤棉（过滤效率60-80%@≥5μm），拦截大颗粒杂质；中级过滤为静压室底部的EU5/EU6级顶棉，对≥0.5μm颗粒过滤效率≥98%，每平方米灰尘颗粒控制在5颗以内；过滤后的空气进入顶部静压室，经均压处理后形成均匀的垂直下降气流。送风机选用防爆型离心风机，叶轮采用有色金属材质（如铝合金），避免火花产生，风机压头取值0.7-1.0KPa，可根据工艺需求通过变频器调节风量，确保工作区风速稳定在0.3-0.5m/s。</w:t>
      </w:r>
    </w:p>
    <w:p w14:paraId="07D55628">
      <w:pPr>
        <w:pStyle w:val="4"/>
      </w:pPr>
      <w:r>
        <w:t>2.3 漆雾过滤系统</w:t>
      </w:r>
    </w:p>
    <w:p w14:paraId="6F69B495">
      <w:r>
        <w:t>漆雾过滤系统采用三级分级过滤设计，实现漆雾颗粒的高效捕捉。第一级为折流式过滤板，通过特殊结构使气流多次转向，利用惯性原理捕捉直径＞10μm的漆雾颗粒，降低后续过滤负荷；第二级为绿白复合漆雾过滤棉（漆雾毡），由高强度连续单丝玻璃纤维组成，呈绿白两色递增结构（绿色为迎风面），常规厚度有50mm、60mm、100mm等规格，额定风速0.7-1.75m/s，初阻力15-20Pa，容尘量10%，阻燃性能符合DIN4102 F1级标准，耐高温达170℃，对直径＜10μm漆雾颗粒拦截效率≥98%；第三级为活性炭吸附层，用于初步吸附气流中残留的VOCs。过滤棉安装采用快速卡扣式结构，便于更换，过滤器前后安装压差计，当压损达到250Pa时需及时更换过滤元件，以保证系统阻力稳定在400-500Pa范围。</w:t>
      </w:r>
    </w:p>
    <w:p w14:paraId="7D138626">
      <w:pPr>
        <w:pStyle w:val="4"/>
      </w:pPr>
      <w:r>
        <w:t>2.4 有机废气处理系统</w:t>
      </w:r>
    </w:p>
    <w:p w14:paraId="603F7E8A">
      <w:r>
        <w:t>有机废气处理系统位于漆雾过滤系统之后，采用“活性炭吸附箱+UV光氧催化设备”组合工艺，深度去除漆雾过滤后的VOCs。活性炭吸附箱内填充蜂窝状颗粒活性炭，比表面积700-1500m²/g，通过物理吸附作用捕捉气流中的苯系物、醛类等有机污染物，活性炭块采用特殊工艺压制，体积密度小、风阻系数低，确保在高风量工况下仍能保持稳定吸附效率。UV光氧催化设备内置高能紫外线灯管（波长185nm/254nm），利用光解作用将活性炭未吸附的小分子VOCs分解为CO₂和H₂O，同时产生的羟基自由基可氧化部分难降解有机物。部分系统配置活性炭再生装置，通过热空气脱附（脱附温度300℃左右）使活性炭恢复吸附能力，脱附后的高浓度废气经催化燃烧装置（燃烧温度450-550℃）转化为无害气体，实现资源循环利用。</w:t>
      </w:r>
    </w:p>
    <w:p w14:paraId="3B4ACA47">
      <w:pPr>
        <w:pStyle w:val="4"/>
      </w:pPr>
      <w:r>
        <w:t>2.5 抽排风系统</w:t>
      </w:r>
    </w:p>
    <w:p w14:paraId="3942D044">
      <w:r>
        <w:t>抽排风系统与送风系统协同工作，维持室内微正压环境（5-10Pa），防止外界污染物进入。排风机选用防爆型离心风机（如B4-72-11No.12C型），单台送风量49000m³/h，风压1000Pa，电机功率30kW，叶轮采用铝合金材质，避免静电积聚。风管采用镀锌钢板制作，厚度≥1.2mm，风管接口处用密封胶密封，防止漏气。排风口均匀分布于与工件传送装置垂直的侧壁，确保气流均匀分布。系统配置风阀调节装置，可根据漆雾浓度自动调节排风量，当检测到VOCs浓度超标时，风阀自动开大，排风量增加50%。风机与电机之间通过弹性联轴器连接，允许±2°角向偏差和0.3mm轴向位移，减少振动传递。</w:t>
      </w:r>
    </w:p>
    <w:p w14:paraId="1D132BD9">
      <w:pPr>
        <w:pStyle w:val="4"/>
      </w:pPr>
      <w:r>
        <w:t>2.6 照明与电气系统</w:t>
      </w:r>
    </w:p>
    <w:p w14:paraId="5E1EE412">
      <w:r>
        <w:t>照明系统采用防爆灯具，安装于室体顶部两侧，光源接近D65标准光源（色温6500K），照度达到800-1000勒克司，确保喷涂区域无阴影。灯具外壳防护等级IP65，防爆等级Exd II CT4，开关选用防爆型，安装于室外非危险区域。电气系统采用三相五线制供电，主控制柜内配置PLC控制器、变频器、接触器、热继电器等核心元件，所有电气线路穿镀锌焊接钢管敷设，钢管之间采用螺纹连接并做好接地跨接。设备接地系统严格区分功能接地与保护接地，其中设备金属外壳、电机外壳等保护接地电阻≤4Ω，防静电接地（如喷枪、传送带）电阻≤100Ω，接地干线采用≥25mm²铜缆，接地极采用50×50×5mm镀锌角钢，埋深≥0.8m。</w:t>
      </w:r>
    </w:p>
    <w:p w14:paraId="2452D28E">
      <w:pPr>
        <w:pStyle w:val="4"/>
      </w:pPr>
      <w:r>
        <w:t>2.7 安全防护系统</w:t>
      </w:r>
    </w:p>
    <w:p w14:paraId="1F32ACB1">
      <w:r>
        <w:t>安全防护系统包含防爆、防静电、防火及气体监测等子系统。防爆设计中，喷漆区被划为1区（正常运行时可能出现爆炸性气体环境），电气设备选用Exib隔爆型或Exd增安型，灯具若安装在爆炸危险2区，需通过玻璃屏与喷漆区隔离（玻璃屏表面温度≤90℃）。防静电措施包括：所有金属部件（喷枪、传送带、风机等）可靠接地，接地电阻≤100Ω；地面铺设导电面层，表面电阻＜1×10⁶Ω；操作人员穿戴防静电服和防静电鞋。防火系统配置干粉灭火器（每50㎡配置2具4kg干粉灭火器）、火灾自动报警系统（感温+感烟探测器）及自动喷水灭火系统，消防通道宽度≥1.2m，保持畅通。气体监测系统安装催化燃烧式可燃气体探测器，覆盖面积25-30㎡/个，安装高度距地面60-80cm，报警浓度设定为爆炸下限的25%，与排风系统联动，超标时自动启动备用风机。</w:t>
      </w:r>
    </w:p>
    <w:p w14:paraId="7B210AC2">
      <w:pPr>
        <w:pStyle w:val="3"/>
      </w:pPr>
      <w:r>
        <w:t>三、工作原理</w:t>
      </w:r>
    </w:p>
    <w:p w14:paraId="3D9226F5">
      <w:pPr>
        <w:pStyle w:val="4"/>
      </w:pPr>
      <w:r>
        <w:t>3.1 气流组织与循环机制</w:t>
      </w:r>
    </w:p>
    <w:p w14:paraId="0B7BB32F">
      <w:r>
        <w:t>喷漆房采用“上送风下抽风”的正向气流组织设计，确保漆雾定向流动并高效收集。外部新鲜空气经进风口初级过滤后，由送风机送入顶部静压室，经均压处理后通过EU5/EU6级顶棉过滤，形成均匀的垂直下降气流（风速0.25-0.3m/s）。气流在工件表面流过时，将喷漆过程中产生的漆雾向下引导，避免漆雾在作业区域扩散。下降的漆雾气流首先经过折流阻挡系统，大颗粒漆雾（＞10μm）因惯性被拦截；剩余气流进入漆雾过滤棉，细小颗粒（＜10μm）被静电吸附；去除漆雾后的气流继续向下进入地坑或侧排风道，经活性炭吸附箱处理VOCs后，由排风机排出室外。部分系统设计为循环风模式，处理后的洁净空气经加热后部分回流至送风系统，降低能耗，循环风量占总风量的30-50%。</w:t>
      </w:r>
    </w:p>
    <w:p w14:paraId="7CFE0E69">
      <w:pPr>
        <w:pStyle w:val="4"/>
      </w:pPr>
      <w:r>
        <w:t>3.2 漆雾分级处理流程</w:t>
      </w:r>
    </w:p>
    <w:p w14:paraId="666DF12C">
      <w:r>
        <w:t>漆雾处理采用三级分级过滤机制，实现不同粒径颗粒的高效去除。第一级为折流阻挡系统，通过特殊结构使气流在通过时多次改变方向（转向角度≥90°），直径＞10μm的漆雾颗粒因惯性无法随气流转向，被吸附在阻挡装置表面，形成粗过滤防线，可去除约40-50%的漆雾负荷；第二级为漆雾过滤棉过滤，绿白复合过滤棉内部纤维在空气摩擦作用下产生静电，对直径＜10μm的细小漆雾颗粒进行吸附，过滤效率≥98%，同时过滤棉的递增结构（绿色迎风面密度低，白色背风面密度高）可避免漆雾穿透，延长使用寿命；第三级为活性炭吸附，虽然主要针对VOCs，但对残留的微量漆雾颗粒（＜0.5μm）也有一定吸附作用。各级过滤装置独立模块化设计，可根据堵塞情况单独更换，降低维护成本。</w:t>
      </w:r>
    </w:p>
    <w:p w14:paraId="7A7C2DC5">
      <w:pPr>
        <w:pStyle w:val="4"/>
      </w:pPr>
      <w:r>
        <w:t>3.3 有机废气净化原理</w:t>
      </w:r>
    </w:p>
    <w:p w14:paraId="1E5AB936">
      <w:r>
        <w:t>有机废气净化通过“活性炭吸附-脱附-催化燃烧”协同工艺实现VOCs的深度处理。常温下，含有VOCs的气流进入活性炭吸附箱，活性炭表面的微孔（孔径2-50nm）通过范德华力吸附有机分子（如苯、甲苯、二甲苯等），吸附饱和前VOCs去除率≥95%。当活性炭接近饱和时（通过进出口浓度差或运行时间判断），启动脱附程序：热空气（300℃左右）逆向通入吸附箱，使被吸附的有机物脱附解析，形成高浓度废气（浓度提升10-20倍）。高浓度废气进入催化燃烧装置，在催化剂（如Pt、Pd贵金属催化剂）作用下，于450-550℃发生氧化反应，转化为CO₂和H₂O，燃烧效率≥99%，热量通过换热器回收用于预热脱附空气，实现节能运行。对于低浓度、大风量废气，可省略脱附环节，直接通过活性炭吸附+UV光氧催化组合处理，UV光氧设备利用高能紫外线分解活性炭未吸附的小分子有机物，羟基自由基进一步氧化分解，确保排放达标。</w:t>
      </w:r>
    </w:p>
    <w:p w14:paraId="54B6FC53">
      <w:pPr>
        <w:pStyle w:val="4"/>
      </w:pPr>
      <w:r>
        <w:t>3.4 安全系统联动机制</w:t>
      </w:r>
    </w:p>
    <w:p w14:paraId="0F17D3EF">
      <w:r>
        <w:t>安全系统通过多设备连锁控制实现全方位防护。正常作业时，送排风机、气体监测系统、防爆照明同步启动，若任一系统故障，PLC立即切断喷漆电源并发出报警。当可燃气体探测器检测到浓度达到爆炸下限25%（低报）时，系统启动声光报警（蜂鸣器+红色警示灯），同时自动调节风阀增大排风量（增加50%）；若浓度升至爆炸下限40%（高报），则立即切断所有设备电源（应急照明除外），启动应急排风（备用风机），并打开防爆墙泄爆口（压力0.15MPa触发）。火灾报警系统与自动喷水灭火系统联动，当感温探测器检测到温度≥68℃或感烟探测器报警时，喷水系统启动，同时切断燃气、电源，关闭送风阀门，打开排烟风机。急停按钮设置于操作面板及车间出入口，按下后立即切断所有动力电源，所有执行机构复位至安全状态。</w:t>
      </w:r>
    </w:p>
    <w:p w14:paraId="4DF99414">
      <w:pPr>
        <w:pStyle w:val="3"/>
      </w:pPr>
      <w:r>
        <w:t>四、机械与控制原理</w:t>
      </w:r>
    </w:p>
    <w:p w14:paraId="5218D497">
      <w:pPr>
        <w:pStyle w:val="4"/>
      </w:pPr>
      <w:r>
        <w:t>4.1 机械传动系统</w:t>
      </w:r>
    </w:p>
    <w:p w14:paraId="5B58F937">
      <w:pPr>
        <w:pStyle w:val="5"/>
      </w:pPr>
      <w:r>
        <w:t>4.1.1 风机结构与运行机制</w:t>
      </w:r>
    </w:p>
    <w:p w14:paraId="3EECCFF9">
      <w:r>
        <w:t>风机系统采用离心风机作为核心动力设备，以某型号后向圆弧叶片离心风机为例，其结构包括叶轮、机壳、进风口、电机及减振机座。叶轮为后向圆弧叶片设计，与前向叶片相比，气流流动损失小，效率提高10-15%，噪音降低约15dB。叶轮材质为铝合金，经动平衡校正（平衡精度G2.5级），运行时振动速度≤6.3mm/s。机壳采用钢板焊接结构，内表面涂覆防腐涂层，进风口为收敛式流线型设计，减少气流入口损失。电机选用防爆型三相异步电动机，功率30kW，额定转速1450r/min，绝缘等级F级，防护等级IP55，配置热继电器保护，当电机绕组温度≥155℃时自动停机。风机整体安装于减振机座（弹簧阻尼减振器，阻尼系数0.06-0.08，固有频率3-5Hz），可省去专用混凝土基础，直接安装于楼层或屋顶。</w:t>
      </w:r>
    </w:p>
    <w:p w14:paraId="40AA2212">
      <w:pPr>
        <w:pStyle w:val="5"/>
      </w:pPr>
      <w:r>
        <w:t>4.1.2 传动与减振装置</w:t>
      </w:r>
    </w:p>
    <w:p w14:paraId="4A3460CA">
      <w:r>
        <w:t>风机与电机之间采用三角皮带传动，皮带轮材质为45#钢调质处理，表面粗糙度Ra1.6μm，减少皮带磨损。皮带选用B型三角带，张紧度通过调节电机滑轨位置控制，标准下垂量30-50mm（施加10N力时），运行中无明显打滑或异响。大型移动伸缩喷漆房采用双减速电机驱动平行四边形连杆机构，四组镀铬销轴连接的合金钢连杆通过同步带轮实现同步传动，配合激光测距限位装置，20米行程内伸缩误差≤±5mm。减振装置采用三级复合方案：一级为风机与基础间的弹簧阻尼减振器；二级为传动系统的弹性联轴器，允许±2°角向偏差和0.3mm轴向位移；三级为管道与风机接口处的可挠曲橡胶接头（氯丁橡胶材质，硬度60 Shore A），减少气流脉动产生的共振，振动传递率降低至20%以下。</w:t>
      </w:r>
    </w:p>
    <w:p w14:paraId="7DDC2698">
      <w:pPr>
        <w:pStyle w:val="4"/>
      </w:pPr>
      <w:r>
        <w:t>4.2 控制系统</w:t>
      </w:r>
    </w:p>
    <w:p w14:paraId="594E2AB9">
      <w:pPr>
        <w:pStyle w:val="5"/>
      </w:pPr>
      <w:r>
        <w:t>4.2.1 硬件组成</w:t>
      </w:r>
    </w:p>
    <w:p w14:paraId="66250869">
      <w:r>
        <w:t>控制系统以PLC为核心，采用西门子S7-1200系列PLC，配置CPU 1214C DC/DC/DC模块（14输入/10输出），扩展SM 1223数字量模块（16输入/16输出）及SM 1231模拟量输入模块（4通道，16位精度）。传感器网络包括：PT100热电阻（温度测量，量程-50-200℃）、压差传感器（过滤棉前后压差，量程0-500Pa）、催化燃烧式气体探测器（VOCs浓度，量程0-100%LEL）、光电传感器（工件位置检测，NPN输出）。执行器包括：变频调速器（风机转速控制，0-50Hz）、电磁阀（喷枪涂料通断，DC24V）、电动风阀（风量调节，0-90°转角）、加热管（功率30kW，AC380V）。人机界面（HMI）采用10寸触摸屏，实时显示设备运行参数、报警信息及趋势曲线，支持参数设置与手动操作。通信模块支持Modbus RTU协议，可与上位机SCADA系统通信，实现远程监控。</w:t>
      </w:r>
    </w:p>
    <w:p w14:paraId="6CC8201D">
      <w:pPr>
        <w:pStyle w:val="5"/>
      </w:pPr>
      <w:r>
        <w:t>4.2.2 控制程序逻辑</w:t>
      </w:r>
    </w:p>
    <w:p w14:paraId="3E7E8F0C">
      <w:r>
        <w:t>PLC控制程序采用梯形图编程，核心逻辑包括工件检测、喷涂流程控制及安全连锁。工件检测逻辑：当光电传感器P0002检测到工件时，信号保持并触发运行监测传感器P0005再次确认，两者信号“与”运算后，PLC输出喷涂指令。喷涂流程控制：喷枪通过输出继电器P0041驱动电磁阀动作，喷涂时间由面板时间继电器KTI设定（0-99s），信号经输入端子P0011反馈至PLC，控制电磁阀通断；多喷枪系统（2#-5#喷枪）采用级联控制，本级喷枪动作需以上一级喷枪完成为前提，通过内部中间继电器实现顺序执行。安全连锁逻辑：集成无工件不喷涂（ANI指令，工件信号缺失时切断喷枪输出）、急停保护（X000急停信号触发时，所有输出复位）、气体浓度超标停机（当气体探测器信号≥25%LEL时，切断喷涂电源，启动排风）等功能。</w:t>
      </w:r>
    </w:p>
    <w:p w14:paraId="117F0FA2">
      <w:pPr>
        <w:pStyle w:val="5"/>
      </w:pPr>
      <w:r>
        <w:t>4.2.3 智能控制算法</w:t>
      </w:r>
    </w:p>
    <w:p w14:paraId="66D678ED">
      <w:r>
        <w:t>温湿度控制采用PID（比例-积分-微分）算法，以温度设定值25℃、湿度设定值65%RH为例，PLC通过PT100和湿度传感器采集实时数据，计算温度偏差（ΔT=T实测-T设定）和湿度偏差（ΔH=H实测-H设定）。温度控制中，比例系数KP=0.8，积分时间TI=60s，微分时间TD=15s，通过调节加热管功率（模拟量输出0-10V）实现温度稳定，波动≤±0.5℃。湿度控制引入焓值作为综合指标（h=1.01t+0.001d(2501+1.84t)，d为含湿量），夏季模式下先通过冷水阀（开度0-100%）将空气焓值降至设定值（10.04kJ/kg），再加热至目标温度；冬季模式先加热至设定温度，再通过喷淋泵变频器（0-50Hz）调节加湿量。压力控制采用闭环调节，差压传感器检测室内外压差，PLC通过PID调节排风机变频器频率，维持压差5-10Pa，比例系数KP=0.6，积分时间TI=40s，确保压力波动≤±1Pa。</w:t>
      </w:r>
    </w:p>
    <w:p w14:paraId="614444CA">
      <w:pPr>
        <w:pStyle w:val="3"/>
      </w:pPr>
      <w:r>
        <w:t>五、常见故障诊断与对策</w:t>
      </w:r>
    </w:p>
    <w:p w14:paraId="2E19CE46">
      <w:pPr>
        <w:pStyle w:val="4"/>
      </w:pPr>
      <w:r>
        <w:t>5.1 风量偏小故障</w:t>
      </w:r>
    </w:p>
    <w:p w14:paraId="1032A81F">
      <w:r>
        <w:t>风量偏小表现为工作区风速＜0.3m/s，漆雾扩散明显。主要成因包括：过滤棉堵塞（过滤棉前后压差＞200Pa），漆雾及灰尘积聚导致通风阻力增大；活性炭吸附饱和（使用时间超过3个月未更换），风阻增加；风机传动皮带松弛（下垂量＞50mm），动力传输效率下降；进风或排风风阀未全开，气流通道受阻。诊断方法：通过压差计测量过滤棉前后压差，超过250Pa提示堵塞；检查皮带张紧度，手动按压皮带，下垂量＞50mm需调整；观察风阀开度指示，确认是否处于全开位置。对策：更换过滤棉（建议每150小时或压差＞250Pa时更换）；更换活性炭（吸附饱和或使用6个月）；调整皮带张紧度，通过移动电机滑轨使下垂量恢复30-50mm；全开风阀，清理风阀卡涩部位（涂抹润滑脂）。</w:t>
      </w:r>
    </w:p>
    <w:p w14:paraId="7357EF4C">
      <w:pPr>
        <w:pStyle w:val="4"/>
      </w:pPr>
      <w:r>
        <w:t>5.2 风机不启动故障</w:t>
      </w:r>
    </w:p>
    <w:p w14:paraId="565DCF0B">
      <w:r>
        <w:t>风机不启动时，控制柜无故障代码显示或报“电机故障”。电气原因包括：熔断丝熔断（主电路或控制电路保险管烧毁），热继电器动作（电机过载，热继电器复位按钮弹出），电机线圈烧毁（相间绝缘电阻＜0.5MΩ），接触器触点烧蚀（接触不良）。机械原因包括：风机轴承卡死（手动盘车困难），叶轮积灰失衡（振动剧烈），皮带过紧或卡住（传动部件卡涩）。诊断步骤：先检查熔断丝，若烧毁更换同规格保险管（主电路10A，控制电路2A）；按下热继电器复位按钮，若能启动则为过载；用万用表测量电机三相绕组电阻，不平衡或接地电阻＜0.5MΩ提示线圈故障；手动盘车，若阻力大则检查轴承及叶轮。对策：更换熔断丝；排查过载原因（如电压过低、风机风阻过大），复位热继电器；维修或更换电机（线圈烧毁时）；更换轴承（加3#锂基脂润滑），清理叶轮积灰并做动平衡校正。</w:t>
      </w:r>
    </w:p>
    <w:p w14:paraId="0C599AAD">
      <w:pPr>
        <w:pStyle w:val="4"/>
      </w:pPr>
      <w:r>
        <w:t>5.3 燃烧器故障</w:t>
      </w:r>
    </w:p>
    <w:p w14:paraId="4C542F7E">
      <w:r>
        <w:t>燃烧器故障分为点不着火和点火后冒黑烟两类。点不着火且控制盒红灯亮时，多因油管内无油（首次启动或油箱缺油），或热交换器内柴油残留过多（多次点火失败导致）。处理方法：等待5分钟后按控制盒开关再次点火，重复3-4次，利用残留热量蒸发柴油；若仍无法点火，拆下燃烧器，用棉布擦净热交换器内残留柴油，重新安装后尝试。点火后冒黑烟通常是吸风口风门过小（空气量不足），风门未调好（空燃比失衡），或油泵卡死（燃油供应不足）。诊断：观察火焰颜色，正常为蓝色，黑烟提示缺氧；检查风门开度（标准开度1/2-2/3），听油泵运行声音（无运转声提示卡死）。对策：调大风门开度，确保空燃比14:1；拆解油泵，清理内部杂质，更换磨损柱塞；若油泵轴卡死，更换油泵总成。</w:t>
      </w:r>
    </w:p>
    <w:p w14:paraId="2E581A8B">
      <w:pPr>
        <w:pStyle w:val="4"/>
      </w:pPr>
      <w:r>
        <w:t>5.4 漆雾排放不畅故障</w:t>
      </w:r>
    </w:p>
    <w:p w14:paraId="621D1C0A">
      <w:r>
        <w:t>漆雾排放不畅表现为房内漆雾弥漫，工件表面出现颗粒瑕疵。主要原因为顶棉堵塞（通风阻力＞250Pa），地坑滤网积漆（漆雾沉积堵塞网孔），或排风机反转（接线错误导致风向相反）。诊断：检查顶棉表面，若出现漆雾穿透痕迹（白色面变深色）或压差＞250Pa，提示顶棉堵塞；查看地坑滤网，若表面覆盖厚厚一层漆渣，需清理；确认风机转向，与机壳标识方向一致，反转时更换任意两相电源线。对策：立即更换顶棉（选用60mm厚绿白复合过滤棉）；拆卸地坑滤网，用高压水枪冲洗（水压0.3MPa），晾干后安装；调整风机接线相序，确保正向旋转。</w:t>
      </w:r>
    </w:p>
    <w:p w14:paraId="66DEF177">
      <w:pPr>
        <w:pStyle w:val="4"/>
      </w:pPr>
      <w:r>
        <w:t>5.5 升温缓慢故障</w:t>
      </w:r>
    </w:p>
    <w:p w14:paraId="4DDB1663">
      <w:r>
        <w:t>升温缓慢指从室温升至设定温度（如60℃）时间＞30分钟（标准≤15分钟）。常见原因为风阀未开启（热空气无法循环），加热管损坏（功率不足），控制电路故障（温控器失灵或接触器未吸合），或保温性能下降（室体密封不严）。排查流程：先检查风阀状态，手动操作风阀手柄，确认能正常开启；用万用表测量加热管电阻，单根加热管电阻约15Ω（30kW/380V），断路则损坏；检查温控器输出信号，若有信号而接触器不吸合，为接触器故障；检查室体壁板连接处，若有缝隙则密封不良。对策：开启风阀，修复风阀控制电路（更换损坏的电磁阀或电机）；更换损坏的加热管（同功率、同规格）；更换接触器（触点烧蚀时）或温控器；用密封胶密封室体缝隙，更换老化的密封条。</w:t>
      </w:r>
    </w:p>
    <w:p w14:paraId="7E5755DA">
      <w:pPr>
        <w:pStyle w:val="4"/>
      </w:pPr>
      <w:r>
        <w:t>5.6 安全系统报警故障</w:t>
      </w:r>
    </w:p>
    <w:p w14:paraId="12B4942D">
      <w:r>
        <w:t>安全系统报警包括气体探测器误报和真实报警。误报多因传感器漂移（长期未校准），环境湿度超标（＞85%RH），或探测器表面油污覆盖（灵敏度下降）。真实报警则提示气体浓度超标（≥25%LEL）或火灾风险。诊断：用标准气（如50%LEL丙烷气）校准传感器，若示值偏差＞±5%则需标定；测量环境湿度，超标时启动除湿装置；清洁探测器表面（用酒精棉片擦拭）。对策：每半年用标准气校准传感器（调整零点和量程）；控制环境湿度＜85%RH（开启空调除湿）；真实报警时，立即停机启动应急排风，排查泄漏源（如涂料桶密封不严、管道接口漏气），修复后通风30分钟再开机。</w:t>
      </w:r>
    </w:p>
    <w:p w14:paraId="655C23FE">
      <w:pPr>
        <w:pStyle w:val="3"/>
      </w:pPr>
      <w:r>
        <w:t>六、维护保养规范</w:t>
      </w:r>
    </w:p>
    <w:p w14:paraId="453C372C">
      <w:pPr>
        <w:pStyle w:val="4"/>
      </w:pPr>
      <w:r>
        <w:t>6.1 日常维护</w:t>
      </w:r>
    </w:p>
    <w:p w14:paraId="6FFB334B">
      <w:r>
        <w:t>日常维护由操作人员每班执行，内容包括：清洁房内墙壁、玻璃及地台底座，用湿布擦拭去除表面漆尘（禁止使用有机溶剂）；清理喷柜内残留漆渣，清洗油污过滤系统（每3天用中性洗涤剂冲洗）；检查风压表读数，正常范围0.3-0.5KPa，记录波动情况；监听风机运行声音，无异常异响（如轴承异响、皮带打滑声）；确认气体探测器指示灯正常（绿色运行灯亮，无报警）；检查消防设施在位，灭火器压力正常（指针在绿色区域）。每日工作结束后，关闭所有电源，清理工具及废弃物，填写《日常点检表》，发现异常立即上报设备工程师。</w:t>
      </w:r>
    </w:p>
    <w:p w14:paraId="080E6E2D">
      <w:pPr>
        <w:pStyle w:val="4"/>
      </w:pPr>
      <w:r>
        <w:t>6.2 定期检查与部件更换</w:t>
      </w:r>
    </w:p>
    <w:p w14:paraId="59E05AFA">
      <w:r>
        <w:t>定期检查按周期分为每周、每月、每季度、半年及年度维护。每周维护：清洁进风隔尘网（用压缩空气反向吹扫），检查排气隔尘网是否积塞（压差＞150Pa时清理）；清洁地台水盘，更换水池水（每周一次，加适量除漆剂）。每月维护：更换地台隔尘纤维棉（每150小时）；检查传动皮带张紧度，调整至下垂量30-50mm；校准温湿度传感器（用标准温湿度计对比，偏差＞±1℃时校准）；检查接地电阻（设备接地≤4Ω，防静电接地≤100Ω）。每季度维护：检查风机轴承润滑，加注32#极压齿轮油（油位至油标1/2-2/3）；清洁燃烧器热交换器，去除积碳；检查电气线路连接，紧固松动端子（用扭矩扳手，扭矩2.5N·m）。半年维护：更换活性炭吸附箱内活性炭（碘值≥800mg/g）；校准可燃气体探测器（用标准气标定）；检查防爆灯具玻璃罩完整性，更换破损灯具。年度维护：深度清洁热能转换器（燃烧室及排烟通道），去除水垢和积碳；更换UV光氧灯管（使用寿命8000小时）；进行系统风量测试，调整风机频率使工作区风速恢复0.3-0.5m/s。</w:t>
      </w:r>
    </w:p>
    <w:p w14:paraId="4CC9A5B1">
      <w:pPr>
        <w:pStyle w:val="4"/>
      </w:pPr>
      <w:r>
        <w:t>6.3 系统调试与校准</w:t>
      </w:r>
    </w:p>
    <w:p w14:paraId="53773169">
      <w:r>
        <w:t>系统调试需在设备安装或大修后进行，包括风量调试、温度控制调试及安全连锁测试。风量调试：关闭所有风口，启动风机，通过变频器调节转速，用风速仪在工作区多点测量风速，调整至0.3-0.5m/s，记录风机频率并锁定。温度控制调试：设定目标温度25℃，启动加热系统，用标准温度计测量工作区温度，通过PLC调整PID参数（比例系数、积分时间），使温度波动≤±0.5℃。安全连锁测试：模拟可燃气体浓度超标（用标准气触发探测器），检查是否启动声光报警及应急排风；按下急停按钮，确认所有输出设备断电；测试火灾报警系统，验证喷水灭火系统联动功能。传感器校准周期：温湿度传感器每季度校准一次，气体探测器每半年校准一次，压差传感器每年校准一次，校准记录存档至少3年。</w:t>
      </w:r>
    </w:p>
    <w:p w14:paraId="31609436">
      <w:pPr>
        <w:pStyle w:val="4"/>
      </w:pPr>
      <w:r>
        <w:t>6.4 维护安全与记录管理</w:t>
      </w:r>
    </w:p>
    <w:p w14:paraId="69D3EFF2">
      <w:r>
        <w:t>维护作业必须遵守安全规程：所有维护工作在切断电源后进行，悬挂“禁止合闸”警示牌；进入喷漆房前，检测可燃气体浓度＜25%LEL，开启通风系统通风15分钟；操作人员佩戴防静电服、防毒面具、护目镜及耐油手套；高空作业（如更换顶棉）时使用合格脚手架，系安全带。维护记录包括《日常点检表》（每班填写）、《定期维护记录表》（按周期填写，含检查项目、数据、处理措施）、《故障处理记录表》（记录故障现象、原因、处理过程及结果）、《校准证书》（传感器、仪表校准记录）。记录需清晰、准确，由维护人员签字确认，设备工程师每周审核，存档期限至少5年。</w:t>
      </w:r>
    </w:p>
    <w:p w14:paraId="2BD36E63">
      <w:pPr>
        <w:pStyle w:val="3"/>
      </w:pPr>
      <w:r>
        <w:t>七、安全操作指南</w:t>
      </w:r>
    </w:p>
    <w:p w14:paraId="46A29DEA">
      <w:pPr>
        <w:pStyle w:val="4"/>
      </w:pPr>
      <w:r>
        <w:t>7.1 操作前准备</w:t>
      </w:r>
    </w:p>
    <w:p w14:paraId="34D45B1E">
      <w:r>
        <w:t>操作前准备工作包括环境检查、设备检查及个人防护确认。环境检查：清除喷漆房周围10米内的易燃物品，确保消防通道畅通；检查房内通风良好，无异味或漆雾残留；确认接地系统完好（用接地电阻仪测量，设备接地≤4Ω，防静电接地≤100Ω）。设备检查：启动送排风机，运行5分钟后测量工作区风速（0.3-0.5m/s）；检查风压表读数（0.3-0.5KPa）、气体探测器状态（绿色运行灯亮）、照明照度（800-1000勒克司）；测试急停按钮功能，按下后设备应立即停机；检查喷枪、涂料管路无泄漏，涂料粘度符合工艺要求（涂-4杯粘度15-25s）。个人防护：操作人员必须穿戴防静电服、防静电鞋、防毒面具（过滤元件为A型P100）、护目镜及丁腈手套，禁止佩戴化纤饰品。</w:t>
      </w:r>
    </w:p>
    <w:p w14:paraId="2B849C0C">
      <w:pPr>
        <w:pStyle w:val="4"/>
      </w:pPr>
      <w:r>
        <w:t>7.2 作业中安全规范</w:t>
      </w:r>
    </w:p>
    <w:p w14:paraId="49C59086">
      <w:r>
        <w:t>作业过程中需严格遵守以下规范：严禁在房内吸烟、饮食或使用明火；喷漆时保持喷枪与工件距离20-30cm，避免漆雾反弹；禁止在未关闭喷枪时离开作业岗位；密切监控设备运行参数，每30分钟记录一次风压、温度、气体浓度，发现异常（如风压突然下降、浓度报警）立即停机；涂料桶需密封，使用后及时盖紧，避免VOCs挥发；沾漆的抹布、手套等放入有盖金属容器，每班清理一次；禁止在房内进行焊接、打磨等产生火花的作业；非操作人员禁止进入喷漆房，参观人员需经许可并佩戴相同防护用品。</w:t>
      </w:r>
    </w:p>
    <w:p w14:paraId="34AF7B8A">
      <w:pPr>
        <w:pStyle w:val="4"/>
      </w:pPr>
      <w:r>
        <w:t>7.3 应急处理流程</w:t>
      </w:r>
    </w:p>
    <w:p w14:paraId="2AB57490">
      <w:r>
        <w:t>应急处理分为三级响应机制。一级响应（局部故障）：当出现单个喷枪堵塞、局部漆雾扩散等轻微故障时，立即按下操作面板急停按钮，切断单组喷涂单元电源；关闭对应的涂料阀门，清理喷枪或调整风速，故障排除后重新启动。二级响应（区域报警）：当可燃气体浓度达到低报值（25%LEL）或风机故障时，立即停止所有喷涂作业，启动备用排风机（风量增加50%）；组织人员有序撤离至安全区域，关闭房内电源总开关；打开门窗通风，使用便携式气体检测仪监测浓度，降至＜25%LEL后方可进入处理。三级响应（紧急事故）：当发生火灾（火焰、浓烟）或气体浓度达到高报值（40%LEL）时，立即按下总急停按钮，切断所有电源（应急照明除外）；启动自动喷水灭火系统或使用干粉灭火器灭火；拨打消防电话（119），同时向上级报告；组织人员沿消防通道疏散，撤离至上风向安全区域；待专业人员处理后，经评估确认安全方可进入现场。</w:t>
      </w:r>
    </w:p>
    <w:p w14:paraId="7FB976A2">
      <w:pPr>
        <w:pStyle w:val="3"/>
      </w:pPr>
      <w:r>
        <w:t>附录</w:t>
      </w:r>
    </w:p>
    <w:p w14:paraId="76399C70">
      <w:pPr>
        <w:pStyle w:val="4"/>
      </w:pPr>
      <w:r>
        <w:t>附录A 技术参数汇总表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7358C0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534105B">
            <w:pPr>
              <w:jc w:val="center"/>
              <w:rPr>
                <w:b/>
              </w:rPr>
            </w:pPr>
            <w:r>
              <w:rPr>
                <w:b/>
              </w:rPr>
              <w:t>系统名称</w:t>
            </w:r>
          </w:p>
        </w:tc>
        <w:tc>
          <w:tcPr>
            <w:tcW w:w="0" w:type="auto"/>
            <w:vAlign w:val="center"/>
          </w:tcPr>
          <w:p w14:paraId="700343D3">
            <w:pPr>
              <w:jc w:val="center"/>
              <w:rPr>
                <w:b/>
              </w:rPr>
            </w:pPr>
            <w:r>
              <w:rPr>
                <w:b/>
              </w:rPr>
              <w:t>主要参数项</w:t>
            </w:r>
          </w:p>
        </w:tc>
        <w:tc>
          <w:tcPr>
            <w:tcW w:w="0" w:type="auto"/>
            <w:vAlign w:val="center"/>
          </w:tcPr>
          <w:p w14:paraId="67833DE1">
            <w:pPr>
              <w:jc w:val="center"/>
              <w:rPr>
                <w:b/>
              </w:rPr>
            </w:pPr>
            <w:r>
              <w:rPr>
                <w:b/>
              </w:rPr>
              <w:t>规格/数值</w:t>
            </w:r>
          </w:p>
        </w:tc>
      </w:tr>
      <w:tr w14:paraId="4F09F1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57BB482">
            <w:r>
              <w:t>室体系统</w:t>
            </w:r>
          </w:p>
        </w:tc>
        <w:tc>
          <w:tcPr>
            <w:tcW w:w="0" w:type="auto"/>
            <w:vAlign w:val="center"/>
          </w:tcPr>
          <w:p w14:paraId="6B9519A6">
            <w:r>
              <w:t>壁板材料</w:t>
            </w:r>
          </w:p>
        </w:tc>
        <w:tc>
          <w:tcPr>
            <w:tcW w:w="0" w:type="auto"/>
            <w:vAlign w:val="center"/>
          </w:tcPr>
          <w:p w14:paraId="1B7CE24C">
            <w:r>
              <w:t>0.5mm镀锌彩钢板+75mm保温材料</w:t>
            </w:r>
          </w:p>
        </w:tc>
      </w:tr>
      <w:tr w14:paraId="4182EB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5DA2D1E"/>
        </w:tc>
        <w:tc>
          <w:tcPr>
            <w:tcW w:w="0" w:type="auto"/>
            <w:vAlign w:val="center"/>
          </w:tcPr>
          <w:p w14:paraId="4E5DB89F">
            <w:r>
              <w:t>泄压面积</w:t>
            </w:r>
          </w:p>
        </w:tc>
        <w:tc>
          <w:tcPr>
            <w:tcW w:w="0" w:type="auto"/>
            <w:vAlign w:val="center"/>
          </w:tcPr>
          <w:p w14:paraId="3832B382">
            <w:r>
              <w:t>≥0.05 ㎡/m³</w:t>
            </w:r>
          </w:p>
        </w:tc>
      </w:tr>
      <w:tr w14:paraId="2F8446FF">
        <w:tc>
          <w:tcPr>
            <w:tcW w:w="0" w:type="auto"/>
            <w:vAlign w:val="center"/>
          </w:tcPr>
          <w:p w14:paraId="0F727710"/>
        </w:tc>
        <w:tc>
          <w:tcPr>
            <w:tcW w:w="0" w:type="auto"/>
            <w:vAlign w:val="center"/>
          </w:tcPr>
          <w:p w14:paraId="18C45ACB">
            <w:r>
              <w:t>地面材料</w:t>
            </w:r>
          </w:p>
        </w:tc>
        <w:tc>
          <w:tcPr>
            <w:tcW w:w="0" w:type="auto"/>
            <w:vAlign w:val="center"/>
          </w:tcPr>
          <w:p w14:paraId="092E192B">
            <w:r>
              <w:t>环氧树脂+石英砂耐磨层（防静电）</w:t>
            </w:r>
          </w:p>
        </w:tc>
      </w:tr>
      <w:tr w14:paraId="072A9A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44F6F42">
            <w:r>
              <w:t>送风系统</w:t>
            </w:r>
          </w:p>
        </w:tc>
        <w:tc>
          <w:tcPr>
            <w:tcW w:w="0" w:type="auto"/>
            <w:vAlign w:val="center"/>
          </w:tcPr>
          <w:p w14:paraId="047BD25D">
            <w:r>
              <w:t>风机型号</w:t>
            </w:r>
          </w:p>
        </w:tc>
        <w:tc>
          <w:tcPr>
            <w:tcW w:w="0" w:type="auto"/>
            <w:vAlign w:val="center"/>
          </w:tcPr>
          <w:p w14:paraId="1A431E05">
            <w:r>
              <w:t>B4-72-11No.12C离心风机</w:t>
            </w:r>
          </w:p>
        </w:tc>
      </w:tr>
      <w:tr w14:paraId="560570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BBCEC1C"/>
        </w:tc>
        <w:tc>
          <w:tcPr>
            <w:tcW w:w="0" w:type="auto"/>
            <w:vAlign w:val="center"/>
          </w:tcPr>
          <w:p w14:paraId="7E3CC559">
            <w:r>
              <w:t>处理风量</w:t>
            </w:r>
          </w:p>
        </w:tc>
        <w:tc>
          <w:tcPr>
            <w:tcW w:w="0" w:type="auto"/>
            <w:vAlign w:val="center"/>
          </w:tcPr>
          <w:p w14:paraId="42A334BC">
            <w:r>
              <w:t>49000 m³/h（单台）</w:t>
            </w:r>
          </w:p>
        </w:tc>
      </w:tr>
      <w:tr w14:paraId="1F3D2A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CD0802A"/>
        </w:tc>
        <w:tc>
          <w:tcPr>
            <w:tcW w:w="0" w:type="auto"/>
            <w:vAlign w:val="center"/>
          </w:tcPr>
          <w:p w14:paraId="79F8521A">
            <w:r>
              <w:t>风压</w:t>
            </w:r>
          </w:p>
        </w:tc>
        <w:tc>
          <w:tcPr>
            <w:tcW w:w="0" w:type="auto"/>
            <w:vAlign w:val="center"/>
          </w:tcPr>
          <w:p w14:paraId="700353E6">
            <w:r>
              <w:t>0.7-1.0 KPa</w:t>
            </w:r>
          </w:p>
        </w:tc>
      </w:tr>
      <w:tr w14:paraId="61FBBAB7">
        <w:tc>
          <w:tcPr>
            <w:tcW w:w="0" w:type="auto"/>
            <w:vAlign w:val="center"/>
          </w:tcPr>
          <w:p w14:paraId="1E45F8FD">
            <w:r>
              <w:t>漆雾过滤系统</w:t>
            </w:r>
          </w:p>
        </w:tc>
        <w:tc>
          <w:tcPr>
            <w:tcW w:w="0" w:type="auto"/>
            <w:vAlign w:val="center"/>
          </w:tcPr>
          <w:p w14:paraId="23875FA9">
            <w:r>
              <w:t>过滤棉规格</w:t>
            </w:r>
          </w:p>
        </w:tc>
        <w:tc>
          <w:tcPr>
            <w:tcW w:w="0" w:type="auto"/>
            <w:vAlign w:val="center"/>
          </w:tcPr>
          <w:p w14:paraId="65C87773">
            <w:r>
              <w:t>50mm/60mm/100mm（绿白复合）</w:t>
            </w:r>
          </w:p>
        </w:tc>
      </w:tr>
      <w:tr w14:paraId="7477C8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61B72E2"/>
        </w:tc>
        <w:tc>
          <w:tcPr>
            <w:tcW w:w="0" w:type="auto"/>
            <w:vAlign w:val="center"/>
          </w:tcPr>
          <w:p w14:paraId="39262D6C">
            <w:r>
              <w:t>过滤效率</w:t>
            </w:r>
          </w:p>
        </w:tc>
        <w:tc>
          <w:tcPr>
            <w:tcW w:w="0" w:type="auto"/>
            <w:vAlign w:val="center"/>
          </w:tcPr>
          <w:p w14:paraId="22358A8C">
            <w:r>
              <w:t>≥98%（0.3-10 μm颗粒）</w:t>
            </w:r>
          </w:p>
        </w:tc>
      </w:tr>
      <w:tr w14:paraId="6C6CD06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BE1475E"/>
        </w:tc>
        <w:tc>
          <w:tcPr>
            <w:tcW w:w="0" w:type="auto"/>
            <w:vAlign w:val="center"/>
          </w:tcPr>
          <w:p w14:paraId="4A9CA133">
            <w:r>
              <w:t>初阻力</w:t>
            </w:r>
          </w:p>
        </w:tc>
        <w:tc>
          <w:tcPr>
            <w:tcW w:w="0" w:type="auto"/>
            <w:vAlign w:val="center"/>
          </w:tcPr>
          <w:p w14:paraId="7E0A1405">
            <w:r>
              <w:t>15-20 Pa</w:t>
            </w:r>
          </w:p>
        </w:tc>
      </w:tr>
      <w:tr w14:paraId="6F8BDA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AD4BC29">
            <w:r>
              <w:t>有机废气处理系统</w:t>
            </w:r>
          </w:p>
        </w:tc>
        <w:tc>
          <w:tcPr>
            <w:tcW w:w="0" w:type="auto"/>
            <w:vAlign w:val="center"/>
          </w:tcPr>
          <w:p w14:paraId="7347F509">
            <w:r>
              <w:t>活性炭比表面积</w:t>
            </w:r>
          </w:p>
        </w:tc>
        <w:tc>
          <w:tcPr>
            <w:tcW w:w="0" w:type="auto"/>
            <w:vAlign w:val="center"/>
          </w:tcPr>
          <w:p w14:paraId="5161CB6A">
            <w:r>
              <w:t>700-1500 m²/g</w:t>
            </w:r>
          </w:p>
        </w:tc>
      </w:tr>
      <w:tr w14:paraId="79AAC409">
        <w:tc>
          <w:tcPr>
            <w:tcW w:w="0" w:type="auto"/>
            <w:vAlign w:val="center"/>
          </w:tcPr>
          <w:p w14:paraId="7617C8E6"/>
        </w:tc>
        <w:tc>
          <w:tcPr>
            <w:tcW w:w="0" w:type="auto"/>
            <w:vAlign w:val="center"/>
          </w:tcPr>
          <w:p w14:paraId="22E69E89">
            <w:r>
              <w:t>VOCs去除率</w:t>
            </w:r>
          </w:p>
        </w:tc>
        <w:tc>
          <w:tcPr>
            <w:tcW w:w="0" w:type="auto"/>
            <w:vAlign w:val="center"/>
          </w:tcPr>
          <w:p w14:paraId="71BF41BB">
            <w:r>
              <w:t>≥95%</w:t>
            </w:r>
          </w:p>
        </w:tc>
      </w:tr>
      <w:tr w14:paraId="288969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17F8B42"/>
        </w:tc>
        <w:tc>
          <w:tcPr>
            <w:tcW w:w="0" w:type="auto"/>
            <w:vAlign w:val="center"/>
          </w:tcPr>
          <w:p w14:paraId="2A1FD90E">
            <w:r>
              <w:t>催化燃烧温度</w:t>
            </w:r>
          </w:p>
        </w:tc>
        <w:tc>
          <w:tcPr>
            <w:tcW w:w="0" w:type="auto"/>
            <w:vAlign w:val="center"/>
          </w:tcPr>
          <w:p w14:paraId="5C5866C9">
            <w:r>
              <w:t>450-550℃</w:t>
            </w:r>
          </w:p>
        </w:tc>
      </w:tr>
      <w:tr w14:paraId="7386A7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BB5BB3D">
            <w:r>
              <w:t>电气系统</w:t>
            </w:r>
          </w:p>
        </w:tc>
        <w:tc>
          <w:tcPr>
            <w:tcW w:w="0" w:type="auto"/>
            <w:vAlign w:val="center"/>
          </w:tcPr>
          <w:p w14:paraId="63B00D9B">
            <w:r>
              <w:t>防爆等级</w:t>
            </w:r>
          </w:p>
        </w:tc>
        <w:tc>
          <w:tcPr>
            <w:tcW w:w="0" w:type="auto"/>
            <w:vAlign w:val="center"/>
          </w:tcPr>
          <w:p w14:paraId="7469A199">
            <w:r>
              <w:t>Exib/Exd</w:t>
            </w:r>
          </w:p>
        </w:tc>
      </w:tr>
      <w:tr w14:paraId="483F784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076AA6B"/>
        </w:tc>
        <w:tc>
          <w:tcPr>
            <w:tcW w:w="0" w:type="auto"/>
            <w:vAlign w:val="center"/>
          </w:tcPr>
          <w:p w14:paraId="7012E8C6">
            <w:r>
              <w:t>接地电阻</w:t>
            </w:r>
          </w:p>
        </w:tc>
        <w:tc>
          <w:tcPr>
            <w:tcW w:w="0" w:type="auto"/>
            <w:vAlign w:val="center"/>
          </w:tcPr>
          <w:p w14:paraId="4FC6BA25">
            <w:r>
              <w:t>≤4Ω（设备）/≤100Ω（防静电）</w:t>
            </w:r>
          </w:p>
        </w:tc>
      </w:tr>
      <w:tr w14:paraId="7B632AE4">
        <w:tc>
          <w:tcPr>
            <w:tcW w:w="0" w:type="auto"/>
            <w:vAlign w:val="center"/>
          </w:tcPr>
          <w:p w14:paraId="076A51FC"/>
        </w:tc>
        <w:tc>
          <w:tcPr>
            <w:tcW w:w="0" w:type="auto"/>
            <w:vAlign w:val="center"/>
          </w:tcPr>
          <w:p w14:paraId="247BECF3">
            <w:r>
              <w:t>照明照度</w:t>
            </w:r>
          </w:p>
        </w:tc>
        <w:tc>
          <w:tcPr>
            <w:tcW w:w="0" w:type="auto"/>
            <w:vAlign w:val="center"/>
          </w:tcPr>
          <w:p w14:paraId="71FE22EA">
            <w:r>
              <w:t>800-1000 勒克司</w:t>
            </w:r>
          </w:p>
        </w:tc>
      </w:tr>
    </w:tbl>
    <w:p w14:paraId="6296BD81">
      <w:pPr>
        <w:pStyle w:val="4"/>
      </w:pPr>
      <w:r>
        <w:t>附录B 常用备件清单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07E8BE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C09BA57">
            <w:pPr>
              <w:jc w:val="center"/>
              <w:rPr>
                <w:b/>
              </w:rPr>
            </w:pPr>
            <w:r>
              <w:rPr>
                <w:b/>
              </w:rPr>
              <w:t>备件名称</w:t>
            </w:r>
          </w:p>
        </w:tc>
        <w:tc>
          <w:tcPr>
            <w:tcW w:w="0" w:type="auto"/>
            <w:vAlign w:val="center"/>
          </w:tcPr>
          <w:p w14:paraId="7269FA00">
            <w:pPr>
              <w:jc w:val="center"/>
              <w:rPr>
                <w:b/>
              </w:rPr>
            </w:pPr>
            <w:r>
              <w:rPr>
                <w:b/>
              </w:rPr>
              <w:t>型号规格</w:t>
            </w:r>
          </w:p>
        </w:tc>
        <w:tc>
          <w:tcPr>
            <w:tcW w:w="0" w:type="auto"/>
            <w:vAlign w:val="center"/>
          </w:tcPr>
          <w:p w14:paraId="1CF8D4CA">
            <w:pPr>
              <w:jc w:val="center"/>
              <w:rPr>
                <w:b/>
              </w:rPr>
            </w:pPr>
            <w:r>
              <w:rPr>
                <w:b/>
              </w:rPr>
              <w:t>更换周期</w:t>
            </w:r>
          </w:p>
        </w:tc>
        <w:tc>
          <w:tcPr>
            <w:tcW w:w="0" w:type="auto"/>
            <w:vAlign w:val="center"/>
          </w:tcPr>
          <w:p w14:paraId="70C7F613">
            <w:pPr>
              <w:jc w:val="center"/>
              <w:rPr>
                <w:b/>
              </w:rPr>
            </w:pPr>
            <w:r>
              <w:rPr>
                <w:b/>
              </w:rPr>
              <w:t>安全库存数量</w:t>
            </w:r>
          </w:p>
        </w:tc>
      </w:tr>
      <w:tr w14:paraId="211DFA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611B7E5">
            <w:r>
              <w:t>漆雾过滤棉</w:t>
            </w:r>
          </w:p>
        </w:tc>
        <w:tc>
          <w:tcPr>
            <w:tcW w:w="0" w:type="auto"/>
            <w:vAlign w:val="center"/>
          </w:tcPr>
          <w:p w14:paraId="0366396C">
            <w:r>
              <w:t>60mm厚，绿白复合</w:t>
            </w:r>
          </w:p>
        </w:tc>
        <w:tc>
          <w:tcPr>
            <w:tcW w:w="0" w:type="auto"/>
            <w:vAlign w:val="center"/>
          </w:tcPr>
          <w:p w14:paraId="2255606D">
            <w:r>
              <w:t>150小时/次</w:t>
            </w:r>
          </w:p>
        </w:tc>
        <w:tc>
          <w:tcPr>
            <w:tcW w:w="0" w:type="auto"/>
            <w:vAlign w:val="center"/>
          </w:tcPr>
          <w:p w14:paraId="125276B2">
            <w:r>
              <w:t>5张</w:t>
            </w:r>
          </w:p>
        </w:tc>
      </w:tr>
      <w:tr w14:paraId="6769165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44D4064">
            <w:r>
              <w:t>活性炭</w:t>
            </w:r>
          </w:p>
        </w:tc>
        <w:tc>
          <w:tcPr>
            <w:tcW w:w="0" w:type="auto"/>
            <w:vAlign w:val="center"/>
          </w:tcPr>
          <w:p w14:paraId="1DDF3FEE">
            <w:r>
              <w:t>蜂窝状，碘值≥800mg/g</w:t>
            </w:r>
          </w:p>
        </w:tc>
        <w:tc>
          <w:tcPr>
            <w:tcW w:w="0" w:type="auto"/>
            <w:vAlign w:val="center"/>
          </w:tcPr>
          <w:p w14:paraId="657E0524">
            <w:r>
              <w:t>6个月/次</w:t>
            </w:r>
          </w:p>
        </w:tc>
        <w:tc>
          <w:tcPr>
            <w:tcW w:w="0" w:type="auto"/>
            <w:vAlign w:val="center"/>
          </w:tcPr>
          <w:p w14:paraId="41121693">
            <w:r>
              <w:t>1m³</w:t>
            </w:r>
          </w:p>
        </w:tc>
      </w:tr>
      <w:tr w14:paraId="0C29B17B">
        <w:tc>
          <w:tcPr>
            <w:tcW w:w="0" w:type="auto"/>
            <w:vAlign w:val="center"/>
          </w:tcPr>
          <w:p w14:paraId="6A9A23CF">
            <w:r>
              <w:t>三角皮带</w:t>
            </w:r>
          </w:p>
        </w:tc>
        <w:tc>
          <w:tcPr>
            <w:tcW w:w="0" w:type="auto"/>
            <w:vAlign w:val="center"/>
          </w:tcPr>
          <w:p w14:paraId="66B3E42F">
            <w:r>
              <w:t>B型，长度1200mm</w:t>
            </w:r>
          </w:p>
        </w:tc>
        <w:tc>
          <w:tcPr>
            <w:tcW w:w="0" w:type="auto"/>
            <w:vAlign w:val="center"/>
          </w:tcPr>
          <w:p w14:paraId="4DBAEACF">
            <w:r>
              <w:t>6个月/次</w:t>
            </w:r>
          </w:p>
        </w:tc>
        <w:tc>
          <w:tcPr>
            <w:tcW w:w="0" w:type="auto"/>
            <w:vAlign w:val="center"/>
          </w:tcPr>
          <w:p w14:paraId="70844A6D">
            <w:r>
              <w:t>3条</w:t>
            </w:r>
          </w:p>
        </w:tc>
      </w:tr>
      <w:tr w14:paraId="42118A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30FE73E">
            <w:r>
              <w:t>风机轴承</w:t>
            </w:r>
          </w:p>
        </w:tc>
        <w:tc>
          <w:tcPr>
            <w:tcW w:w="0" w:type="auto"/>
            <w:vAlign w:val="center"/>
          </w:tcPr>
          <w:p w14:paraId="6B36D4E8">
            <w:r>
              <w:t>6312深沟球轴承</w:t>
            </w:r>
          </w:p>
        </w:tc>
        <w:tc>
          <w:tcPr>
            <w:tcW w:w="0" w:type="auto"/>
            <w:vAlign w:val="center"/>
          </w:tcPr>
          <w:p w14:paraId="1A853057">
            <w:r>
              <w:t>2年/次</w:t>
            </w:r>
          </w:p>
        </w:tc>
        <w:tc>
          <w:tcPr>
            <w:tcW w:w="0" w:type="auto"/>
            <w:vAlign w:val="center"/>
          </w:tcPr>
          <w:p w14:paraId="11D001FC">
            <w:r>
              <w:t>2套</w:t>
            </w:r>
          </w:p>
        </w:tc>
      </w:tr>
      <w:tr w14:paraId="40CDD5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CBA4317">
            <w:r>
              <w:t>可燃气体传感器</w:t>
            </w:r>
          </w:p>
        </w:tc>
        <w:tc>
          <w:tcPr>
            <w:tcW w:w="0" w:type="auto"/>
            <w:vAlign w:val="center"/>
          </w:tcPr>
          <w:p w14:paraId="5A0D50AC">
            <w:r>
              <w:t>催化燃烧式，0-100%LEL</w:t>
            </w:r>
          </w:p>
        </w:tc>
        <w:tc>
          <w:tcPr>
            <w:tcW w:w="0" w:type="auto"/>
            <w:vAlign w:val="center"/>
          </w:tcPr>
          <w:p w14:paraId="309F7B85">
            <w:r>
              <w:t>2年/次</w:t>
            </w:r>
          </w:p>
        </w:tc>
        <w:tc>
          <w:tcPr>
            <w:tcW w:w="0" w:type="auto"/>
            <w:vAlign w:val="center"/>
          </w:tcPr>
          <w:p w14:paraId="5F92B902">
            <w:r>
              <w:t>1个</w:t>
            </w:r>
          </w:p>
        </w:tc>
      </w:tr>
      <w:tr w14:paraId="468486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C4C3E87">
            <w:r>
              <w:t>UV光氧灯管</w:t>
            </w:r>
          </w:p>
        </w:tc>
        <w:tc>
          <w:tcPr>
            <w:tcW w:w="0" w:type="auto"/>
            <w:vAlign w:val="center"/>
          </w:tcPr>
          <w:p w14:paraId="424C2118">
            <w:r>
              <w:t>150W，波长185nm/254nm</w:t>
            </w:r>
          </w:p>
        </w:tc>
        <w:tc>
          <w:tcPr>
            <w:tcW w:w="0" w:type="auto"/>
            <w:vAlign w:val="center"/>
          </w:tcPr>
          <w:p w14:paraId="0A6B7ACE">
            <w:r>
              <w:t>8000小时/次</w:t>
            </w:r>
          </w:p>
        </w:tc>
        <w:tc>
          <w:tcPr>
            <w:tcW w:w="0" w:type="auto"/>
            <w:vAlign w:val="center"/>
          </w:tcPr>
          <w:p w14:paraId="492BDE66">
            <w:r>
              <w:t>3支</w:t>
            </w:r>
          </w:p>
        </w:tc>
      </w:tr>
      <w:tr w14:paraId="450DB225">
        <w:tc>
          <w:tcPr>
            <w:tcW w:w="0" w:type="auto"/>
            <w:vAlign w:val="center"/>
          </w:tcPr>
          <w:p w14:paraId="49917B97">
            <w:r>
              <w:t>电磁阀</w:t>
            </w:r>
          </w:p>
        </w:tc>
        <w:tc>
          <w:tcPr>
            <w:tcW w:w="0" w:type="auto"/>
            <w:vAlign w:val="center"/>
          </w:tcPr>
          <w:p w14:paraId="2D5234A9">
            <w:r>
              <w:t>DC24V，通径1/2英寸</w:t>
            </w:r>
          </w:p>
        </w:tc>
        <w:tc>
          <w:tcPr>
            <w:tcW w:w="0" w:type="auto"/>
            <w:vAlign w:val="center"/>
          </w:tcPr>
          <w:p w14:paraId="212A93F7">
            <w:r>
              <w:t>1年/次</w:t>
            </w:r>
          </w:p>
        </w:tc>
        <w:tc>
          <w:tcPr>
            <w:tcW w:w="0" w:type="auto"/>
            <w:vAlign w:val="center"/>
          </w:tcPr>
          <w:p w14:paraId="63167DE6">
            <w:r>
              <w:t>2个</w:t>
            </w:r>
          </w:p>
        </w:tc>
      </w:tr>
      <w:tr w14:paraId="59E5649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1BF7903">
            <w:r>
              <w:t>加热管</w:t>
            </w:r>
          </w:p>
        </w:tc>
        <w:tc>
          <w:tcPr>
            <w:tcW w:w="0" w:type="auto"/>
            <w:vAlign w:val="center"/>
          </w:tcPr>
          <w:p w14:paraId="0FB0D4B4">
            <w:r>
              <w:t>30kW，AC380V</w:t>
            </w:r>
          </w:p>
        </w:tc>
        <w:tc>
          <w:tcPr>
            <w:tcW w:w="0" w:type="auto"/>
            <w:vAlign w:val="center"/>
          </w:tcPr>
          <w:p w14:paraId="133533E3">
            <w:r>
              <w:t>2年/次</w:t>
            </w:r>
          </w:p>
        </w:tc>
        <w:tc>
          <w:tcPr>
            <w:tcW w:w="0" w:type="auto"/>
            <w:vAlign w:val="center"/>
          </w:tcPr>
          <w:p w14:paraId="01425BB1">
            <w:r>
              <w:t>1根</w:t>
            </w:r>
          </w:p>
        </w:tc>
      </w:tr>
    </w:tbl>
    <w:p w14:paraId="39872019">
      <w:pPr>
        <w:pStyle w:val="4"/>
      </w:pPr>
      <w:r>
        <w:t>附录C 维护记录表样</w:t>
      </w:r>
    </w:p>
    <w:p w14:paraId="5E801DAA">
      <w:pPr>
        <w:pStyle w:val="5"/>
      </w:pPr>
      <w:r>
        <w:t>《日常点检表》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14:paraId="3E7D58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009B178">
            <w:pPr>
              <w:jc w:val="center"/>
              <w:rPr>
                <w:b/>
              </w:rPr>
            </w:pPr>
            <w:r>
              <w:rPr>
                <w:b/>
              </w:rPr>
              <w:t>日期</w:t>
            </w:r>
          </w:p>
        </w:tc>
        <w:tc>
          <w:tcPr>
            <w:tcW w:w="0" w:type="auto"/>
            <w:vAlign w:val="center"/>
          </w:tcPr>
          <w:p w14:paraId="0D358337">
            <w:pPr>
              <w:jc w:val="center"/>
              <w:rPr>
                <w:b/>
              </w:rPr>
            </w:pPr>
            <w:r>
              <w:rPr>
                <w:b/>
              </w:rPr>
              <w:t>班次</w:t>
            </w:r>
          </w:p>
        </w:tc>
        <w:tc>
          <w:tcPr>
            <w:tcW w:w="0" w:type="auto"/>
            <w:vAlign w:val="center"/>
          </w:tcPr>
          <w:p w14:paraId="32F010A3">
            <w:pPr>
              <w:jc w:val="center"/>
              <w:rPr>
                <w:b/>
              </w:rPr>
            </w:pPr>
            <w:r>
              <w:rPr>
                <w:b/>
              </w:rPr>
              <w:t>检查项目</w:t>
            </w:r>
          </w:p>
        </w:tc>
        <w:tc>
          <w:tcPr>
            <w:tcW w:w="0" w:type="auto"/>
            <w:vAlign w:val="center"/>
          </w:tcPr>
          <w:p w14:paraId="176AC199">
            <w:pPr>
              <w:jc w:val="center"/>
              <w:rPr>
                <w:b/>
              </w:rPr>
            </w:pPr>
            <w:r>
              <w:rPr>
                <w:b/>
              </w:rPr>
              <w:t>标准值</w:t>
            </w:r>
          </w:p>
        </w:tc>
        <w:tc>
          <w:tcPr>
            <w:tcW w:w="0" w:type="auto"/>
            <w:vAlign w:val="center"/>
          </w:tcPr>
          <w:p w14:paraId="3F3FDBA2">
            <w:pPr>
              <w:jc w:val="center"/>
              <w:rPr>
                <w:b/>
              </w:rPr>
            </w:pPr>
            <w:r>
              <w:rPr>
                <w:b/>
              </w:rPr>
              <w:t>实测值</w:t>
            </w:r>
          </w:p>
        </w:tc>
        <w:tc>
          <w:tcPr>
            <w:tcW w:w="0" w:type="auto"/>
            <w:vAlign w:val="center"/>
          </w:tcPr>
          <w:p w14:paraId="58803E99">
            <w:pPr>
              <w:jc w:val="center"/>
              <w:rPr>
                <w:b/>
              </w:rPr>
            </w:pPr>
            <w:r>
              <w:rPr>
                <w:b/>
              </w:rPr>
              <w:t>状态（正常/异常）</w:t>
            </w:r>
          </w:p>
        </w:tc>
        <w:tc>
          <w:tcPr>
            <w:tcW w:w="0" w:type="auto"/>
            <w:vAlign w:val="center"/>
          </w:tcPr>
          <w:p w14:paraId="30EA5C23">
            <w:pPr>
              <w:jc w:val="center"/>
              <w:rPr>
                <w:b/>
              </w:rPr>
            </w:pPr>
            <w:r>
              <w:rPr>
                <w:b/>
              </w:rPr>
              <w:t>处理措施</w:t>
            </w:r>
          </w:p>
        </w:tc>
        <w:tc>
          <w:tcPr>
            <w:tcW w:w="0" w:type="auto"/>
            <w:vAlign w:val="center"/>
          </w:tcPr>
          <w:p w14:paraId="70E531AE">
            <w:pPr>
              <w:jc w:val="center"/>
              <w:rPr>
                <w:b/>
              </w:rPr>
            </w:pPr>
            <w:r>
              <w:rPr>
                <w:b/>
              </w:rPr>
              <w:t>检查人</w:t>
            </w:r>
          </w:p>
        </w:tc>
      </w:tr>
      <w:tr w14:paraId="6CCB30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CA620A4">
            <w:r>
              <w:t>YYYY-MM-DD</w:t>
            </w:r>
          </w:p>
        </w:tc>
        <w:tc>
          <w:tcPr>
            <w:tcW w:w="0" w:type="auto"/>
            <w:vAlign w:val="center"/>
          </w:tcPr>
          <w:p w14:paraId="01D4288A">
            <w:r>
              <w:t>早班</w:t>
            </w:r>
          </w:p>
        </w:tc>
        <w:tc>
          <w:tcPr>
            <w:tcW w:w="0" w:type="auto"/>
            <w:vAlign w:val="center"/>
          </w:tcPr>
          <w:p w14:paraId="3D30019E">
            <w:r>
              <w:t>工作区风速</w:t>
            </w:r>
          </w:p>
        </w:tc>
        <w:tc>
          <w:tcPr>
            <w:tcW w:w="0" w:type="auto"/>
            <w:vAlign w:val="center"/>
          </w:tcPr>
          <w:p w14:paraId="5D876928">
            <w:r>
              <w:t>0.3-0.5m/s</w:t>
            </w:r>
          </w:p>
        </w:tc>
        <w:tc>
          <w:tcPr>
            <w:tcW w:w="0" w:type="auto"/>
            <w:vAlign w:val="center"/>
          </w:tcPr>
          <w:p w14:paraId="79F771A3"/>
        </w:tc>
        <w:tc>
          <w:tcPr>
            <w:tcW w:w="0" w:type="auto"/>
            <w:vAlign w:val="center"/>
          </w:tcPr>
          <w:p w14:paraId="1DBAA686"/>
        </w:tc>
        <w:tc>
          <w:tcPr>
            <w:tcW w:w="0" w:type="auto"/>
            <w:vAlign w:val="center"/>
          </w:tcPr>
          <w:p w14:paraId="4867C4A9"/>
        </w:tc>
        <w:tc>
          <w:tcPr>
            <w:tcW w:w="0" w:type="auto"/>
            <w:vAlign w:val="center"/>
          </w:tcPr>
          <w:p w14:paraId="58211CE6"/>
        </w:tc>
      </w:tr>
      <w:tr w14:paraId="08565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08E90B0"/>
        </w:tc>
        <w:tc>
          <w:tcPr>
            <w:tcW w:w="0" w:type="auto"/>
            <w:vAlign w:val="center"/>
          </w:tcPr>
          <w:p w14:paraId="3710F250"/>
        </w:tc>
        <w:tc>
          <w:tcPr>
            <w:tcW w:w="0" w:type="auto"/>
            <w:vAlign w:val="center"/>
          </w:tcPr>
          <w:p w14:paraId="5B49F1C5">
            <w:r>
              <w:t>风压表读数</w:t>
            </w:r>
          </w:p>
        </w:tc>
        <w:tc>
          <w:tcPr>
            <w:tcW w:w="0" w:type="auto"/>
            <w:vAlign w:val="center"/>
          </w:tcPr>
          <w:p w14:paraId="6F63708A">
            <w:r>
              <w:t>0.3-0.5KPa</w:t>
            </w:r>
          </w:p>
        </w:tc>
        <w:tc>
          <w:tcPr>
            <w:tcW w:w="0" w:type="auto"/>
            <w:vAlign w:val="center"/>
          </w:tcPr>
          <w:p w14:paraId="0552E252"/>
        </w:tc>
        <w:tc>
          <w:tcPr>
            <w:tcW w:w="0" w:type="auto"/>
            <w:vAlign w:val="center"/>
          </w:tcPr>
          <w:p w14:paraId="06157D1C"/>
        </w:tc>
        <w:tc>
          <w:tcPr>
            <w:tcW w:w="0" w:type="auto"/>
            <w:vAlign w:val="center"/>
          </w:tcPr>
          <w:p w14:paraId="04D84CB4"/>
        </w:tc>
        <w:tc>
          <w:tcPr>
            <w:tcW w:w="0" w:type="auto"/>
            <w:vAlign w:val="center"/>
          </w:tcPr>
          <w:p w14:paraId="567D10E3"/>
        </w:tc>
      </w:tr>
      <w:tr w14:paraId="11F1C89D">
        <w:tc>
          <w:tcPr>
            <w:tcW w:w="0" w:type="auto"/>
            <w:vAlign w:val="center"/>
          </w:tcPr>
          <w:p w14:paraId="6FFE1CF3"/>
        </w:tc>
        <w:tc>
          <w:tcPr>
            <w:tcW w:w="0" w:type="auto"/>
            <w:vAlign w:val="center"/>
          </w:tcPr>
          <w:p w14:paraId="2177A62B"/>
        </w:tc>
        <w:tc>
          <w:tcPr>
            <w:tcW w:w="0" w:type="auto"/>
            <w:vAlign w:val="center"/>
          </w:tcPr>
          <w:p w14:paraId="56D5DB2E">
            <w:r>
              <w:t>气体探测器状态</w:t>
            </w:r>
          </w:p>
        </w:tc>
        <w:tc>
          <w:tcPr>
            <w:tcW w:w="0" w:type="auto"/>
            <w:vAlign w:val="center"/>
          </w:tcPr>
          <w:p w14:paraId="4422F495">
            <w:r>
              <w:t>绿色运行灯亮</w:t>
            </w:r>
          </w:p>
        </w:tc>
        <w:tc>
          <w:tcPr>
            <w:tcW w:w="0" w:type="auto"/>
            <w:vAlign w:val="center"/>
          </w:tcPr>
          <w:p w14:paraId="4A2EC1FB"/>
        </w:tc>
        <w:tc>
          <w:tcPr>
            <w:tcW w:w="0" w:type="auto"/>
            <w:vAlign w:val="center"/>
          </w:tcPr>
          <w:p w14:paraId="1C813C3F"/>
        </w:tc>
        <w:tc>
          <w:tcPr>
            <w:tcW w:w="0" w:type="auto"/>
            <w:vAlign w:val="center"/>
          </w:tcPr>
          <w:p w14:paraId="51F89944"/>
        </w:tc>
        <w:tc>
          <w:tcPr>
            <w:tcW w:w="0" w:type="auto"/>
            <w:vAlign w:val="center"/>
          </w:tcPr>
          <w:p w14:paraId="76134BDF"/>
        </w:tc>
      </w:tr>
      <w:tr w14:paraId="19C465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D491D5E"/>
        </w:tc>
        <w:tc>
          <w:tcPr>
            <w:tcW w:w="0" w:type="auto"/>
            <w:vAlign w:val="center"/>
          </w:tcPr>
          <w:p w14:paraId="0D549913"/>
        </w:tc>
        <w:tc>
          <w:tcPr>
            <w:tcW w:w="0" w:type="auto"/>
            <w:vAlign w:val="center"/>
          </w:tcPr>
          <w:p w14:paraId="2AE802EE">
            <w:r>
              <w:t>消防设施在位情况</w:t>
            </w:r>
          </w:p>
        </w:tc>
        <w:tc>
          <w:tcPr>
            <w:tcW w:w="0" w:type="auto"/>
            <w:vAlign w:val="center"/>
          </w:tcPr>
          <w:p w14:paraId="5B1458DC">
            <w:r>
              <w:t>齐全，压力正常</w:t>
            </w:r>
          </w:p>
        </w:tc>
        <w:tc>
          <w:tcPr>
            <w:tcW w:w="0" w:type="auto"/>
            <w:vAlign w:val="center"/>
          </w:tcPr>
          <w:p w14:paraId="160BA67B"/>
        </w:tc>
        <w:tc>
          <w:tcPr>
            <w:tcW w:w="0" w:type="auto"/>
            <w:vAlign w:val="center"/>
          </w:tcPr>
          <w:p w14:paraId="6819E4AD"/>
        </w:tc>
        <w:tc>
          <w:tcPr>
            <w:tcW w:w="0" w:type="auto"/>
            <w:vAlign w:val="center"/>
          </w:tcPr>
          <w:p w14:paraId="6E9F9FC3"/>
        </w:tc>
        <w:tc>
          <w:tcPr>
            <w:tcW w:w="0" w:type="auto"/>
            <w:vAlign w:val="center"/>
          </w:tcPr>
          <w:p w14:paraId="6B8E1EC4"/>
        </w:tc>
      </w:tr>
    </w:tbl>
    <w:p w14:paraId="6B22614C">
      <w:pPr>
        <w:pStyle w:val="5"/>
      </w:pPr>
      <w:r>
        <w:t>《定期维护记录表》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7920D9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51A7C4C">
            <w:pPr>
              <w:jc w:val="center"/>
              <w:rPr>
                <w:b/>
              </w:rPr>
            </w:pPr>
            <w:r>
              <w:rPr>
                <w:b/>
              </w:rPr>
              <w:t>维护周期</w:t>
            </w:r>
          </w:p>
        </w:tc>
        <w:tc>
          <w:tcPr>
            <w:tcW w:w="0" w:type="auto"/>
            <w:vAlign w:val="center"/>
          </w:tcPr>
          <w:p w14:paraId="1B8BDEC3">
            <w:pPr>
              <w:jc w:val="center"/>
              <w:rPr>
                <w:b/>
              </w:rPr>
            </w:pPr>
            <w:r>
              <w:rPr>
                <w:b/>
              </w:rPr>
              <w:t>维护日期</w:t>
            </w:r>
          </w:p>
        </w:tc>
        <w:tc>
          <w:tcPr>
            <w:tcW w:w="0" w:type="auto"/>
            <w:vAlign w:val="center"/>
          </w:tcPr>
          <w:p w14:paraId="47B27300">
            <w:pPr>
              <w:jc w:val="center"/>
              <w:rPr>
                <w:b/>
              </w:rPr>
            </w:pPr>
            <w:r>
              <w:rPr>
                <w:b/>
              </w:rPr>
              <w:t>维护项目</w:t>
            </w:r>
          </w:p>
        </w:tc>
        <w:tc>
          <w:tcPr>
            <w:tcW w:w="0" w:type="auto"/>
            <w:vAlign w:val="center"/>
          </w:tcPr>
          <w:p w14:paraId="18633489">
            <w:pPr>
              <w:jc w:val="center"/>
              <w:rPr>
                <w:b/>
              </w:rPr>
            </w:pPr>
            <w:r>
              <w:rPr>
                <w:b/>
              </w:rPr>
              <w:t>维护内容</w:t>
            </w:r>
          </w:p>
        </w:tc>
        <w:tc>
          <w:tcPr>
            <w:tcW w:w="0" w:type="auto"/>
            <w:vAlign w:val="center"/>
          </w:tcPr>
          <w:p w14:paraId="5AD880A3">
            <w:pPr>
              <w:jc w:val="center"/>
              <w:rPr>
                <w:b/>
              </w:rPr>
            </w:pPr>
            <w:r>
              <w:rPr>
                <w:b/>
              </w:rPr>
              <w:t>数据记录</w:t>
            </w:r>
          </w:p>
        </w:tc>
        <w:tc>
          <w:tcPr>
            <w:tcW w:w="0" w:type="auto"/>
            <w:vAlign w:val="center"/>
          </w:tcPr>
          <w:p w14:paraId="79650AD6">
            <w:pPr>
              <w:jc w:val="center"/>
              <w:rPr>
                <w:b/>
              </w:rPr>
            </w:pPr>
            <w:r>
              <w:rPr>
                <w:b/>
              </w:rPr>
              <w:t>执行人</w:t>
            </w:r>
          </w:p>
        </w:tc>
        <w:tc>
          <w:tcPr>
            <w:tcW w:w="0" w:type="auto"/>
            <w:vAlign w:val="center"/>
          </w:tcPr>
          <w:p w14:paraId="651A2BBF">
            <w:pPr>
              <w:jc w:val="center"/>
              <w:rPr>
                <w:b/>
              </w:rPr>
            </w:pPr>
            <w:r>
              <w:rPr>
                <w:b/>
              </w:rPr>
              <w:t>审核人</w:t>
            </w:r>
          </w:p>
        </w:tc>
      </w:tr>
      <w:tr w14:paraId="3B383D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26B2BC2">
            <w:r>
              <w:t>每月</w:t>
            </w:r>
          </w:p>
        </w:tc>
        <w:tc>
          <w:tcPr>
            <w:tcW w:w="0" w:type="auto"/>
            <w:vAlign w:val="center"/>
          </w:tcPr>
          <w:p w14:paraId="630CE645">
            <w:r>
              <w:t>YYYY-MM-DD</w:t>
            </w:r>
          </w:p>
        </w:tc>
        <w:tc>
          <w:tcPr>
            <w:tcW w:w="0" w:type="auto"/>
            <w:vAlign w:val="center"/>
          </w:tcPr>
          <w:p w14:paraId="5055FD1D">
            <w:r>
              <w:t>地台隔尘棉更换</w:t>
            </w:r>
          </w:p>
        </w:tc>
        <w:tc>
          <w:tcPr>
            <w:tcW w:w="0" w:type="auto"/>
            <w:vAlign w:val="center"/>
          </w:tcPr>
          <w:p w14:paraId="5E60289E">
            <w:r>
              <w:t>拆除旧棉，安装新棉（60mm厚）</w:t>
            </w:r>
          </w:p>
        </w:tc>
        <w:tc>
          <w:tcPr>
            <w:tcW w:w="0" w:type="auto"/>
            <w:vAlign w:val="center"/>
          </w:tcPr>
          <w:p w14:paraId="302B704E">
            <w:r>
              <w:t>更换数量：2张</w:t>
            </w:r>
          </w:p>
        </w:tc>
        <w:tc>
          <w:tcPr>
            <w:tcW w:w="0" w:type="auto"/>
            <w:vAlign w:val="center"/>
          </w:tcPr>
          <w:p w14:paraId="2B61886E"/>
        </w:tc>
        <w:tc>
          <w:tcPr>
            <w:tcW w:w="0" w:type="auto"/>
            <w:vAlign w:val="center"/>
          </w:tcPr>
          <w:p w14:paraId="6DA1187B"/>
        </w:tc>
      </w:tr>
      <w:tr w14:paraId="272A0D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0839071"/>
        </w:tc>
        <w:tc>
          <w:tcPr>
            <w:tcW w:w="0" w:type="auto"/>
            <w:vAlign w:val="center"/>
          </w:tcPr>
          <w:p w14:paraId="2165D50F"/>
        </w:tc>
        <w:tc>
          <w:tcPr>
            <w:tcW w:w="0" w:type="auto"/>
            <w:vAlign w:val="center"/>
          </w:tcPr>
          <w:p w14:paraId="210873EA">
            <w:r>
              <w:t>皮带张紧度调整</w:t>
            </w:r>
          </w:p>
        </w:tc>
        <w:tc>
          <w:tcPr>
            <w:tcW w:w="0" w:type="auto"/>
            <w:vAlign w:val="center"/>
          </w:tcPr>
          <w:p w14:paraId="4A0DDF70">
            <w:r>
              <w:t>调整电机滑轨，下垂量30-50mm</w:t>
            </w:r>
          </w:p>
        </w:tc>
        <w:tc>
          <w:tcPr>
            <w:tcW w:w="0" w:type="auto"/>
            <w:vAlign w:val="center"/>
          </w:tcPr>
          <w:p w14:paraId="0B087E9D">
            <w:r>
              <w:t>实测下垂量：40mm</w:t>
            </w:r>
          </w:p>
        </w:tc>
        <w:tc>
          <w:tcPr>
            <w:tcW w:w="0" w:type="auto"/>
            <w:vAlign w:val="center"/>
          </w:tcPr>
          <w:p w14:paraId="5F5557D9"/>
        </w:tc>
        <w:tc>
          <w:tcPr>
            <w:tcW w:w="0" w:type="auto"/>
            <w:vAlign w:val="center"/>
          </w:tcPr>
          <w:p w14:paraId="089DB6DC"/>
        </w:tc>
      </w:tr>
      <w:tr w14:paraId="4C4953FE">
        <w:tc>
          <w:tcPr>
            <w:tcW w:w="0" w:type="auto"/>
            <w:vAlign w:val="center"/>
          </w:tcPr>
          <w:p w14:paraId="0D731470"/>
        </w:tc>
        <w:tc>
          <w:tcPr>
            <w:tcW w:w="0" w:type="auto"/>
            <w:vAlign w:val="center"/>
          </w:tcPr>
          <w:p w14:paraId="384B242E"/>
        </w:tc>
        <w:tc>
          <w:tcPr>
            <w:tcW w:w="0" w:type="auto"/>
            <w:vAlign w:val="center"/>
          </w:tcPr>
          <w:p w14:paraId="16293A81">
            <w:r>
              <w:t>接地电阻测量</w:t>
            </w:r>
          </w:p>
        </w:tc>
        <w:tc>
          <w:tcPr>
            <w:tcW w:w="0" w:type="auto"/>
            <w:vAlign w:val="center"/>
          </w:tcPr>
          <w:p w14:paraId="7787F441">
            <w:r>
              <w:t>设备接地/防静电接地</w:t>
            </w:r>
          </w:p>
        </w:tc>
        <w:tc>
          <w:tcPr>
            <w:tcW w:w="0" w:type="auto"/>
            <w:vAlign w:val="center"/>
          </w:tcPr>
          <w:p w14:paraId="631C6B24">
            <w:r>
              <w:t>4Ω/80Ω</w:t>
            </w:r>
          </w:p>
        </w:tc>
        <w:tc>
          <w:tcPr>
            <w:tcW w:w="0" w:type="auto"/>
            <w:vAlign w:val="center"/>
          </w:tcPr>
          <w:p w14:paraId="214F87CC"/>
        </w:tc>
        <w:tc>
          <w:tcPr>
            <w:tcW w:w="0" w:type="auto"/>
            <w:vAlign w:val="center"/>
          </w:tcPr>
          <w:p w14:paraId="7F64CC59"/>
        </w:tc>
      </w:tr>
    </w:tbl>
    <w:p w14:paraId="3795E0C2">
      <w:pPr>
        <w:pStyle w:val="5"/>
      </w:pPr>
      <w:r>
        <w:t>《故障处理记录表》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09BA6B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4BEE587">
            <w:pPr>
              <w:jc w:val="center"/>
              <w:rPr>
                <w:b/>
              </w:rPr>
            </w:pPr>
            <w:r>
              <w:rPr>
                <w:b/>
              </w:rPr>
              <w:t>故障日期</w:t>
            </w:r>
          </w:p>
        </w:tc>
        <w:tc>
          <w:tcPr>
            <w:tcW w:w="0" w:type="auto"/>
            <w:vAlign w:val="center"/>
          </w:tcPr>
          <w:p w14:paraId="50880DC0">
            <w:pPr>
              <w:jc w:val="center"/>
              <w:rPr>
                <w:b/>
              </w:rPr>
            </w:pPr>
            <w:r>
              <w:rPr>
                <w:b/>
              </w:rPr>
              <w:t>故障现象</w:t>
            </w:r>
          </w:p>
        </w:tc>
        <w:tc>
          <w:tcPr>
            <w:tcW w:w="0" w:type="auto"/>
            <w:vAlign w:val="center"/>
          </w:tcPr>
          <w:p w14:paraId="1802A794">
            <w:pPr>
              <w:jc w:val="center"/>
              <w:rPr>
                <w:b/>
              </w:rPr>
            </w:pPr>
            <w:r>
              <w:rPr>
                <w:b/>
              </w:rPr>
              <w:t>故障部位</w:t>
            </w:r>
          </w:p>
        </w:tc>
        <w:tc>
          <w:tcPr>
            <w:tcW w:w="0" w:type="auto"/>
            <w:vAlign w:val="center"/>
          </w:tcPr>
          <w:p w14:paraId="174A6C9F">
            <w:pPr>
              <w:jc w:val="center"/>
              <w:rPr>
                <w:b/>
              </w:rPr>
            </w:pPr>
            <w:r>
              <w:rPr>
                <w:b/>
              </w:rPr>
              <w:t>诊断过程</w:t>
            </w:r>
          </w:p>
        </w:tc>
        <w:tc>
          <w:tcPr>
            <w:tcW w:w="0" w:type="auto"/>
            <w:vAlign w:val="center"/>
          </w:tcPr>
          <w:p w14:paraId="2FEBDBE0">
            <w:pPr>
              <w:jc w:val="center"/>
              <w:rPr>
                <w:b/>
              </w:rPr>
            </w:pPr>
            <w:r>
              <w:rPr>
                <w:b/>
              </w:rPr>
              <w:t>处理措施</w:t>
            </w:r>
          </w:p>
        </w:tc>
        <w:tc>
          <w:tcPr>
            <w:tcW w:w="0" w:type="auto"/>
            <w:vAlign w:val="center"/>
          </w:tcPr>
          <w:p w14:paraId="2E6AC04B">
            <w:pPr>
              <w:jc w:val="center"/>
              <w:rPr>
                <w:b/>
              </w:rPr>
            </w:pPr>
            <w:r>
              <w:rPr>
                <w:b/>
              </w:rPr>
              <w:t>处理结果</w:t>
            </w:r>
          </w:p>
        </w:tc>
        <w:tc>
          <w:tcPr>
            <w:tcW w:w="0" w:type="auto"/>
            <w:vAlign w:val="center"/>
          </w:tcPr>
          <w:p w14:paraId="2471926D">
            <w:pPr>
              <w:jc w:val="center"/>
              <w:rPr>
                <w:b/>
              </w:rPr>
            </w:pPr>
            <w:r>
              <w:rPr>
                <w:b/>
              </w:rPr>
              <w:t>记录人</w:t>
            </w:r>
          </w:p>
        </w:tc>
      </w:tr>
      <w:tr w14:paraId="2423A4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D5C7BFA">
            <w:r>
              <w:t>YYYY-MM-DD</w:t>
            </w:r>
          </w:p>
        </w:tc>
        <w:tc>
          <w:tcPr>
            <w:tcW w:w="0" w:type="auto"/>
            <w:vAlign w:val="center"/>
          </w:tcPr>
          <w:p w14:paraId="0F243139">
            <w:r>
              <w:t>风量偏小，风速0.2m/s</w:t>
            </w:r>
          </w:p>
        </w:tc>
        <w:tc>
          <w:tcPr>
            <w:tcW w:w="0" w:type="auto"/>
            <w:vAlign w:val="center"/>
          </w:tcPr>
          <w:p w14:paraId="21B34891">
            <w:r>
              <w:t>过滤系统</w:t>
            </w:r>
          </w:p>
        </w:tc>
        <w:tc>
          <w:tcPr>
            <w:tcW w:w="0" w:type="auto"/>
            <w:vAlign w:val="center"/>
          </w:tcPr>
          <w:p w14:paraId="7F0D266A">
            <w:r>
              <w:t>测量过滤棉压差280Pa，判断堵塞</w:t>
            </w:r>
          </w:p>
        </w:tc>
        <w:tc>
          <w:tcPr>
            <w:tcW w:w="0" w:type="auto"/>
            <w:vAlign w:val="center"/>
          </w:tcPr>
          <w:p w14:paraId="6CC71A2F">
            <w:r>
              <w:t>更换60mm厚过滤棉</w:t>
            </w:r>
          </w:p>
        </w:tc>
        <w:tc>
          <w:tcPr>
            <w:tcW w:w="0" w:type="auto"/>
            <w:vAlign w:val="center"/>
          </w:tcPr>
          <w:p w14:paraId="33BB07CD">
            <w:r>
              <w:t>恢复正常</w:t>
            </w:r>
          </w:p>
        </w:tc>
        <w:tc>
          <w:tcPr>
            <w:tcW w:w="0" w:type="auto"/>
            <w:vAlign w:val="center"/>
          </w:tcPr>
          <w:p w14:paraId="6E50A351"/>
        </w:tc>
      </w:tr>
      <w:tr w14:paraId="7121A0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BB88CB7"/>
        </w:tc>
        <w:tc>
          <w:tcPr>
            <w:tcW w:w="0" w:type="auto"/>
            <w:vAlign w:val="center"/>
          </w:tcPr>
          <w:p w14:paraId="77E2DB7B">
            <w:r>
              <w:t>燃烧器点不着火</w:t>
            </w:r>
          </w:p>
        </w:tc>
        <w:tc>
          <w:tcPr>
            <w:tcW w:w="0" w:type="auto"/>
            <w:vAlign w:val="center"/>
          </w:tcPr>
          <w:p w14:paraId="4437D8DF">
            <w:r>
              <w:t>燃烧器</w:t>
            </w:r>
          </w:p>
        </w:tc>
        <w:tc>
          <w:tcPr>
            <w:tcW w:w="0" w:type="auto"/>
            <w:vAlign w:val="center"/>
          </w:tcPr>
          <w:p w14:paraId="65D1377C">
            <w:r>
              <w:t>多次点火失败，热交换器有柴油残留</w:t>
            </w:r>
          </w:p>
        </w:tc>
        <w:tc>
          <w:tcPr>
            <w:tcW w:w="0" w:type="auto"/>
            <w:vAlign w:val="center"/>
          </w:tcPr>
          <w:p w14:paraId="2602B6E2">
            <w:r>
              <w:t>清理热交换器，重新点火</w:t>
            </w:r>
          </w:p>
        </w:tc>
        <w:tc>
          <w:tcPr>
            <w:tcW w:w="0" w:type="auto"/>
            <w:vAlign w:val="center"/>
          </w:tcPr>
          <w:p w14:paraId="2D4B3663">
            <w:r>
              <w:t>恢复正常</w:t>
            </w:r>
          </w:p>
        </w:tc>
        <w:tc>
          <w:tcPr>
            <w:tcW w:w="0" w:type="auto"/>
            <w:vAlign w:val="center"/>
          </w:tcPr>
          <w:p w14:paraId="7B9477B1"/>
        </w:tc>
      </w:tr>
    </w:tbl>
    <w:p w14:paraId="3F880B65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2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3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4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5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6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7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0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11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num w:numId="1">
    <w:abstractNumId w:val="9"/>
  </w:num>
  <w:num w:numId="2">
    <w:abstractNumId w:val="11"/>
  </w:num>
  <w:num w:numId="3">
    <w:abstractNumId w:val="1"/>
  </w:num>
  <w:num w:numId="4">
    <w:abstractNumId w:val="7"/>
  </w:num>
  <w:num w:numId="5">
    <w:abstractNumId w:val="4"/>
  </w:num>
  <w:num w:numId="6">
    <w:abstractNumId w:val="10"/>
  </w:num>
  <w:num w:numId="7">
    <w:abstractNumId w:val="3"/>
  </w:num>
  <w:num w:numId="8">
    <w:abstractNumId w:val="8"/>
  </w:num>
  <w:num w:numId="9">
    <w:abstractNumId w:val="5"/>
  </w:num>
  <w:num w:numId="10">
    <w:abstractNumId w:val="6"/>
  </w:num>
  <w:num w:numId="11">
    <w:abstractNumId w:val="2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D7F081B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7FBC615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B77B008"/>
    <w:rsid w:val="7FF6C12C"/>
    <w:rsid w:val="BCB98261"/>
    <w:rsid w:val="F3EB132D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450</Words>
  <Characters>502</Characters>
  <Lines>12</Lines>
  <Paragraphs>8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2025-10-06T21:36:05Z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3C590DDC170DC5C0C5C5E36847BF590A_43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