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FC2BA">
      <w:pPr>
        <w:pStyle w:val="2"/>
      </w:pPr>
    </w:p>
    <w:p w14:paraId="2D9039EE">
      <w:pPr>
        <w:pStyle w:val="2"/>
      </w:pPr>
      <w:r>
        <w:t>干变浇注车间废气处理系统烤房技术手册</w:t>
      </w:r>
    </w:p>
    <w:p w14:paraId="24A3B97A">
      <w:pPr>
        <w:pStyle w:val="3"/>
      </w:pPr>
      <w:r>
        <w:t>一、系统概述</w:t>
      </w:r>
    </w:p>
    <w:p w14:paraId="558C3C04">
      <w:pPr>
        <w:pStyle w:val="4"/>
      </w:pPr>
      <w:r>
        <w:t>1.1 烤房的功能与应用背景</w:t>
      </w:r>
    </w:p>
    <w:p w14:paraId="1FD51781">
      <w:r>
        <w:t>干变浇注车间废气处理系统烤房是干式变压器环氧树脂浇注工艺中的核心配套设备，主要承担两大关键功能：一是为环氧树脂浇注件提供精确的温度环境以实现固化成型，二是对固化过程中释放的挥发性有机物（VOCs）进行高效收集与处理，确保达标排放。干式变压器浇注工艺主要分为真空浇注和自动压力凝胶（APG）两种，其中真空浇注应用最为广泛，其流程包括模具预处理、原料混合、真空脱泡、浇注成型及梯度固化。模具需经100℃/2-3小时预烘及三次脱模剂涂刷（每次涂刷后150-180℃烘焙2-3小时），原料混合时环氧树脂、固化剂与硅微粉按100:300:75比例在0-150℃、真空度小于50Pa条件下搅拌脱泡，浇注后进入烤房进行分阶段固化（如F级绝缘155℃、H级180℃），普通固化需数小时至十几小时，快速固化则需十几分钟。APG工艺则通过外部压力将物料注入高温模具，固化时间可缩短至几十分钟，生产效率显著提升。</w:t>
      </w:r>
    </w:p>
    <w:p w14:paraId="23AB4446">
      <w:r>
        <w:t>在上述工艺过程中，VOCs的产生集中在原料预处理、混料及固化阶段。原料预处理时，脱模剂中的二甲苯等溶剂挥发；混料阶段因真空脱泡和温度升高，环氧氯丙烷（ECH）等未反应单体及低分子量助剂释放；固化阶段交联反应释放有机酸蒸汽等小分子副产物。VOCs主要成分包括ECH（刺激性气味，可疑致癌物）、苯系物（甲苯、二甲苯）、脂肪族烃类及少量醛酮类化合物，未收集处理状态下车间环境浓度通常为80-300mg/m³。随着环保法规日趋严格及行业绿色转型需求，烤房废气处理系统已成为干变生产的必备设施，其性能直接影响产品质量与环保合规性。当前行业发展呈现两大趋势：一是采用新型可降解环氧树脂（如湖北工业大学研发体系）降低VOCs排放量30%以上，二是通过智能化废气处理系统实现低能耗、高效率运行。</w:t>
      </w:r>
    </w:p>
    <w:p w14:paraId="2883109C">
      <w:pPr>
        <w:pStyle w:val="4"/>
      </w:pPr>
      <w:r>
        <w:t>1.2 主要技术参数与执行标准</w:t>
      </w:r>
    </w:p>
    <w:p w14:paraId="1C642A45">
      <w:r>
        <w:t>干变浇注车间废气处理系统烤房的技术参数需综合考虑处理规模、温度控制精度及环保要求，核心参数如下表所示：</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1BDF873B">
        <w:tblPrEx>
          <w:tblCellMar>
            <w:top w:w="0" w:type="dxa"/>
            <w:left w:w="0" w:type="dxa"/>
            <w:bottom w:w="0" w:type="dxa"/>
            <w:right w:w="0" w:type="dxa"/>
          </w:tblCellMar>
        </w:tblPrEx>
        <w:tc>
          <w:tcPr>
            <w:tcW w:w="0" w:type="auto"/>
            <w:vAlign w:val="center"/>
          </w:tcPr>
          <w:p w14:paraId="5C15077A">
            <w:pPr>
              <w:jc w:val="center"/>
              <w:rPr>
                <w:b/>
              </w:rPr>
            </w:pPr>
            <w:r>
              <w:rPr>
                <w:b/>
              </w:rPr>
              <w:t>类别</w:t>
            </w:r>
          </w:p>
        </w:tc>
        <w:tc>
          <w:tcPr>
            <w:tcW w:w="0" w:type="auto"/>
            <w:vAlign w:val="center"/>
          </w:tcPr>
          <w:p w14:paraId="13599B89">
            <w:pPr>
              <w:jc w:val="center"/>
              <w:rPr>
                <w:b/>
              </w:rPr>
            </w:pPr>
            <w:r>
              <w:rPr>
                <w:b/>
              </w:rPr>
              <w:t>参数名称</w:t>
            </w:r>
          </w:p>
        </w:tc>
        <w:tc>
          <w:tcPr>
            <w:tcW w:w="0" w:type="auto"/>
            <w:vAlign w:val="center"/>
          </w:tcPr>
          <w:p w14:paraId="71A4166E">
            <w:pPr>
              <w:jc w:val="center"/>
              <w:rPr>
                <w:b/>
              </w:rPr>
            </w:pPr>
            <w:r>
              <w:rPr>
                <w:b/>
              </w:rPr>
              <w:t>小型烤房（100-200m³）</w:t>
            </w:r>
          </w:p>
        </w:tc>
        <w:tc>
          <w:tcPr>
            <w:tcW w:w="0" w:type="auto"/>
            <w:vAlign w:val="center"/>
          </w:tcPr>
          <w:p w14:paraId="43556C00">
            <w:pPr>
              <w:jc w:val="center"/>
              <w:rPr>
                <w:b/>
              </w:rPr>
            </w:pPr>
            <w:r>
              <w:rPr>
                <w:b/>
              </w:rPr>
              <w:t>中型烤房（200-500m³）</w:t>
            </w:r>
          </w:p>
        </w:tc>
        <w:tc>
          <w:tcPr>
            <w:tcW w:w="0" w:type="auto"/>
            <w:vAlign w:val="center"/>
          </w:tcPr>
          <w:p w14:paraId="1284DEEB">
            <w:pPr>
              <w:jc w:val="center"/>
              <w:rPr>
                <w:b/>
              </w:rPr>
            </w:pPr>
            <w:r>
              <w:rPr>
                <w:b/>
              </w:rPr>
              <w:t>单位</w:t>
            </w:r>
          </w:p>
        </w:tc>
      </w:tr>
      <w:tr w14:paraId="271671E1">
        <w:tblPrEx>
          <w:tblCellMar>
            <w:top w:w="0" w:type="dxa"/>
            <w:left w:w="0" w:type="dxa"/>
            <w:bottom w:w="0" w:type="dxa"/>
            <w:right w:w="0" w:type="dxa"/>
          </w:tblCellMar>
        </w:tblPrEx>
        <w:tc>
          <w:tcPr>
            <w:tcW w:w="0" w:type="auto"/>
            <w:vAlign w:val="center"/>
          </w:tcPr>
          <w:p w14:paraId="01DC52D7">
            <w:r>
              <w:t>基本参数</w:t>
            </w:r>
          </w:p>
        </w:tc>
        <w:tc>
          <w:tcPr>
            <w:tcW w:w="0" w:type="auto"/>
            <w:vAlign w:val="center"/>
          </w:tcPr>
          <w:p w14:paraId="1D694AF9">
            <w:r>
              <w:t>外形尺寸（长×宽×高）</w:t>
            </w:r>
          </w:p>
        </w:tc>
        <w:tc>
          <w:tcPr>
            <w:tcW w:w="0" w:type="auto"/>
            <w:vAlign w:val="center"/>
          </w:tcPr>
          <w:p w14:paraId="44F86B03">
            <w:r>
              <w:t>8-12×4-5×3-3.5</w:t>
            </w:r>
          </w:p>
        </w:tc>
        <w:tc>
          <w:tcPr>
            <w:tcW w:w="0" w:type="auto"/>
            <w:vAlign w:val="center"/>
          </w:tcPr>
          <w:p w14:paraId="5D5518BF">
            <w:r>
              <w:t>12-18×5-6×3.5-4</w:t>
            </w:r>
          </w:p>
        </w:tc>
        <w:tc>
          <w:tcPr>
            <w:tcW w:w="0" w:type="auto"/>
            <w:vAlign w:val="center"/>
          </w:tcPr>
          <w:p w14:paraId="6C249333">
            <w:r>
              <w:t>m</w:t>
            </w:r>
          </w:p>
        </w:tc>
      </w:tr>
      <w:tr w14:paraId="6245E230">
        <w:tblPrEx>
          <w:tblCellMar>
            <w:top w:w="0" w:type="dxa"/>
            <w:left w:w="0" w:type="dxa"/>
            <w:bottom w:w="0" w:type="dxa"/>
            <w:right w:w="0" w:type="dxa"/>
          </w:tblCellMar>
        </w:tblPrEx>
        <w:tc>
          <w:tcPr>
            <w:tcW w:w="0" w:type="auto"/>
            <w:vAlign w:val="center"/>
          </w:tcPr>
          <w:p w14:paraId="18948657"/>
        </w:tc>
        <w:tc>
          <w:tcPr>
            <w:tcW w:w="0" w:type="auto"/>
            <w:vAlign w:val="center"/>
          </w:tcPr>
          <w:p w14:paraId="014EF134">
            <w:r>
              <w:t>有效容积</w:t>
            </w:r>
          </w:p>
        </w:tc>
        <w:tc>
          <w:tcPr>
            <w:tcW w:w="0" w:type="auto"/>
            <w:vAlign w:val="center"/>
          </w:tcPr>
          <w:p w14:paraId="4999A881">
            <w:r>
              <w:t>100-200</w:t>
            </w:r>
          </w:p>
        </w:tc>
        <w:tc>
          <w:tcPr>
            <w:tcW w:w="0" w:type="auto"/>
            <w:vAlign w:val="center"/>
          </w:tcPr>
          <w:p w14:paraId="7B05A3D0">
            <w:r>
              <w:t>200-500</w:t>
            </w:r>
          </w:p>
        </w:tc>
        <w:tc>
          <w:tcPr>
            <w:tcW w:w="0" w:type="auto"/>
            <w:vAlign w:val="center"/>
          </w:tcPr>
          <w:p w14:paraId="477448ED">
            <w:r>
              <w:t>m³</w:t>
            </w:r>
          </w:p>
        </w:tc>
      </w:tr>
      <w:tr w14:paraId="1D0A21D7">
        <w:tc>
          <w:tcPr>
            <w:tcW w:w="0" w:type="auto"/>
            <w:vAlign w:val="center"/>
          </w:tcPr>
          <w:p w14:paraId="7F9D1B12"/>
        </w:tc>
        <w:tc>
          <w:tcPr>
            <w:tcW w:w="0" w:type="auto"/>
            <w:vAlign w:val="center"/>
          </w:tcPr>
          <w:p w14:paraId="750DC4F9">
            <w:r>
              <w:t>处理风量</w:t>
            </w:r>
          </w:p>
        </w:tc>
        <w:tc>
          <w:tcPr>
            <w:tcW w:w="0" w:type="auto"/>
            <w:vAlign w:val="center"/>
          </w:tcPr>
          <w:p w14:paraId="048C972C">
            <w:r>
              <w:t>5000-10000</w:t>
            </w:r>
          </w:p>
        </w:tc>
        <w:tc>
          <w:tcPr>
            <w:tcW w:w="0" w:type="auto"/>
            <w:vAlign w:val="center"/>
          </w:tcPr>
          <w:p w14:paraId="72AF4C4B">
            <w:r>
              <w:t>15000-30000</w:t>
            </w:r>
          </w:p>
        </w:tc>
        <w:tc>
          <w:tcPr>
            <w:tcW w:w="0" w:type="auto"/>
            <w:vAlign w:val="center"/>
          </w:tcPr>
          <w:p w14:paraId="599ADD0A">
            <w:r>
              <w:t>m³/h</w:t>
            </w:r>
          </w:p>
        </w:tc>
      </w:tr>
      <w:tr w14:paraId="210DC4A9">
        <w:tblPrEx>
          <w:tblCellMar>
            <w:top w:w="0" w:type="dxa"/>
            <w:left w:w="0" w:type="dxa"/>
            <w:bottom w:w="0" w:type="dxa"/>
            <w:right w:w="0" w:type="dxa"/>
          </w:tblCellMar>
        </w:tblPrEx>
        <w:tc>
          <w:tcPr>
            <w:tcW w:w="0" w:type="auto"/>
            <w:vAlign w:val="center"/>
          </w:tcPr>
          <w:p w14:paraId="74D8C6D7"/>
        </w:tc>
        <w:tc>
          <w:tcPr>
            <w:tcW w:w="0" w:type="auto"/>
            <w:vAlign w:val="center"/>
          </w:tcPr>
          <w:p w14:paraId="3FDD3047">
            <w:r>
              <w:t>换气次数</w:t>
            </w:r>
          </w:p>
        </w:tc>
        <w:tc>
          <w:tcPr>
            <w:tcW w:w="0" w:type="auto"/>
            <w:vAlign w:val="center"/>
          </w:tcPr>
          <w:p w14:paraId="51949776">
            <w:r>
              <w:t>8-12</w:t>
            </w:r>
          </w:p>
        </w:tc>
        <w:tc>
          <w:tcPr>
            <w:tcW w:w="0" w:type="auto"/>
            <w:vAlign w:val="center"/>
          </w:tcPr>
          <w:p w14:paraId="564379B5">
            <w:r>
              <w:t>8-12</w:t>
            </w:r>
          </w:p>
        </w:tc>
        <w:tc>
          <w:tcPr>
            <w:tcW w:w="0" w:type="auto"/>
            <w:vAlign w:val="center"/>
          </w:tcPr>
          <w:p w14:paraId="4F49687D">
            <w:r>
              <w:t>次/h</w:t>
            </w:r>
          </w:p>
        </w:tc>
      </w:tr>
      <w:tr w14:paraId="714563D7">
        <w:tblPrEx>
          <w:tblCellMar>
            <w:top w:w="0" w:type="dxa"/>
            <w:left w:w="0" w:type="dxa"/>
            <w:bottom w:w="0" w:type="dxa"/>
            <w:right w:w="0" w:type="dxa"/>
          </w:tblCellMar>
        </w:tblPrEx>
        <w:tc>
          <w:tcPr>
            <w:tcW w:w="0" w:type="auto"/>
            <w:vAlign w:val="center"/>
          </w:tcPr>
          <w:p w14:paraId="7A7A5E49">
            <w:r>
              <w:t>温度控制</w:t>
            </w:r>
          </w:p>
        </w:tc>
        <w:tc>
          <w:tcPr>
            <w:tcW w:w="0" w:type="auto"/>
            <w:vAlign w:val="center"/>
          </w:tcPr>
          <w:p w14:paraId="352AF86A">
            <w:r>
              <w:t>固化温度范围</w:t>
            </w:r>
          </w:p>
        </w:tc>
        <w:tc>
          <w:tcPr>
            <w:tcW w:w="0" w:type="auto"/>
            <w:vAlign w:val="center"/>
          </w:tcPr>
          <w:p w14:paraId="1F4048C4">
            <w:r>
              <w:t>60-200</w:t>
            </w:r>
          </w:p>
        </w:tc>
        <w:tc>
          <w:tcPr>
            <w:tcW w:w="0" w:type="auto"/>
            <w:vAlign w:val="center"/>
          </w:tcPr>
          <w:p w14:paraId="570A8055">
            <w:r>
              <w:t>60-200</w:t>
            </w:r>
          </w:p>
        </w:tc>
        <w:tc>
          <w:tcPr>
            <w:tcW w:w="0" w:type="auto"/>
            <w:vAlign w:val="center"/>
          </w:tcPr>
          <w:p w14:paraId="4F187950">
            <w:r>
              <w:t>℃</w:t>
            </w:r>
          </w:p>
        </w:tc>
      </w:tr>
      <w:tr w14:paraId="1BA18CE8">
        <w:tblPrEx>
          <w:tblCellMar>
            <w:top w:w="0" w:type="dxa"/>
            <w:left w:w="0" w:type="dxa"/>
            <w:bottom w:w="0" w:type="dxa"/>
            <w:right w:w="0" w:type="dxa"/>
          </w:tblCellMar>
        </w:tblPrEx>
        <w:tc>
          <w:tcPr>
            <w:tcW w:w="0" w:type="auto"/>
            <w:vAlign w:val="center"/>
          </w:tcPr>
          <w:p w14:paraId="3DA50327"/>
        </w:tc>
        <w:tc>
          <w:tcPr>
            <w:tcW w:w="0" w:type="auto"/>
            <w:vAlign w:val="center"/>
          </w:tcPr>
          <w:p w14:paraId="168D1769">
            <w:r>
              <w:t>温度均匀性</w:t>
            </w:r>
          </w:p>
        </w:tc>
        <w:tc>
          <w:tcPr>
            <w:tcW w:w="0" w:type="auto"/>
            <w:vAlign w:val="center"/>
          </w:tcPr>
          <w:p w14:paraId="5950E750">
            <w:r>
              <w:t>±5</w:t>
            </w:r>
          </w:p>
        </w:tc>
        <w:tc>
          <w:tcPr>
            <w:tcW w:w="0" w:type="auto"/>
            <w:vAlign w:val="center"/>
          </w:tcPr>
          <w:p w14:paraId="6222FEAC">
            <w:r>
              <w:t>±5</w:t>
            </w:r>
          </w:p>
        </w:tc>
        <w:tc>
          <w:tcPr>
            <w:tcW w:w="0" w:type="auto"/>
            <w:vAlign w:val="center"/>
          </w:tcPr>
          <w:p w14:paraId="6BE6F370">
            <w:r>
              <w:t>℃</w:t>
            </w:r>
          </w:p>
        </w:tc>
      </w:tr>
      <w:tr w14:paraId="52CFA058">
        <w:tc>
          <w:tcPr>
            <w:tcW w:w="0" w:type="auto"/>
            <w:vAlign w:val="center"/>
          </w:tcPr>
          <w:p w14:paraId="7FD02B80"/>
        </w:tc>
        <w:tc>
          <w:tcPr>
            <w:tcW w:w="0" w:type="auto"/>
            <w:vAlign w:val="center"/>
          </w:tcPr>
          <w:p w14:paraId="7748D4E2">
            <w:r>
              <w:t>升温速率</w:t>
            </w:r>
          </w:p>
        </w:tc>
        <w:tc>
          <w:tcPr>
            <w:tcW w:w="0" w:type="auto"/>
            <w:vAlign w:val="center"/>
          </w:tcPr>
          <w:p w14:paraId="6AF243B6">
            <w:r>
              <w:t>5-10</w:t>
            </w:r>
          </w:p>
        </w:tc>
        <w:tc>
          <w:tcPr>
            <w:tcW w:w="0" w:type="auto"/>
            <w:vAlign w:val="center"/>
          </w:tcPr>
          <w:p w14:paraId="07228EDB">
            <w:r>
              <w:t>5-10</w:t>
            </w:r>
          </w:p>
        </w:tc>
        <w:tc>
          <w:tcPr>
            <w:tcW w:w="0" w:type="auto"/>
            <w:vAlign w:val="center"/>
          </w:tcPr>
          <w:p w14:paraId="22629E37">
            <w:r>
              <w:t>℃/min</w:t>
            </w:r>
          </w:p>
        </w:tc>
      </w:tr>
      <w:tr w14:paraId="4765D796">
        <w:tblPrEx>
          <w:tblCellMar>
            <w:top w:w="0" w:type="dxa"/>
            <w:left w:w="0" w:type="dxa"/>
            <w:bottom w:w="0" w:type="dxa"/>
            <w:right w:w="0" w:type="dxa"/>
          </w:tblCellMar>
        </w:tblPrEx>
        <w:tc>
          <w:tcPr>
            <w:tcW w:w="0" w:type="auto"/>
            <w:vAlign w:val="center"/>
          </w:tcPr>
          <w:p w14:paraId="69C36221"/>
        </w:tc>
        <w:tc>
          <w:tcPr>
            <w:tcW w:w="0" w:type="auto"/>
            <w:vAlign w:val="center"/>
          </w:tcPr>
          <w:p w14:paraId="67BD3AD5">
            <w:r>
              <w:t>控温精度</w:t>
            </w:r>
          </w:p>
        </w:tc>
        <w:tc>
          <w:tcPr>
            <w:tcW w:w="0" w:type="auto"/>
            <w:vAlign w:val="center"/>
          </w:tcPr>
          <w:p w14:paraId="56379E60">
            <w:r>
              <w:t>±1</w:t>
            </w:r>
          </w:p>
        </w:tc>
        <w:tc>
          <w:tcPr>
            <w:tcW w:w="0" w:type="auto"/>
            <w:vAlign w:val="center"/>
          </w:tcPr>
          <w:p w14:paraId="1880BFDA">
            <w:r>
              <w:t>±1</w:t>
            </w:r>
          </w:p>
        </w:tc>
        <w:tc>
          <w:tcPr>
            <w:tcW w:w="0" w:type="auto"/>
            <w:vAlign w:val="center"/>
          </w:tcPr>
          <w:p w14:paraId="7299AE26">
            <w:r>
              <w:t>%FS</w:t>
            </w:r>
          </w:p>
        </w:tc>
      </w:tr>
      <w:tr w14:paraId="705D22AB">
        <w:tblPrEx>
          <w:tblCellMar>
            <w:top w:w="0" w:type="dxa"/>
            <w:left w:w="0" w:type="dxa"/>
            <w:bottom w:w="0" w:type="dxa"/>
            <w:right w:w="0" w:type="dxa"/>
          </w:tblCellMar>
        </w:tblPrEx>
        <w:tc>
          <w:tcPr>
            <w:tcW w:w="0" w:type="auto"/>
            <w:vAlign w:val="center"/>
          </w:tcPr>
          <w:p w14:paraId="753BE31A">
            <w:r>
              <w:t>废气处理</w:t>
            </w:r>
          </w:p>
        </w:tc>
        <w:tc>
          <w:tcPr>
            <w:tcW w:w="0" w:type="auto"/>
            <w:vAlign w:val="center"/>
          </w:tcPr>
          <w:p w14:paraId="226758DA">
            <w:r>
              <w:t>预处理后温度</w:t>
            </w:r>
          </w:p>
        </w:tc>
        <w:tc>
          <w:tcPr>
            <w:tcW w:w="0" w:type="auto"/>
            <w:vAlign w:val="center"/>
          </w:tcPr>
          <w:p w14:paraId="4841B76F">
            <w:r>
              <w:t>≤60</w:t>
            </w:r>
          </w:p>
        </w:tc>
        <w:tc>
          <w:tcPr>
            <w:tcW w:w="0" w:type="auto"/>
            <w:vAlign w:val="center"/>
          </w:tcPr>
          <w:p w14:paraId="5F8F75C8">
            <w:r>
              <w:t>≤60</w:t>
            </w:r>
          </w:p>
        </w:tc>
        <w:tc>
          <w:tcPr>
            <w:tcW w:w="0" w:type="auto"/>
            <w:vAlign w:val="center"/>
          </w:tcPr>
          <w:p w14:paraId="16952156">
            <w:r>
              <w:t>℃</w:t>
            </w:r>
          </w:p>
        </w:tc>
      </w:tr>
      <w:tr w14:paraId="7050CF58">
        <w:tblPrEx>
          <w:tblCellMar>
            <w:top w:w="0" w:type="dxa"/>
            <w:left w:w="0" w:type="dxa"/>
            <w:bottom w:w="0" w:type="dxa"/>
            <w:right w:w="0" w:type="dxa"/>
          </w:tblCellMar>
        </w:tblPrEx>
        <w:tc>
          <w:tcPr>
            <w:tcW w:w="0" w:type="auto"/>
            <w:vAlign w:val="center"/>
          </w:tcPr>
          <w:p w14:paraId="058832E5"/>
        </w:tc>
        <w:tc>
          <w:tcPr>
            <w:tcW w:w="0" w:type="auto"/>
            <w:vAlign w:val="center"/>
          </w:tcPr>
          <w:p w14:paraId="2F3807BC">
            <w:r>
              <w:t>催化燃烧温度</w:t>
            </w:r>
          </w:p>
        </w:tc>
        <w:tc>
          <w:tcPr>
            <w:tcW w:w="0" w:type="auto"/>
            <w:vAlign w:val="center"/>
          </w:tcPr>
          <w:p w14:paraId="0482138A">
            <w:r>
              <w:t>250-400</w:t>
            </w:r>
          </w:p>
        </w:tc>
        <w:tc>
          <w:tcPr>
            <w:tcW w:w="0" w:type="auto"/>
            <w:vAlign w:val="center"/>
          </w:tcPr>
          <w:p w14:paraId="5AA877BE">
            <w:r>
              <w:t>250-400</w:t>
            </w:r>
          </w:p>
        </w:tc>
        <w:tc>
          <w:tcPr>
            <w:tcW w:w="0" w:type="auto"/>
            <w:vAlign w:val="center"/>
          </w:tcPr>
          <w:p w14:paraId="1E13CE34">
            <w:r>
              <w:t>℃</w:t>
            </w:r>
          </w:p>
        </w:tc>
      </w:tr>
      <w:tr w14:paraId="081E7A67">
        <w:tc>
          <w:tcPr>
            <w:tcW w:w="0" w:type="auto"/>
            <w:vAlign w:val="center"/>
          </w:tcPr>
          <w:p w14:paraId="1CF4303B"/>
        </w:tc>
        <w:tc>
          <w:tcPr>
            <w:tcW w:w="0" w:type="auto"/>
            <w:vAlign w:val="center"/>
          </w:tcPr>
          <w:p w14:paraId="4255556B">
            <w:r>
              <w:t>RTO焚烧温度</w:t>
            </w:r>
          </w:p>
        </w:tc>
        <w:tc>
          <w:tcPr>
            <w:tcW w:w="0" w:type="auto"/>
            <w:vAlign w:val="center"/>
          </w:tcPr>
          <w:p w14:paraId="24FCBD7E">
            <w:r>
              <w:t>760-850</w:t>
            </w:r>
          </w:p>
        </w:tc>
        <w:tc>
          <w:tcPr>
            <w:tcW w:w="0" w:type="auto"/>
            <w:vAlign w:val="center"/>
          </w:tcPr>
          <w:p w14:paraId="6C9A590E">
            <w:r>
              <w:t>760-850</w:t>
            </w:r>
          </w:p>
        </w:tc>
        <w:tc>
          <w:tcPr>
            <w:tcW w:w="0" w:type="auto"/>
            <w:vAlign w:val="center"/>
          </w:tcPr>
          <w:p w14:paraId="1C4FF1C3">
            <w:r>
              <w:t>℃</w:t>
            </w:r>
          </w:p>
        </w:tc>
      </w:tr>
      <w:tr w14:paraId="52457DBB">
        <w:tblPrEx>
          <w:tblCellMar>
            <w:top w:w="0" w:type="dxa"/>
            <w:left w:w="0" w:type="dxa"/>
            <w:bottom w:w="0" w:type="dxa"/>
            <w:right w:w="0" w:type="dxa"/>
          </w:tblCellMar>
        </w:tblPrEx>
        <w:tc>
          <w:tcPr>
            <w:tcW w:w="0" w:type="auto"/>
            <w:vAlign w:val="center"/>
          </w:tcPr>
          <w:p w14:paraId="7926D35A"/>
        </w:tc>
        <w:tc>
          <w:tcPr>
            <w:tcW w:w="0" w:type="auto"/>
            <w:vAlign w:val="center"/>
          </w:tcPr>
          <w:p w14:paraId="4D84DF00">
            <w:r>
              <w:t>蓄热体换热效率</w:t>
            </w:r>
          </w:p>
        </w:tc>
        <w:tc>
          <w:tcPr>
            <w:tcW w:w="0" w:type="auto"/>
            <w:vAlign w:val="center"/>
          </w:tcPr>
          <w:p w14:paraId="12ED7BA1">
            <w:r>
              <w:t>≥95</w:t>
            </w:r>
          </w:p>
        </w:tc>
        <w:tc>
          <w:tcPr>
            <w:tcW w:w="0" w:type="auto"/>
            <w:vAlign w:val="center"/>
          </w:tcPr>
          <w:p w14:paraId="36DB3D76">
            <w:r>
              <w:t>≥95</w:t>
            </w:r>
          </w:p>
        </w:tc>
        <w:tc>
          <w:tcPr>
            <w:tcW w:w="0" w:type="auto"/>
            <w:vAlign w:val="center"/>
          </w:tcPr>
          <w:p w14:paraId="5BDFEB1D">
            <w:r>
              <w:t>%</w:t>
            </w:r>
          </w:p>
        </w:tc>
      </w:tr>
    </w:tbl>
    <w:p w14:paraId="5E567EE1">
      <w:r>
        <w:t>环保排放标准执行《铸造工业大气污染物排放标准》（GB 39726—2020），该标准于2021年1月1日实施，对烤房废气排放实施分类管控：有组织排放限值中，颗粒物为30mg/m³，非甲烷总烃为80mg/m³，苯为1mg/m³，甲苯与二甲苯总和为40mg/m³，苯乙烯日均浓度为6.5mg/m³；天然气加热设备的颗粒物、氮氧化物、二氧化硫排放限值分别为50mg/Nm³、400mg/Nm³、400mg/m³，林格曼黑度≤1级。对于VOCs初始排放量≥3kg/h（重点地区≥2kg/h）的情况，末端处理效率需达到80%以上，实行排放浓度与治理效率双重管控。地方执行层面，部分企业排污许可证显示差异化要求，如涂装废气排放口非甲烷总烃限值100mg/m³、苯系物60mg/m³，需根据具体工序确认。无组织排放方面，要求粉状物料密闭储存、粒状物料堆放高度不超过围挡、VOCs物料存储于密闭容器并配备废气收集系统。</w:t>
      </w:r>
    </w:p>
    <w:p w14:paraId="509DFF8C">
      <w:pPr>
        <w:pStyle w:val="3"/>
      </w:pPr>
      <w:r>
        <w:t>二、系统结构组成与功能说明</w:t>
      </w:r>
    </w:p>
    <w:p w14:paraId="32614D56">
      <w:pPr>
        <w:pStyle w:val="4"/>
      </w:pPr>
      <w:r>
        <w:t>2.1 烤房主体结构</w:t>
      </w:r>
    </w:p>
    <w:p w14:paraId="3C109EF2">
      <w:r>
        <w:t>烤房主体结构采用模块化设计，以满足不同规格干式变压器的固化需求，整体框架由型钢焊接而成，外壁采用双层彩钢板夹保温棉结构（保温棉厚度≥100mm，导热系数≤0.03W/(m·K)），内壁选用304不锈钢板（厚度≥1.5mm），具备耐高温、耐腐蚀特性。烤房内部按功能分为预热区、固化区和冷却区，各区通过可调节风门实现气流隔离，确保温度梯度稳定。小型烤房通常采用单开门设计，中型烤房则配置双开门或平移门，门体密封采用耐高温硅橡胶条，保证关闭时漏风率≤0.5%。</w:t>
      </w:r>
    </w:p>
    <w:p w14:paraId="5B5DC394">
      <w:r>
        <w:t>加热系统是烤房主体的核心组成部分，根据热源类型可分为电加热和天然气加热。电加热系统采用红外加热管（功率密度1.5-2.0W/cm²），均匀布置于烤房顶部及两侧 walls，每组加热管独立控制，总功率配置遵循“固化区功率密度高于预热区”原则（如中型烤房固化区功率48kW、预热区36kW）。天然气加热系统则通过燃烧器产生热风，经风道均匀送入烤房，配备火焰监测装置及燃气泄漏报警系统。为确保温度均匀性，烤房顶部设置气流分布板（开孔率30%-50%），底部安装回风格栅，形成“上送下回”的气流循环模式，使垂直方向温差控制在±5℃以内。结构设计中，需特别考虑热膨胀补偿，如采用伸缩节连接加热管与固定支架，避免温度变化导致结构变形。</w:t>
      </w:r>
    </w:p>
    <w:p w14:paraId="55A510F3">
      <w:pPr>
        <w:pStyle w:val="4"/>
      </w:pPr>
      <w:r>
        <w:t>2.2 废气收集系统</w:t>
      </w:r>
    </w:p>
    <w:p w14:paraId="2CB2CC8A">
      <w:r>
        <w:t>废气收集系统旨在最大限度捕捉固化过程中释放的VOCs，防止无组织排放，主要由收集装置和输送管道组成。收集装置采用多点对称布置原则，吸气口设置于烤房两侧 walls 中下部（距地面0.8-1.2m），数量根据烤房容积确定（每50m³设置1个），吸气口风速设计为1.2-1.5m/s，确保废气在扩散前被有效捕获。吸气口采用喇叭形结构（扩张角60°），内置防虫网（孔径≤5mm）及防火阀（动作温度70℃），防止异物进入及火灾风险。</w:t>
      </w:r>
    </w:p>
    <w:p w14:paraId="3D9ED073">
      <w:r>
        <w:t>输送管道选用镀锌钢板（厚度≥1.2mm）或不锈钢管（304材质，厚度≥1.0mm），管径根据风量计算确定（如处理风量10000m³/h对应管径500mm），管道风速控制在12-15m/s以避免颗粒物沉积。管道布置遵循“短路径、少拐弯”原则，弯头曲率半径≥1.5倍管径，三通处设置导流板减少涡流。为防止废气在管道内冷凝结露，输送管道外需包裹保温层（材质为离心玻璃棉，厚度≥50mm），并在低点设置排水阀。对于高温废气（温度＞150℃），管道采用耐高温岩棉保温，外层加镀锌铁皮保护层。气流组织优化方面，通过CFD模拟设计管道坡度（≥2‰）及静压调节装置，确保各吸气口风量均匀（偏差≤10%），必要时在支管设置手动调节阀进行风量平衡。</w:t>
      </w:r>
    </w:p>
    <w:p w14:paraId="51D12BBC">
      <w:pPr>
        <w:pStyle w:val="4"/>
      </w:pPr>
      <w:r>
        <w:t>2.3 预处理装置</w:t>
      </w:r>
    </w:p>
    <w:p w14:paraId="0F44CEE7">
      <w:r>
        <w:t>预处理装置是废气进入核心净化单元前的关键环节，主要功能为去除颗粒物、降温及中和腐蚀性成分，保护后续设备安全稳定运行。预处理单元通常由火花捕集器、降温装置和除尘设备组成，根据废气特性可增设碱洗塔或除湿装置。火花捕集器安装于废气收集管道末端，采用多层金属网结构（网孔直径0.5-1mm），可有效拦截浇注过程中可能产生的火星或高温颗粒，防止点燃后续吸附材料。其外壳采用碳钢喷塑，内部金属网可拆卸清洗，设计压力损失≤50Pa。</w:t>
      </w:r>
    </w:p>
    <w:p w14:paraId="035AE695">
      <w:r>
        <w:t>降温装置用于将高温废气（如固化阶段排放的200-300℃废气）冷却至后续设备允许温度（通常≤60℃），常用设备为风冷换热器或水冷换热器。风冷换热器采用翅片式结构（材质为铝合金或铜），换热面积根据换热量计算（如将15000m³/h废气从250℃降至60℃需换热面积约80m²），配备轴流风机强制通风，降温效率≥85%。水冷换热器则通过循环水间接换热，适合高温高湿废气，需配套冷却塔及水质软化装置，防止结垢影响换热效率。除尘设备以布袋除尘器为主，滤袋材质选用PPS（聚苯硫醚）或PTFE（聚四氟乙烯），过滤精度可达1μm，对颗粒物的去除效率超过99%。滤袋采用脉冲喷吹清灰方式（清灰压力0.5-0.7MPa，脉冲宽度0.1-0.2s），布袋除尘器进出口压差控制在1200-1500Pa，当压差超过2000Pa时触发清灰程序。预处理单元的设计需与后续净化单元匹配，如进入催化燃烧装置的废气颗粒物浓度需≤10mg/m³，进入活性炭吸附装置的废气温度需≤40℃、湿度≤60%RH。</w:t>
      </w:r>
    </w:p>
    <w:p w14:paraId="6939C816">
      <w:pPr>
        <w:pStyle w:val="4"/>
      </w:pPr>
      <w:r>
        <w:t>2.4 净化处理单元</w:t>
      </w:r>
    </w:p>
    <w:p w14:paraId="5617B061">
      <w:r>
        <w:t>净化处理单元是去除VOCs的核心设备，根据废气浓度、风量及成分差异，可选择活性炭吸附塔、催化燃烧装置（CO）或RTO蓄热式焚烧炉等，实际应用中多采用组合工艺以提高处理效率。活性炭吸附塔主体为立式圆柱形结构（直径1.5-3.0m，高度4-6m），内部装填颗粒状活性炭（碘值＞800mg/g，比表面积＞1000m²/g），活性炭层高度1.5-2.0m，设置上下两层格栅板固定。废气从塔底进入，经布气板均匀分布后穿过滤料层，有机物被活性炭孔隙吸附，净化后气体从塔顶排出。为提高吸附效率，塔内设置折流板，延长气体停留时间至30-60s。吸附饱和后，可通过热氮气（120-150℃）或蒸汽脱附，脱附后的高浓度废气送入燃烧装置处理。活性炭吸附塔适用于低浓度VOCs（≤1000mg/m³），单塔吸附效率可达90%以上。</w:t>
      </w:r>
    </w:p>
    <w:p w14:paraId="6416729D">
      <w:r>
        <w:t>催化燃烧装置（CO）由燃烧室、催化剂床层、热交换器及补风系统组成。燃烧室采用310S不锈钢材质，内衬耐火浇注料（厚度100mm），设计温度500℃。催化剂床层装填蜂窝状Pt-Pd贵金属催化剂（涂层为Al₂O₃-TiO₂），空速10000-20000h⁻¹，在250-400℃条件下，VOCs被氧化分解为CO₂和H₂O，净化效率＞95%。热交换器采用板式或管式结构，回收净化后气体的热量（换热效率≥80%），用于预热进口废气，降低能耗。当废气浓度≥2000mg/m³时，可实现自热燃烧，无需额外补热。CO装置适合中浓度VOCs（1000-8000mg/m³），但需严格控制进气中硫、氯等催化剂毒物含量。</w:t>
      </w:r>
    </w:p>
    <w:p w14:paraId="22F090DA">
      <w:r>
        <w:t>RTO蓄热式焚烧炉是处理大风量、低浓度VOCs的高效设备，主要由蓄热室、燃烧室和切换阀组成。蓄热室通常为三塔式结构，每塔装填堇青石或莫来石蓄热陶瓷（比表面积≥200m²/m³，耐温≥1200℃），陶瓷床层高度2-3m。废气首先进入一个蓄热室，吸收陶瓷储存的热量（从常温升至700℃以上），然后进入燃烧室（800±30℃）完成氧化分解（VOCs去除率＞99%），净化后的高温气体进入另一个蓄热室释放热量（陶瓷升温、气体降温至150℃以下排放），通过切换阀（切换时间≤1s，泄漏率＜0.5%）周期性（通常1-3分钟）改变气流方向，实现连续运行。RTO换热效率高达95%以上，当VOCs浓度≥500mg/m³时即可自热运行，适合处理风量10000-100000m³/h的废气。实际应用中，“布袋除尘+活性炭吸附+催化燃烧”组合工艺适用于中小风量、中浓度废气，“沸石转轮浓缩+RTO”组合则适用于大风量、低浓度场景，可降低后续燃烧设备能耗50%以上。</w:t>
      </w:r>
    </w:p>
    <w:p w14:paraId="2C90BEEB">
      <w:pPr>
        <w:pStyle w:val="4"/>
      </w:pPr>
      <w:r>
        <w:t>2.5 排放与控制系统</w:t>
      </w:r>
    </w:p>
    <w:p w14:paraId="3B5A6475">
      <w:r>
        <w:t>排放系统负责将净化处理后的达标气体安全排放，主要由排放管道、烟囱及降噪装置组成。排放管道采用碳钢或不锈钢材质，管径根据处理风量确定（如30000m³/h风量对应管径800mm），管道设计流速10-15m/s，设置必要的固定支架及导向支架，防止振动。烟囱高度需满足《大气污染物综合排放标准》要求（排放筒高度不低于15m，若排放速率超过标准值50%，高度需增加5m），顶部安装防雨帽及避雷装置。为降低风机噪声，在风机出口设置阻抗复合式消声器（消声量≥25dB(A)），管道与风机之间采用柔性接头连接，减少振动传递。</w:t>
      </w:r>
    </w:p>
    <w:p w14:paraId="22CD2987">
      <w:r>
        <w:t>在线监测与控制系统是保障排放合规的关键，主要包括CEMS（连续排放监测系统）和PLC控制系统。CEMS系统安装于排放管道末端，监测参数包括颗粒物浓度、VOCs浓度、氧含量、温度和压力，数据采样间隔≤1分钟，监测数据与环保部门联网，确保实时上传。传感器选型方面，颗粒物采用激光散射法（精度±5%FS），VOCs采用PID光离子化法（检测下限≤0.1mg/m³），氧含量采用氧化锆传感器（精度±0.5%）。PLC控制系统集成于中央控制柜，通过采集各传感器信号，实现对风机、阀门、加热设备的自动控制，具备参数设定、状态显示、报警及数据存储功能。系统设置多重保护机制，如VOCs浓度超标时自动启动稀释风机，温度异常时切断加热电源，确保排放稳定达标。</w:t>
      </w:r>
    </w:p>
    <w:p w14:paraId="21666E8E">
      <w:pPr>
        <w:pStyle w:val="3"/>
      </w:pPr>
      <w:r>
        <w:t>三、机械原理与工作流程分析</w:t>
      </w:r>
    </w:p>
    <w:p w14:paraId="7A3633B3">
      <w:pPr>
        <w:pStyle w:val="4"/>
      </w:pPr>
      <w:r>
        <w:t>3.1 烤房整体工作流程</w:t>
      </w:r>
    </w:p>
    <w:p w14:paraId="6C2A02CD">
      <w:r>
        <w:t>烤房整体工作流程围绕干式变压器浇注件的固化工艺展开，同时实现废气的全程收集与处理，可分为工件入炉、升温固化、废气处理及工件出炉四个阶段。工件入炉前，需进行烤房预热，通过PLC控制系统设定固化曲线（如F级绝缘产品：85℃×5h→120℃×3h→155℃×8h），启动加热系统使烤房温度达到第一阶段设定值（85℃），同时开启废气收集系统，确保工件进入前烤房内VOCs浓度≤20mg/m³。工件通过专用吊具送入固化区，关闭烤房门后，系统自动切换至“固化模式”，加热系统根据温度传感器反馈（Pt100铂热电阻，安装于固化区几何中心）调节输出功率，使温度按设定速率（5℃/min）升至85℃并保温5小时，此阶段主要去除浇注件中的低沸点挥发分。</w:t>
      </w:r>
    </w:p>
    <w:p w14:paraId="55450490">
      <w:r>
        <w:t>升温固化阶段是VOCs释放的主要时期，随着温度升高至120℃，环氧树脂与固化剂开始交联反应，释放有机酸蒸汽等小分子副产物，废气收集系统风量自动提升至设计值的80%（如中型烤房24000m³/h），将废气经输送管道送入预处理装置。预处理阶段，废气先通过火花捕集器去除杂质，再经风冷换热器降温（从200℃降至60℃以下），随后进入布袋除尘器（滤袋材质PPS）去除99%以上的颗粒物，净化后的废气（粉尘浓度≤10mg/m³）进入活性炭吸附塔。当活性炭吸附饱和（通过进出口浓度差判断，通常当出口浓度达到进口浓度的20%时），系统切换至脱附模式，热氮气（120-150℃）将吸附的VOCs解析出来，形成高浓度废气（浓度提升10-20倍），送入催化燃烧装置（CO）在300℃条件下氧化分解（净化效率＞95%），生成的CO₂和H₂O经热交换器回收热量后由烟囱排放。</w:t>
      </w:r>
    </w:p>
    <w:p w14:paraId="04FCED7D">
      <w:r>
        <w:t>固化完成后，系统进入冷却阶段，关闭加热系统，开启冷却风机将烤房温度降至60℃以下，此阶段废气排放量显著减少，废气处理系统自动降低风量至设计值的50%。工件出炉后，烤房进行清扫和消毒，为下一批次生产做准备。整个流程中，各阶段时间节点严格控制，如真空浇注工艺总固化时间约16小时，APG工艺则缩短至1-2小时，废气处理系统需具备快速响应能力，以适应不同工艺的排放特征。</w:t>
      </w:r>
    </w:p>
    <w:p w14:paraId="54B708F4">
      <w:pPr>
        <w:pStyle w:val="4"/>
      </w:pPr>
      <w:r>
        <w:t>3.2 气流组织与热量传递原理</w:t>
      </w:r>
    </w:p>
    <w:p w14:paraId="593CFACE">
      <w:r>
        <w:t>烤房内的气流组织直接影响温度均匀性和废气收集效率，其设计基于流体力学原理，通过合理布置送风口、回风口及气流调节装置，实现“均匀流场、定向流动”的目标。气流组织采用“上送下回”模式，加热后的空气经顶部气流分布板（开孔率30%-50%）形成均匀射流，射流在下降过程中与工件进行热交换，温度降低后从底部回风格栅进入回风管道，由循环风机送入加热系统重新加热，形成闭式循环。为避免局部涡流，送风口采用渐缩型设计，使出口风速控制在2-3m/s，回风口风速1.5-2.0m/s，确保气流在烤房内的平均停留时间≥30s。</w:t>
      </w:r>
    </w:p>
    <w:p w14:paraId="43727C04">
      <w:r>
        <w:t>热量传递是烤房实现温度控制的核心物理过程，主要通过辐射、对流和传导三种方式进行。辐射传热占总传热量的60%-70%，由红外加热管或高温 walls 发射红外线，直接被工件表面吸收转化为热能，其特点是加热速度快、穿透能力强（可深入工件内部5-10mm），特别适合环氧树脂的固化。对流传热占20%-30%，通过循环气流与工件表面的强制对流实现热量传递，其传热速率与气流速度成正比，因此需控制烤房内气流速度在0.5-1.0m/s，以兼顾传热效率和能耗。传导传热占比最小（＜10%），主要通过工件与支架的接触传递热量，可忽略不计。</w:t>
      </w:r>
    </w:p>
    <w:p w14:paraId="69AD1208">
      <w:r>
        <w:t>温度均匀性控制是气流组织与热量传递协同作用的结果，通过以下机制实现：一是采用多点测温（烤房内布置3-5个温度传感器），PLC系统根据各点温度偏差调节对应区域加热管功率；二是在气流分布板上设置可变开孔率区域（如固化区开孔率高于边缘区），补偿工件遮挡导致的气流衰减；三是在回风管道设置均流阀，平衡各区域回风量。实际运行中，通过CFD模拟优化气流组织，可使烤房内温度均匀性控制在±5℃以内，满足干式变压器浇注件固化对温度场的严格要求。</w:t>
      </w:r>
    </w:p>
    <w:p w14:paraId="0B6F2883">
      <w:pPr>
        <w:pStyle w:val="4"/>
      </w:pPr>
      <w:r>
        <w:t>3.3 废气处理机械原理</w:t>
      </w:r>
    </w:p>
    <w:p w14:paraId="643D8D6A">
      <w:r>
        <w:t>废气处理系统的机械原理基于物理分离和化学转化过程，通过预处理、净化处理等单元的协同作用，实现VOCs的高效去除。预处理阶段的机械原理主要包括除尘和降温，布袋除尘器利用“筛分、惯性碰撞、扩散、静电吸附”等机制分离颗粒物：当含尘废气以1-2m/min的速度通过滤袋时，直径＞5μm的颗粒因惯性碰撞被截留，1-5μm颗粒通过筛分作用被捕集，＜1μm颗粒则通过扩散效应附着于滤袋纤维表面，滤袋表面形成的粉尘层进一步提高过滤效率（可达99.9%）。清灰过程采用脉冲喷吹方式，压缩空气（0.5-0.7MPa）通过喷吹管上的小孔以高速射流（＞300m/s）喷入滤袋，使滤袋瞬间膨胀、振动，将粉尘层抖落至灰斗。降温装置基于热交换原理，风冷换热器中，高温废气（200-300℃）在翅片管外流动，冷空气在管内强制对流，通过管壁导热实现热量传递，使废气温度降至60℃以下，避免高温损坏后续吸附材料。</w:t>
      </w:r>
    </w:p>
    <w:p w14:paraId="266CB7E9">
      <w:r>
        <w:t>净化处理单元的机械原理因设备类型而异，活性炭吸附塔基于“吸附平衡”原理，活性炭表面存在大量微孔（孔径1-100nm），具有巨大的比表面积，当VOCs分子与活性炭表面接触时，分子间范德华力使其被吸附在微孔内，直至达到吸附平衡。吸附速率取决于VOCs浓度、温度和停留时间，浓度越高、温度越低、停留时间越长，吸附效果越好，因此设计中需控制空塔气速0.8-1.2m/s，确保停留时间30-60s。催化燃烧装置（CO）的核心是催化反应原理，VOCs在催化剂（Pt-Pd贵金属）表面的活性中心发生氧化反应，反应温度从直接燃烧的800-1000℃降至250-400℃，反应式为：CₙHₘOₚ + (n + m/4 - p/2)O₂ → nCO₂ + m/2H₂O + 热量。催化剂通过降低反应活化能提高反应速率，其活性与比表面积、分散度密切相关，蜂窝状催化剂比表面积可达300-500m²/g，确保高效催化。</w:t>
      </w:r>
    </w:p>
    <w:p w14:paraId="0BCA6F94">
      <w:r>
        <w:t>RTO蓄热式焚烧炉的机械原理基于“蓄热-氧化-蓄热”循环，通过蓄热体交替吸热和放热实现热量回收。工作时，废气首先进入蓄热室A（陶瓷蓄热体温度700℃），吸收热量后温度升至760℃以上，进入燃烧室在800℃条件下完成氧化分解（VOCs→CO₂+H₂O），释放的热量使气体温度升至850℃；高温净化气进入蓄热室B，将热量传递给蓄热体（陶瓷温度升至700℃），气体降温至150℃以下排放；切换阀切换后，废气进入蓄热室B吸热，燃烧室净化气进入蓄热室A放热，如此循环（周期1-3分钟）。RTO的关键在于切换阀的快速切换和蓄热体的高效换热，陶瓷蓄热体采用蜂窝结构，热容量大（1.0-1.2kJ/(kg·℃)）、导热系数高（1.0-1.5W/(m·K)），使换热效率高达95%以上，当VOCs浓度≥500mg/m³时，可实现自热运行，无需额外燃料。各处理单元的协同作用表现为：预处理去除颗粒物和降温，保护净化单元；吸附单元浓缩低浓度VOCs，提高后续燃烧效率；燃烧单元彻底分解有机物，实现达标排放。</w:t>
      </w:r>
    </w:p>
    <w:p w14:paraId="0F14663C">
      <w:pPr>
        <w:pStyle w:val="3"/>
      </w:pPr>
      <w:r>
        <w:t>四、控制系统原理与操作说明</w:t>
      </w:r>
    </w:p>
    <w:p w14:paraId="2676BC32">
      <w:pPr>
        <w:pStyle w:val="4"/>
      </w:pPr>
      <w:r>
        <w:t>4.1 控制系统架构</w:t>
      </w:r>
    </w:p>
    <w:p w14:paraId="2E1762AD">
      <w:r>
        <w:t>干变浇注车间废气处理系统烤房的控制系统采用分层分布式架构，由现场设备层、控制层和监控层组成，实现对烤房温度、废气处理过程的全自动控制。现场设备层包括传感器、执行器和检测仪表：温度传感器采用Pt100铂热电阻（测量范围-50-250℃，精度±1%FS），安装于烤房内各功能区及废气处理管道；压力变送器（测量范围0-5kPa，精度±0.25%FS）用于监测风机进出口压力、吸附塔床层压差；VOCs在线监测仪（检测范围0-2000mg/m³，分辨率0.1mg/m³）安装于排放管道；执行器包括电动调节阀（调节精度±2%）、变频风机（调速范围10%-100%）、脉冲阀（响应时间＜0.1s）等。</w:t>
      </w:r>
    </w:p>
    <w:p w14:paraId="74C99343">
      <w:r>
        <w:t>控制层以PLC控制器为核心（选用西门子S7-1200或S7-1500系列），配置数字量输入模块（DI）、数字量输出模块（DO）、模拟量输入模块（AI）和模拟量输出模块（AO），实现对现场设备的实时控制。PLC控制器通过PROFINET总线与现场设备通信，通信速率100Mbps，数据更新周期≤100ms。为提高系统可靠性，关键控制回路采用冗余设计，如主备PLC切换、重要传感器双重配置。控制层还包括本地控制柜，配备触摸屏（10寸彩色人机界面），用于现场参数设置、状态监控和故障报警。</w:t>
      </w:r>
    </w:p>
    <w:p w14:paraId="2550E8CD">
      <w:r>
        <w:t>监控层由上位机（工业计算机）和监控软件（WinCC或Intouch）组成，安装于中央控制室，实现对整个系统的远程监控。监控软件具备以下功能：实时数据采集与显示（温度、压力、VOCs浓度等）、历史数据存储（存储周期1分钟，保存1年）、趋势曲线绘制、报表生成、报警管理（声光报警、短信通知）及远程控制。监控层与控制层通过以太网通信，支持OPC协议，可与企业MES系统集成，实现生产数据的无缝对接。系统供电采用UPS不间断电源（后备时间≥30分钟），确保断电时数据不丢失及安全停机。</w:t>
      </w:r>
    </w:p>
    <w:p w14:paraId="4CB614B5">
      <w:pPr>
        <w:pStyle w:val="4"/>
      </w:pPr>
      <w:r>
        <w:t>4.2 温度控制原理</w:t>
      </w:r>
    </w:p>
    <w:p w14:paraId="067AEA2E">
      <w:r>
        <w:t>烤房温度控制采用“分段PID调节+前馈补偿”控制策略，以满足环氧树脂固化对温度曲线的精确要求。分段PID调节是将固化过程分为多个温度段（如85℃、120℃、155℃），每个温度段独立设置PID参数（比例系数KP、积分时间TI、微分时间TD），PLC系统根据当前温度段和设定值与实测值的偏差（e=设定值-实测值）计算输出控制量（加热管功率）。例如，在升温阶段（从85℃升至120℃），采用较大的KP（5.0）和较小的TI（100s），加快响应速度；在保温阶段（155℃），采用较小的KP（2.0）和较大的TI（300s），减少超调。</w:t>
      </w:r>
    </w:p>
    <w:p w14:paraId="7028CD0F">
      <w:r>
        <w:t>前馈补偿用于消除系统滞后和扰动影响，通过以下方式实现：一是根据工件装载量（通过称重传感器或人工输入）预调加热功率，装载量大时增加初始功率；二是根据废气处理系统的抽风量变化（影响烤房热损失），提前调节加热输出，补偿风量变化导致的温度波动。温度传感器的布置采用“空间平均”原则，在烤房内不同位置（上、中、下）安装3-5个Pt100传感器，PLC系统对各传感器信号进行算术平均后作为反馈值，避免局部温度波动导致的误动作。</w:t>
      </w:r>
    </w:p>
    <w:p w14:paraId="749BDE5D">
      <w:r>
        <w:t>超温保护是温度控制的重要组成部分，设置三级保护机制：一级保护（预警），当温度超过设定值5℃时，系统发出声光报警并自动调节加热功率；二级保护（干预），温度超过设定值10℃时，切断部分加热管电源，保留维持温度的最小功率；三级保护（紧急停机），温度超过设定值15℃或传感器故障时，立即切断所有加热电源，启动紧急冷却风机（独立电源供电），确保设备和工件安全。温度控制精度通过定期校准传感器（每季度1次）和PID参数自整定（每月1次）来保障，确保长期运行中温度控制误差≤±1℃。</w:t>
      </w:r>
    </w:p>
    <w:p w14:paraId="589DC99F">
      <w:pPr>
        <w:pStyle w:val="4"/>
      </w:pPr>
      <w:r>
        <w:t>4.3 废气处理过程控制</w:t>
      </w:r>
    </w:p>
    <w:p w14:paraId="6E3A539E">
      <w:r>
        <w:t>废气处理过程控制实现各处理单元的联动协调，确保VOCs去除效率稳定达标，主要包括吸附/脱附控制、催化燃烧控制和RTO控制。吸附/脱附控制采用“时间+浓度”双参数判断，当活性炭吸附塔运行时间达到设定值（如8小时）或出口VOCs浓度≥50mg/m³时，系统自动切换至脱附模式：关闭吸附进口阀，开启脱附风机和加热装置，将热氮气（120-150℃）通入吸附塔，使活性炭吸附的VOCs脱附（脱附时间约2小时），高浓度脱附气（浓度提升10-20倍）送入催化燃烧装置处理。脱附完成后，系统通入冷空气将活性炭降温至40℃以下，切换回吸附模式，实现连续运行。</w:t>
      </w:r>
    </w:p>
    <w:p w14:paraId="40485363">
      <w:r>
        <w:t>催化燃烧控制的核心是维持最佳反应温度（250-400℃），通过以下机制实现：一是根据进口VOCs浓度调节电加热功率，浓度高时降低加热功率，浓度低时增加功率，确保燃烧室温度稳定在300℃±20℃；二是设置热交换器旁路阀，当进口废气温度＞200℃时，部分废气直接进入燃烧室，减少加热能耗；三是配备助燃风机，当VOCs浓度＜2000mg/m³时，引入新鲜空气稀释，防止温度过高烧毁催化剂。催化剂床层温度超过450℃时，系统自动开启降温风机，温度超过500℃时紧急停机并切断燃气供应。</w:t>
      </w:r>
    </w:p>
    <w:p w14:paraId="3A9295DE">
      <w:r>
        <w:t>RTO控制的关键是切换阀的时序控制和温度联锁保护，采用PLC定时器控制切换阀动作，周期1-3分钟（根据废气风量调整），确保各蓄热室交替蓄热和放热。燃烧室温度控制通过调节燃气阀开度实现，设定温度800℃±30℃，当温度＜760℃时增大燃气供应，＞850℃时减少燃气或引入冷空气。蓄热体温度监测（安装于蓄热室进出口）用于判断堵塞情况，当进出口温差＜100℃时，提示蓄热体需要清理。废气处理系统的联动控制表现为：烤房升温阶段，废气处理系统提前10分钟启动，确保烤房内负压；固化阶段，根据烤房温度自动调节废气收集风量（温度高时风量增大）；异常工况（如VOCs浓度超标）时，系统自动打开应急排放旁路（配备活性炭吸附），同时发出报警通知操作人员。</w:t>
      </w:r>
    </w:p>
    <w:p w14:paraId="70B52D23">
      <w:pPr>
        <w:pStyle w:val="4"/>
      </w:pPr>
      <w:r>
        <w:t>4.4 操作流程说明</w:t>
      </w:r>
    </w:p>
    <w:p w14:paraId="61E2B5CE">
      <w:r>
        <w:t>烤房及废气处理系统的操作流程分为开机准备、正常运行、关机操作和紧急停机四个阶段，操作人员需严格按照规程执行，确保系统安全稳定运行。开机准备阶段：首先检查设备状态，确认烤房门关闭严密、废气处理系统各阀门处于初始位置（吸附塔进口阀开、脱附阀关，催化燃烧装置旁路阀开）、电源和气源（压缩空气、燃气）正常；然后在人机界面输入生产参数，包括工件型号（对应固化曲线）、装载量、预计固化时间；最后启动控制系统自检程序，检查传感器、执行器是否正常响应，自检通过后进入待机状态。</w:t>
      </w:r>
    </w:p>
    <w:p w14:paraId="3320F3BB">
      <w:r>
        <w:t>正常运行阶段：点击“启动”按钮，系统自动执行以下步骤：开启循环风机和加热系统，按设定固化曲线升温（速率5℃/min）；当烤房温度达到第一阶段设定值（如85℃）时，开启废气收集风机和预处理装置（火花捕集器、布袋除尘器）；温度升至固化温度（如155℃）后，系统进入保温状态，同时废气处理系统按“吸附-脱附-催化燃烧”流程自动运行；操作人员需每小时巡检一次，记录温度、压力、VOCs浓度等关键参数，检查设备有无异常振动、泄漏或异响。</w:t>
      </w:r>
    </w:p>
    <w:p w14:paraId="7FD124B0">
      <w:r>
        <w:t>关机操作需在固化完成后进行，按以下步骤执行：在人机界面点击“降温”按钮，系统关闭加热系统，开启冷却风机将烤房温度降至60℃以下；温度达标后，关闭废气收集系统（先关风机，后关预处理装置）；关闭循环风机，打开烤房门，吊出工件；清理烤房内部杂物，关闭控制电源。关机后需填写运行记录，包括本次运行时间、能耗、耗材使用情况等。</w:t>
      </w:r>
    </w:p>
    <w:p w14:paraId="5A8AA725">
      <w:r>
        <w:t>紧急停机适用于发生火灾、气体泄漏、设备故障等突发情况，操作人员应立即按下控制柜上的“紧急停机”按钮，系统自动执行以下动作：切断加热系统电源和燃气供应；关闭所有风机（保留应急通风风机）；打开烤房紧急排气阀，降低室内压力；切断废气处理系统电源。紧急停机后，需检查事故原因并排除故障，经专业人员确认安全后，方可重新启动系统。</w:t>
      </w:r>
    </w:p>
    <w:p w14:paraId="2EC51839">
      <w:pPr>
        <w:pStyle w:val="3"/>
      </w:pPr>
      <w:r>
        <w:t>五、常见故障类型与成因分析</w:t>
      </w:r>
    </w:p>
    <w:p w14:paraId="14E3753B">
      <w:pPr>
        <w:pStyle w:val="4"/>
      </w:pPr>
      <w:r>
        <w:t>5.1 设备性能下降类故障</w:t>
      </w:r>
    </w:p>
    <w:p w14:paraId="6BD666C9">
      <w:r>
        <w:t>设备性能下降是废气处理系统烤房最常见的故障类型，主要表现为处理效率降低、设备堵塞和能耗异常，直接影响产品质量和环保排放。处理效率降低的典型表现是排放口VOCs浓度持续升高（超过30mg/m³）或颗粒物浓度超标（＞30mg/m³），常见成因包括活性炭吸附饱和（未及时更换或再生，吸附容量＜5%）、催化剂中毒（废气中硫、氯等毒物含量超标，催化剂活性下降40%以上）、滤袋破损（布袋除尘器滤袋因高温或磨损出现孔洞，过滤效率降至80%以下）。例如，某铸造厂因未定期更换活性炭（超期运行2个月），导致出口VOCs浓度从15mg/m³升至60mg/m³，超标2倍。</w:t>
      </w:r>
    </w:p>
    <w:p w14:paraId="50013D64">
      <w:r>
        <w:t>设备堵塞表现为系统压差异常升高，如布袋除尘器压差从正常1500Pa升至3000Pa以上，导致处理风量下降40%；喷淋塔液位上升、水泵出口压力增大（超过设计值1.2倍）；RTO蓄热体阻力上升（从500Pa升至1500Pa），换热效率降低20%。成因主要包括废气含尘量过高（如浇注工艺中树脂颗粒含量超过50mg/m³），导致颗粒物在滤袋或蓄热体表面堆积；喷淋液长期未更换（超过1个月），水中盐分结晶或生成沉淀物，堵塞喷淋嘴；活性炭粉末随气流进入后续管道，在阀门或弯头处沉积。某案例中，因干式变压器浇注过程中模具密封不良，树脂蒸汽在管道内冷凝结晶，3个月内导致RTO蓄热体堵塞，换热效率从95%降至78%。</w:t>
      </w:r>
    </w:p>
    <w:p w14:paraId="70DCEBBF">
      <w:r>
        <w:t>能耗异常表现为风机电流升高（超过额定值10%）、RTO天然气消耗量增加（单耗上升25%）、喷淋泵频繁启停（每小时＞10次）。成因包括系统漏风（管道连接处密封不良，漏风率＞5%）、热交换器效率下降（RTO蓄热体结块导致热阻增大）、电机或变频器故障（轴承磨损使电机效率降低10%）。某重工企业RTO设备因蓄热体堵塞，导致换热效率下降，天然气单耗从8m³/h增至10m³/h，年增加成本约5万元。此外，阀门未完全打开（如蝶阀开度仅10%）会造成局部阻力增大，也是能耗异常的常见原因。</w:t>
      </w:r>
    </w:p>
    <w:p w14:paraId="1E2A2E34">
      <w:pPr>
        <w:pStyle w:val="4"/>
      </w:pPr>
      <w:r>
        <w:t>5.2 监测数据失真类故障</w:t>
      </w:r>
    </w:p>
    <w:p w14:paraId="3AF04E2F">
      <w:r>
        <w:t>监测数据失真导致系统控制失准和环保合规风险，主要表现为在线监测数据异常和温度监控失效。在线监测数据异常的典型症状是CEMS系统显示浓度突变（如VOCs浓度从20mg/m³骤升至200mg/m³或降至0），与手工采样结果偏差超过20%；pH计、氧含量仪读数波动频繁（波动范围＞±10%FS）。成因包括采样探头堵塞（废气中颗粒物在探头内沉积，如每周未清理导致采样流量从1L/min降至0.5L/min）、伴热管故障（加热不良使废气在传输过程中冷凝，影响VOCs检测）、校准气体失效（超过有效期或储存不当，浓度偏差＞5%）、传感器老化（PID传感器使用超过1年，灵敏度下降30%）。某车间因采样探头积尘未清理，导致VOCs在线监测值比实际值偏低40%，被环保部门通报处罚。</w:t>
      </w:r>
    </w:p>
    <w:p w14:paraId="16E6D04C">
      <w:r>
        <w:t>温度监控失效表现为干式变压器绕组温度显示异常（如实际温度120℃时显示85℃）、超温报警延迟（滞后时间＞30秒）或误报（无超温时报警）。成因包括Pt100热敏电阻损坏（导线断路或短路）、测温元件与绕组接触不良（安装松动导致热阻增大）、信号电缆干扰（与动力电缆并行敷设，引入电磁干扰）、温控系统软件故障（数据处理模块出错）。某案例中，因预埋测温电阻导线老化（使用3年），绝缘层破损导致信号短路，使监控系统显示温度恒为室温，险些造成绕组绝缘过热损坏。此外，温度传感器校准周期过长（超过半年），也会因漂移导致数据失真，如Pt100传感器年漂移量可达±0.5℃。</w:t>
      </w:r>
    </w:p>
    <w:p w14:paraId="522F1D5E">
      <w:pPr>
        <w:pStyle w:val="4"/>
      </w:pPr>
      <w:r>
        <w:t>5.3 安全隐患类故障</w:t>
      </w:r>
    </w:p>
    <w:p w14:paraId="601D142D">
      <w:r>
        <w:t>安全隐患类故障直接威胁设备和操作人员安全，主要包括电气安全隐患、火灾爆炸风险和机械结构隐患。电气安全隐患表现为配电箱未接地（接地电阻＞10Ω）、线路私拉乱接（导线未穿管保护）、移动设备未接地（如手持工具插头无接地 pin），存在触电风险。温州市某五金电镀公司车间检查中发现，电线未套管、插线板未固定且未接地，电风扇等设备漏电电流达5mA，被列入安全生产隐患曝光名单。此外，电气元件老化（如接触器触点烧蚀）、过载保护失效（断路器额定电流大于线路载流量）也是常见电气隐患。</w:t>
      </w:r>
    </w:p>
    <w:p w14:paraId="06E74167">
      <w:r>
        <w:t>火灾爆炸风险主要源于可燃气体泄漏和高温氧化，表现为活性炭吸附塔未设置防爆泄压装置（泄压面积＜0.05m²/m³）、RTO燃烧室温度失控（超过1000℃）、危化品仓库可燃气体报警器未与排风联锁。某案例中，因VOCs浓度突然升高（超过爆炸下限25%），RTO燃烧室内发生爆燃，导致蓄热体陶瓷碎裂；温州中泰皮业公司四楼仓库因DMF泄漏，可燃气体报警器失效未及时排风，气体浓度达到爆炸极限，遇明火引发爆炸。此外，静电积累（管道未接地，静电电压＞10kV）、动火作业未清理周边可燃物，也会引发火灾爆炸事故。</w:t>
      </w:r>
    </w:p>
    <w:p w14:paraId="1BA43AC0">
      <w:r>
        <w:t>机械结构隐患表现为设备部件松动或损坏，如中频炉炉区护栏高度不足（低于1.2m）、扶梯底部电焊点断裂（承载能力下降50%）、RTO阀门密封失效（泄漏率＞1%）导致高温废气泄漏。某铸造车间RTO切换阀因密封垫片老化（使用1年），高温废气（300℃）泄漏至操作区，环境温度超过60℃，危及操作人员安全。机械结构隐患还包括风机叶轮不平衡（振动速度＞4.5mm/s）、管道支架松动（挠度＞L/200）、设备基础沉降（不均匀沉降量＞5mm），这些问题会导致设备运行寿命缩短和故障风险增加。</w:t>
      </w:r>
    </w:p>
    <w:p w14:paraId="666CAEBA">
      <w:pPr>
        <w:pStyle w:val="3"/>
      </w:pPr>
      <w:r>
        <w:t>六、故障诊断方法与处理对策</w:t>
      </w:r>
    </w:p>
    <w:p w14:paraId="6CECD2D0">
      <w:pPr>
        <w:pStyle w:val="4"/>
      </w:pPr>
      <w:r>
        <w:t>6.1 设备性能下降故障诊断与处理</w:t>
      </w:r>
    </w:p>
    <w:p w14:paraId="02B36BD6">
      <w:r>
        <w:t>设备性能下降故障的诊断需结合运行参数监测和设备检查，采用“由表及里、逐步排查”的方法。处理效率降低的诊断流程：首先检查在线监测数据，对比进出口VOCs浓度（进口浓度100mg/m³、出口50mg/m³，去除效率50%＜设计值90%），判断是否真效率下降；然后检查预处理装置，若布袋除尘器压差＞2000Pa，说明滤袋堵塞或破损，需打开检修门检查滤袋（破损则更换，堵塞则清灰）；若预处理正常，检查活性炭吸附塔，取活性炭样品进行碘值检测（＜600mg/g需更换），或检查催化燃烧催化剂（活性组分含量＜0.5%需再生或更换）。处理对策：更换饱和活性炭（建议每3个月1次），采用蒸汽再生法恢复催化剂活性（800℃焙烧2小时），修补或更换破损滤袋（选用PPS材质耐温滤袋）。某案例中，通过更换活性炭（碘值从500mg/g提升至850mg/g），出口VOCs浓度从60mg/m³降至15mg/m³，恢复处理效率。</w:t>
      </w:r>
    </w:p>
    <w:p w14:paraId="77024E68">
      <w:r>
        <w:t>设备堵塞的诊断通过压差监测和目视检查实现：布袋除尘器堵塞时，进出口压差＞2500Pa，打开灰斗检查是否积灰过多（超过灰斗高度1/2），若清灰系统故障（如脉冲阀不动作），需检查脉冲控制仪和压缩空气压力（应≥0.5MPa）；喷淋塔堵塞时，测量水泵进出口压力差（＞0.2MPa），打开塔体检查喷淋嘴（若结晶堵塞，用5%盐酸溶液清洗）；RTO蓄热体堵塞时，监测蓄热室进出口压差（＞1500Pa），停机后取出蓄热体检查（若颗粒物堆积，用压缩空气反向吹扫）。处理对策：定期清理灰斗（每班1次），更换老化脉冲阀（寿命约1年），每周更换喷淋液（控制电导率＜5000μS/cm），每半年对RTO蓄热体进行离线清洗（用高压水枪冲洗）。某铸造厂通过制定“每月蓄热体吹扫、每季度滤袋检查”的维护计划，使堵塞故障发生率从每月2次降至每季度1次。</w:t>
      </w:r>
    </w:p>
    <w:p w14:paraId="5E0B4AF4">
      <w:r>
        <w:t>能耗异常的诊断步骤：首先检查系统漏风，关闭风机后测量各密封点（如管道法兰、阀门）的风速（＞0.5m/s即为漏风），用密封胶或更换垫片修复；然后检查热交换器，测量RTO进出口温差（设计值650℃，实测550℃说明换热效率下降），打开检查蓄热体是否结块（若结块，用机械破碎或更换蓄热体）；最后检查电机，测量三相电流是否平衡（不平衡度＞5%说明电机故障），检测轴承温度（＞80℃需加润滑脂或更换轴承）。处理对策：对漏风管道进行保温和密封处理，更换结块蓄热体（选用堇青石材质抗结垢蓄热体），对电机进行动平衡校正（振动速度≤2.8mm/s）。某企业通过修复RTO系统漏风点（漏风率从8%降至2%）和清洗蓄热体，使天然气单耗从10m³/h降至8m³/h，年节约成本4万元。</w:t>
      </w:r>
    </w:p>
    <w:p w14:paraId="1A900994">
      <w:pPr>
        <w:pStyle w:val="4"/>
      </w:pPr>
      <w:r>
        <w:t>6.2 监测数据失真故障诊断与处理</w:t>
      </w:r>
    </w:p>
    <w:p w14:paraId="3D8B7EB7">
      <w:r>
        <w:t>监测数据失真的诊断需通过校准验证和系统检查，确保数据准确性。在线监测数据异常的诊断方法：首先进行零点/量程校准，用标准气体（如100mg/m³VOCs标气）通入传感器，若示值误差＞±10%，说明传感器需要校准或更换；检查采样系统，拆下采样探头，观察是否堵塞（若有颗粒物堆积，用压缩空气吹扫或用超声波清洗）；测试伴热管温度（应高于废气露点温度20℃以上，如露点50℃时伴热温度≥70℃），若温度不足，更换伴热电缆或提高设定温度。处理对策：每周用零气校准传感器零点，每月用标准气体校准量程，每日检查采样流量（保持1L/min），每季度更换采样滤芯。某车间通过建立“每日流量检查、每月校准”制度，使在线监测数据与手工采样偏差从25%降至5%以内。</w:t>
      </w:r>
    </w:p>
    <w:p w14:paraId="4D106F53">
      <w:r>
        <w:t>温度监控失效的诊断流程：用标准温度计（精度±0.1℃）对比测量，若显示偏差＞±2℃，检查Pt100传感器（用万用表测量电阻值，25℃时应为100Ω，偏差＞0.5Ω需更换）；检查测温元件安装，确保与绕组紧密接触（用绝缘电阻表测量接触电阻＜1Ω）；检查信号电缆，用示波器观察是否有干扰信号（若有，将电缆穿金属管并接地）。处理对策：更换损坏的Pt100传感器（选用带金属保护管的传感器），重新固定测温元件（涂抹导热硅脂减少热阻），将信号电缆与动力电缆分开敷设（间距＞30cm）。某案例中，通过更换老化的测温电阻导线和优化电缆敷设路径，温度显示误差从±5℃降至±1℃，恢复正常监控功能。</w:t>
      </w:r>
    </w:p>
    <w:p w14:paraId="7955B6D8">
      <w:r>
        <w:t>数据传输故障的诊断：检查数据传输链路，用ping命令测试PLC与上位机的通信（丢包率＞1%说明网络故障）；检查数据采集软件，查看是否有错误日志（如“传感器通信超时”）；检查供电电源，测量控制柜电压（应稳定在220±10V）。处理对策：修复网络故障（更换网线或交换机端口），重新安装数据采集软件，配备稳压器（稳压精度±1%）。通过这些措施，可确保数据传输中断时间＜1小时/月，满足环保部门对数据连续性的要求。</w:t>
      </w:r>
    </w:p>
    <w:p w14:paraId="427CEE70">
      <w:pPr>
        <w:pStyle w:val="4"/>
      </w:pPr>
      <w:r>
        <w:t>6.3 安全隐患故障诊断与处理</w:t>
      </w:r>
    </w:p>
    <w:p w14:paraId="2A87BBC6">
      <w:r>
        <w:t>安全隐患故障的诊断需遵循“安全第一、预防为主”原则，通过定期排查和专项检查发现问题。电气安全隐患的诊断方法：用接地电阻测试仪测量接地电阻（应＜4Ω），若超标，检查接地极是否腐蚀（更换镀锌接地极并增加数量）；用绝缘电阻表测量线路绝缘电阻（相间和对地均＞1MΩ），老化线路应更换（选用耐温105℃的阻燃电缆）；检查配电箱内元件，确保断路器额定电流与线路匹配（如10mm²铜线配32A断路器），接触器触点无烧蚀。处理对策：对未接地设备补做接地（如移动工具增加接地 pin），线路穿镀锌钢管保护，配电箱加装浪涌保护器（Imax≥40kA）。温州市某企业通过电气安全整改，将接地电阻从15Ω降至2Ω，线路绝缘电阻恢复至50MΩ，消除了触电风险。</w:t>
      </w:r>
    </w:p>
    <w:p w14:paraId="0B8D509B">
      <w:r>
        <w:t>火灾爆炸风险的诊断：检查活性炭吸附塔防爆泄压装置（泄压面积≥0.05m²/m³，泄压方向避开操作区），若缺失或堵塞，立即加装或清理；测试RTO温度联锁保护（人为模拟超温，应在5秒内切断燃气），若失效，检查温度传感器和控制程序；检查可燃气体报警器，用标准气体测试（响应时间＜30秒，报警浓度＜25%LEL），确保与排风系统联锁（报警时排风自动启动）。处理对策：在活性炭吸附塔顶部安装爆破片（爆破压力0.05MPa），更换老化的温度传感器和报警器，修订操作规程，明确动火作业前需进行气体检测（可燃气体浓度＜10%LEL）。某RTO设备通过增加超温联锁（温度＞900℃时紧急停机）和可燃气体报警联锁，未再发生温度失控事故。</w:t>
      </w:r>
    </w:p>
    <w:p w14:paraId="7E2E2D27">
      <w:r>
        <w:t>机械结构隐患的诊断：检查设备护栏和扶梯（高度≥1.2m，踏板防滑，扶手直径30-50mm），焊接点用敲击法检查（无裂纹）；测量风机振动（用振动仪测轴承座振动速度，应＜4.5mm/s），若超标，进行动平衡校正；检查RTO切换阀密封（用泄漏检测仪测量，泄漏率应＜0.5%），密封垫片老化时更换（选用耐高温石墨垫片）。处理对策：对护栏进行加高和加固，更换断裂的扶梯踏板，对风机叶轮进行动平衡（剩余不平衡量＜5g·mm），定期紧固管道支架（每季度1次）。通过这些措施，可将机械伤害事故发生率降至零，确保设备长期安全运行。</w:t>
      </w:r>
    </w:p>
    <w:p w14:paraId="1CB1C15F">
      <w:pPr>
        <w:pStyle w:val="3"/>
      </w:pPr>
      <w:r>
        <w:t>七、系统操作与维护保养</w:t>
      </w:r>
    </w:p>
    <w:p w14:paraId="54700950">
      <w:pPr>
        <w:pStyle w:val="4"/>
      </w:pPr>
      <w:r>
        <w:t>7.1 日常操作规范</w:t>
      </w:r>
    </w:p>
    <w:p w14:paraId="278AED3C">
      <w:r>
        <w:t>干变浇注车间废气处理系统烤房的日常操作需严格遵循规程，确保设备安全稳定运行和操作人员安全，主要包括班前检查、班中监控和班后整理。班前检查由操作人员在开机前30分钟进行，内容包括：设备外观检查（烤房门密封胶条无破损、管道无泄漏、阀门指示正常）；安全装置检查（急停按钮功能正常、防爆泄压装置无堵塞、可燃气体报警器显示零）；工艺参数确认（固化曲线设定正确、废气处理系统参数与生产计划匹配）；辅助系统检查（压缩空气压力≥0.6MPa、冷却水流量≥设计值90%、电源电压220±10V）。检查完成后填写《班前检查记录表》，发现异常立即报告班组长，严禁带故障开机。</w:t>
      </w:r>
    </w:p>
    <w:p w14:paraId="17FCE269">
      <w:r>
        <w:t>班中监控要求操作人员每小时巡检一次，重点关注以下参数：烤房温度（各阶段实际温度与设定值偏差≤±5℃）、废气处理系统进出口压力（布袋除尘器压差1200-1500Pa、RTO蓄热室压差500-800Pa）、VOCs在线监测浓度（出口≤30mg/m³）、设备运行声音（风机、泵无异常噪音）。巡检中发现温度异常波动（＞±10℃）、压力突变（压差变化＞20%）或报警信号，应立即查明原因并处理，无法解决时启动应急预案。操作人员需实时记录《运行参数记录表》，数据填写准确、清晰，不得涂改，确保可追溯性。此外，操作人员需严格执行劳动防护规定，进入烤房区域必须佩戴耐高温手套、护目镜和隔热面罩，避免高温烫伤。</w:t>
      </w:r>
    </w:p>
    <w:p w14:paraId="5EA10E68">
      <w:r>
        <w:t>班后整理在停机后进行，包括：清理烤房内散落的浇注料残渣（用专用工具，避免划伤内壁不锈钢板）；关闭各系统电源、气源（按“先停设备、后关总闸”顺序）；清洁操作台面和控制柜，保持设备周边整洁；填写《班后整理记录》，注明设备运行状况和遗留问题。对于连续运行的废气处理系统，需每班清理布袋除尘器灰斗（将粉尘装入密封袋，交危废处理单位）、检查喷淋塔液位和pH值（补充液位至1/2-2/3，pH值6-9），确保下一班次正常运行。</w:t>
      </w:r>
    </w:p>
    <w:p w14:paraId="691148B5">
      <w:pPr>
        <w:pStyle w:val="4"/>
      </w:pPr>
      <w:r>
        <w:t>7.2 定期维护保养</w:t>
      </w:r>
    </w:p>
    <w:p w14:paraId="1B4E8980">
      <w:r>
        <w:t>定期维护保养是延长设备寿命、预防故障的关键，根据周期分为每日保养、每周保养、每月保养和年度大修。每日保养由操作人员完成，内容包括：清理采样探头（用软毛刷清除表面灰尘）、检查滤袋清灰系统（脉冲阀动作是否正常，记录清灰次数）、排放管道排水（打开低点排水阀，排出冷凝水）。每周保养由维修人员进行，包括：检查加热管绝缘电阻（用绝缘电阻表测量＞10MΩ）、紧固电气连接端子（用扭矩扳手按规定力矩紧固）、校准温度传感器（用标准温度计对比，误差＞±1℃时校准）。</w:t>
      </w:r>
    </w:p>
    <w:p w14:paraId="7CFB8BB4">
      <w:r>
        <w:t>每月保养重点关注设备性能恢复，内容包括：活性炭吸附塔进出口浓度差检测（判断吸附效率，＜80%时安排再生）、催化燃烧催化剂活性测试（用标准气检测转化率，＜90%时再生）、RTO蓄热体阻力测量（超过1500Pa时吹扫）。更换易损件，如风机轴承润滑脂（型号锂基脂2号，加脂量为轴承腔1/2-2/3）、密封垫片（高温部位用石墨垫片，常温用丁腈橡胶垫片）。每月还需进行一次系统联动测试，模拟各种故障（如超温、浓度超标），检查联锁保护功能是否正常。</w:t>
      </w:r>
    </w:p>
    <w:p w14:paraId="2BF6C1C5">
      <w:r>
        <w:t>年度大修由专业维修团队进行，内容包括：解体检查关键设备（如RTO切换阀、风机叶轮），测量磨损量（如阀板密封面磨损＞0.5mm时堆焊修复）；更换老化部件（如使用超过3年的Pt100传感器、2年的活性炭）；进行性能测试，如烤房温度均匀性测试（空载和满载两种工况）、废气处理系统效率测试（进口浓度100-200mg/m³时，出口浓度＜30mg/m³）；对控制系统进行软件升级和数据备份。大修完成后，需进行试运行（连续运行72小时），各项参数达标后方可交付使用。维护保养需建立台账，记录保养内容、更换部件型号和数量、测试数据等，为设备管理提供依据。</w:t>
      </w:r>
    </w:p>
    <w:p w14:paraId="436CC004">
      <w:pPr>
        <w:pStyle w:val="4"/>
      </w:pPr>
      <w:r>
        <w:t>7.3 安全操作注意事项</w:t>
      </w:r>
    </w:p>
    <w:p w14:paraId="5978E714">
      <w:r>
        <w:t>安全操作是保障人身和设备安全的核心，需严格遵守以下注意事项：电气安全方面，操作人员必须持证上岗，严禁无证操作或违章带电作业；打开控制柜前必须执行“挂牌上锁”程序（LOTO），确认断电并验电；使用手持电动工具时，必须配备漏电保护器（动作电流≤30mA，动作时间≤0.1s）；雷雨天气应关闭非必要设备，防止雷击损坏。某企业因违章带电检修风机，导致触电事故，教训深刻，需引以为戒。</w:t>
      </w:r>
    </w:p>
    <w:p w14:paraId="69427F20">
      <w:r>
        <w:t>高空作业安全方面，攀登设备时必须使用合格的安全带（双钩式，定期检测），搭设的脚手架需验收合格（脚手板铺满、固定牢固）；作业高度超过2m时，必须设置安全网或防护栏杆；禁止在六级以上大风、暴雨、大雾等恶劣天气进行高空作业。进入受限空间（如烤房内部、RTO蓄热室）前，必须进行通风（通风时间≥30分钟）和气体检测（氧含量19.5%-23.5%，可燃气体＜10%LEL，有毒气体＜职业接触限值），作业时设专人监护，配备四合一气体检测仪和应急呼吸器。</w:t>
      </w:r>
    </w:p>
    <w:p w14:paraId="718AFF7B">
      <w:r>
        <w:t>危化品安全方面，活性炭、催化剂等耗材需储存在专用仓库（通风、干燥、远离火源），分类存放并标识（名称、危险性、数量）；废活性炭属于危险废物，需交有资质单位处理，转移时填写《危险废物转移联单》；使用燃气时，定期检查管道和阀门（用肥皂水检测泄漏），严禁明火检漏，燃气报警器需定期校准，确保有效。此外，设备运行中发现异常气味、异响或烟雾，应立即停机检查，严禁“带病运行”。通过严格执行安全操作注意事项，可有效预防安全事故，保障干变浇注车间废气处理系统烤房的安全稳定运行。</w:t>
      </w:r>
    </w:p>
    <w:p w14:paraId="065120A2">
      <w:pPr>
        <w:pStyle w:val="3"/>
      </w:pPr>
      <w:r>
        <w:t>八、附录</w:t>
      </w:r>
    </w:p>
    <w:p w14:paraId="44D258CC">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D84F57E">
        <w:tblPrEx>
          <w:tblCellMar>
            <w:top w:w="0" w:type="dxa"/>
            <w:left w:w="0" w:type="dxa"/>
            <w:bottom w:w="0" w:type="dxa"/>
            <w:right w:w="0" w:type="dxa"/>
          </w:tblCellMar>
        </w:tblPrEx>
        <w:tc>
          <w:tcPr>
            <w:tcW w:w="0" w:type="auto"/>
            <w:vAlign w:val="center"/>
          </w:tcPr>
          <w:p w14:paraId="567A46E1">
            <w:pPr>
              <w:jc w:val="center"/>
              <w:rPr>
                <w:b/>
              </w:rPr>
            </w:pPr>
            <w:r>
              <w:rPr>
                <w:b/>
              </w:rPr>
              <w:t>系统组成</w:t>
            </w:r>
          </w:p>
        </w:tc>
        <w:tc>
          <w:tcPr>
            <w:tcW w:w="0" w:type="auto"/>
            <w:vAlign w:val="center"/>
          </w:tcPr>
          <w:p w14:paraId="4DD47BD1">
            <w:pPr>
              <w:jc w:val="center"/>
              <w:rPr>
                <w:b/>
              </w:rPr>
            </w:pPr>
            <w:r>
              <w:rPr>
                <w:b/>
              </w:rPr>
              <w:t>设备名称</w:t>
            </w:r>
          </w:p>
        </w:tc>
        <w:tc>
          <w:tcPr>
            <w:tcW w:w="0" w:type="auto"/>
            <w:vAlign w:val="center"/>
          </w:tcPr>
          <w:p w14:paraId="2CA710B7">
            <w:pPr>
              <w:jc w:val="center"/>
              <w:rPr>
                <w:b/>
              </w:rPr>
            </w:pPr>
            <w:r>
              <w:rPr>
                <w:b/>
              </w:rPr>
              <w:t>技术参数</w:t>
            </w:r>
          </w:p>
        </w:tc>
        <w:tc>
          <w:tcPr>
            <w:tcW w:w="0" w:type="auto"/>
            <w:vAlign w:val="center"/>
          </w:tcPr>
          <w:p w14:paraId="7FE9718F">
            <w:pPr>
              <w:jc w:val="center"/>
              <w:rPr>
                <w:b/>
              </w:rPr>
            </w:pPr>
            <w:r>
              <w:rPr>
                <w:b/>
              </w:rPr>
              <w:t>单位</w:t>
            </w:r>
          </w:p>
        </w:tc>
      </w:tr>
      <w:tr w14:paraId="3F367A4E">
        <w:tblPrEx>
          <w:tblCellMar>
            <w:top w:w="0" w:type="dxa"/>
            <w:left w:w="0" w:type="dxa"/>
            <w:bottom w:w="0" w:type="dxa"/>
            <w:right w:w="0" w:type="dxa"/>
          </w:tblCellMar>
        </w:tblPrEx>
        <w:tc>
          <w:tcPr>
            <w:tcW w:w="0" w:type="auto"/>
            <w:vAlign w:val="center"/>
          </w:tcPr>
          <w:p w14:paraId="08B70ADB">
            <w:r>
              <w:t>烤房主体</w:t>
            </w:r>
          </w:p>
        </w:tc>
        <w:tc>
          <w:tcPr>
            <w:tcW w:w="0" w:type="auto"/>
            <w:vAlign w:val="center"/>
          </w:tcPr>
          <w:p w14:paraId="2CA85D1F">
            <w:r>
              <w:t>外形尺寸</w:t>
            </w:r>
          </w:p>
        </w:tc>
        <w:tc>
          <w:tcPr>
            <w:tcW w:w="0" w:type="auto"/>
            <w:vAlign w:val="center"/>
          </w:tcPr>
          <w:p w14:paraId="247E2335">
            <w:r>
              <w:t>小型：8-12×4-5×3-3.5；中型：12-18×5-6×3.5-4</w:t>
            </w:r>
          </w:p>
        </w:tc>
        <w:tc>
          <w:tcPr>
            <w:tcW w:w="0" w:type="auto"/>
            <w:vAlign w:val="center"/>
          </w:tcPr>
          <w:p w14:paraId="57E35639">
            <w:r>
              <w:t>m</w:t>
            </w:r>
          </w:p>
        </w:tc>
      </w:tr>
      <w:tr w14:paraId="3BE272EB">
        <w:tblPrEx>
          <w:tblCellMar>
            <w:top w:w="0" w:type="dxa"/>
            <w:left w:w="0" w:type="dxa"/>
            <w:bottom w:w="0" w:type="dxa"/>
            <w:right w:w="0" w:type="dxa"/>
          </w:tblCellMar>
        </w:tblPrEx>
        <w:tc>
          <w:tcPr>
            <w:tcW w:w="0" w:type="auto"/>
            <w:vAlign w:val="center"/>
          </w:tcPr>
          <w:p w14:paraId="4BF2932F"/>
        </w:tc>
        <w:tc>
          <w:tcPr>
            <w:tcW w:w="0" w:type="auto"/>
            <w:vAlign w:val="center"/>
          </w:tcPr>
          <w:p w14:paraId="020B72B0">
            <w:r>
              <w:t>有效容积</w:t>
            </w:r>
          </w:p>
        </w:tc>
        <w:tc>
          <w:tcPr>
            <w:tcW w:w="0" w:type="auto"/>
            <w:vAlign w:val="center"/>
          </w:tcPr>
          <w:p w14:paraId="3A35F30B">
            <w:r>
              <w:t>100-200（小型）；200-500（中型）</w:t>
            </w:r>
          </w:p>
        </w:tc>
        <w:tc>
          <w:tcPr>
            <w:tcW w:w="0" w:type="auto"/>
            <w:vAlign w:val="center"/>
          </w:tcPr>
          <w:p w14:paraId="27EBB1C5">
            <w:r>
              <w:t>m³</w:t>
            </w:r>
          </w:p>
        </w:tc>
      </w:tr>
      <w:tr w14:paraId="0E56667B">
        <w:tc>
          <w:tcPr>
            <w:tcW w:w="0" w:type="auto"/>
            <w:vAlign w:val="center"/>
          </w:tcPr>
          <w:p w14:paraId="20017BB9"/>
        </w:tc>
        <w:tc>
          <w:tcPr>
            <w:tcW w:w="0" w:type="auto"/>
            <w:vAlign w:val="center"/>
          </w:tcPr>
          <w:p w14:paraId="2866C796">
            <w:r>
              <w:t>加热功率</w:t>
            </w:r>
          </w:p>
        </w:tc>
        <w:tc>
          <w:tcPr>
            <w:tcW w:w="0" w:type="auto"/>
            <w:vAlign w:val="center"/>
          </w:tcPr>
          <w:p w14:paraId="67DD1BAF">
            <w:r>
              <w:t>固化区：36-48（小型）；48-72（中型）</w:t>
            </w:r>
          </w:p>
        </w:tc>
        <w:tc>
          <w:tcPr>
            <w:tcW w:w="0" w:type="auto"/>
            <w:vAlign w:val="center"/>
          </w:tcPr>
          <w:p w14:paraId="019CCA64">
            <w:r>
              <w:t>kW</w:t>
            </w:r>
          </w:p>
        </w:tc>
      </w:tr>
      <w:tr w14:paraId="4389860A">
        <w:tblPrEx>
          <w:tblCellMar>
            <w:top w:w="0" w:type="dxa"/>
            <w:left w:w="0" w:type="dxa"/>
            <w:bottom w:w="0" w:type="dxa"/>
            <w:right w:w="0" w:type="dxa"/>
          </w:tblCellMar>
        </w:tblPrEx>
        <w:tc>
          <w:tcPr>
            <w:tcW w:w="0" w:type="auto"/>
            <w:vAlign w:val="center"/>
          </w:tcPr>
          <w:p w14:paraId="05309C9A"/>
        </w:tc>
        <w:tc>
          <w:tcPr>
            <w:tcW w:w="0" w:type="auto"/>
            <w:vAlign w:val="center"/>
          </w:tcPr>
          <w:p w14:paraId="56D82F2C">
            <w:r>
              <w:t>温度范围</w:t>
            </w:r>
          </w:p>
        </w:tc>
        <w:tc>
          <w:tcPr>
            <w:tcW w:w="0" w:type="auto"/>
            <w:vAlign w:val="center"/>
          </w:tcPr>
          <w:p w14:paraId="671E4B98">
            <w:r>
              <w:t>60-200</w:t>
            </w:r>
          </w:p>
        </w:tc>
        <w:tc>
          <w:tcPr>
            <w:tcW w:w="0" w:type="auto"/>
            <w:vAlign w:val="center"/>
          </w:tcPr>
          <w:p w14:paraId="2C0F2093">
            <w:r>
              <w:t>℃</w:t>
            </w:r>
          </w:p>
        </w:tc>
      </w:tr>
      <w:tr w14:paraId="412422E3">
        <w:tblPrEx>
          <w:tblCellMar>
            <w:top w:w="0" w:type="dxa"/>
            <w:left w:w="0" w:type="dxa"/>
            <w:bottom w:w="0" w:type="dxa"/>
            <w:right w:w="0" w:type="dxa"/>
          </w:tblCellMar>
        </w:tblPrEx>
        <w:tc>
          <w:tcPr>
            <w:tcW w:w="0" w:type="auto"/>
            <w:vAlign w:val="center"/>
          </w:tcPr>
          <w:p w14:paraId="58F3D032"/>
        </w:tc>
        <w:tc>
          <w:tcPr>
            <w:tcW w:w="0" w:type="auto"/>
            <w:vAlign w:val="center"/>
          </w:tcPr>
          <w:p w14:paraId="7D15E7FE">
            <w:r>
              <w:t>温度均匀性</w:t>
            </w:r>
          </w:p>
        </w:tc>
        <w:tc>
          <w:tcPr>
            <w:tcW w:w="0" w:type="auto"/>
            <w:vAlign w:val="center"/>
          </w:tcPr>
          <w:p w14:paraId="0E82E377">
            <w:r>
              <w:t>±5</w:t>
            </w:r>
          </w:p>
        </w:tc>
        <w:tc>
          <w:tcPr>
            <w:tcW w:w="0" w:type="auto"/>
            <w:vAlign w:val="center"/>
          </w:tcPr>
          <w:p w14:paraId="1AF274F6">
            <w:r>
              <w:t>℃</w:t>
            </w:r>
          </w:p>
        </w:tc>
      </w:tr>
      <w:tr w14:paraId="63C3F600">
        <w:tblPrEx>
          <w:tblCellMar>
            <w:top w:w="0" w:type="dxa"/>
            <w:left w:w="0" w:type="dxa"/>
            <w:bottom w:w="0" w:type="dxa"/>
            <w:right w:w="0" w:type="dxa"/>
          </w:tblCellMar>
        </w:tblPrEx>
        <w:tc>
          <w:tcPr>
            <w:tcW w:w="0" w:type="auto"/>
            <w:vAlign w:val="center"/>
          </w:tcPr>
          <w:p w14:paraId="685426B7">
            <w:r>
              <w:t>废气收集系统</w:t>
            </w:r>
          </w:p>
        </w:tc>
        <w:tc>
          <w:tcPr>
            <w:tcW w:w="0" w:type="auto"/>
            <w:vAlign w:val="center"/>
          </w:tcPr>
          <w:p w14:paraId="5115D297">
            <w:r>
              <w:t>处理风量</w:t>
            </w:r>
          </w:p>
        </w:tc>
        <w:tc>
          <w:tcPr>
            <w:tcW w:w="0" w:type="auto"/>
            <w:vAlign w:val="center"/>
          </w:tcPr>
          <w:p w14:paraId="67ACB200">
            <w:r>
              <w:t>5000-10000（小型）；15000-30000（中型）</w:t>
            </w:r>
          </w:p>
        </w:tc>
        <w:tc>
          <w:tcPr>
            <w:tcW w:w="0" w:type="auto"/>
            <w:vAlign w:val="center"/>
          </w:tcPr>
          <w:p w14:paraId="2D2D4D5B">
            <w:r>
              <w:t>m³/h</w:t>
            </w:r>
          </w:p>
        </w:tc>
      </w:tr>
      <w:tr w14:paraId="512231EF">
        <w:tc>
          <w:tcPr>
            <w:tcW w:w="0" w:type="auto"/>
            <w:vAlign w:val="center"/>
          </w:tcPr>
          <w:p w14:paraId="2A2229DD"/>
        </w:tc>
        <w:tc>
          <w:tcPr>
            <w:tcW w:w="0" w:type="auto"/>
            <w:vAlign w:val="center"/>
          </w:tcPr>
          <w:p w14:paraId="50F1B99F">
            <w:r>
              <w:t>吸气口风速</w:t>
            </w:r>
          </w:p>
        </w:tc>
        <w:tc>
          <w:tcPr>
            <w:tcW w:w="0" w:type="auto"/>
            <w:vAlign w:val="center"/>
          </w:tcPr>
          <w:p w14:paraId="067CBFED">
            <w:r>
              <w:t>1.2-1.5</w:t>
            </w:r>
          </w:p>
        </w:tc>
        <w:tc>
          <w:tcPr>
            <w:tcW w:w="0" w:type="auto"/>
            <w:vAlign w:val="center"/>
          </w:tcPr>
          <w:p w14:paraId="391BA19E">
            <w:r>
              <w:t>m/s</w:t>
            </w:r>
          </w:p>
        </w:tc>
      </w:tr>
      <w:tr w14:paraId="2FA71AD4">
        <w:tblPrEx>
          <w:tblCellMar>
            <w:top w:w="0" w:type="dxa"/>
            <w:left w:w="0" w:type="dxa"/>
            <w:bottom w:w="0" w:type="dxa"/>
            <w:right w:w="0" w:type="dxa"/>
          </w:tblCellMar>
        </w:tblPrEx>
        <w:tc>
          <w:tcPr>
            <w:tcW w:w="0" w:type="auto"/>
            <w:vAlign w:val="center"/>
          </w:tcPr>
          <w:p w14:paraId="6935679B"/>
        </w:tc>
        <w:tc>
          <w:tcPr>
            <w:tcW w:w="0" w:type="auto"/>
            <w:vAlign w:val="center"/>
          </w:tcPr>
          <w:p w14:paraId="4E428DDF">
            <w:r>
              <w:t>管道风速</w:t>
            </w:r>
          </w:p>
        </w:tc>
        <w:tc>
          <w:tcPr>
            <w:tcW w:w="0" w:type="auto"/>
            <w:vAlign w:val="center"/>
          </w:tcPr>
          <w:p w14:paraId="771A7242">
            <w:r>
              <w:t>12-15</w:t>
            </w:r>
          </w:p>
        </w:tc>
        <w:tc>
          <w:tcPr>
            <w:tcW w:w="0" w:type="auto"/>
            <w:vAlign w:val="center"/>
          </w:tcPr>
          <w:p w14:paraId="5B031882">
            <w:r>
              <w:t>m/s</w:t>
            </w:r>
          </w:p>
        </w:tc>
      </w:tr>
      <w:tr w14:paraId="0ED5CEA8">
        <w:tblPrEx>
          <w:tblCellMar>
            <w:top w:w="0" w:type="dxa"/>
            <w:left w:w="0" w:type="dxa"/>
            <w:bottom w:w="0" w:type="dxa"/>
            <w:right w:w="0" w:type="dxa"/>
          </w:tblCellMar>
        </w:tblPrEx>
        <w:tc>
          <w:tcPr>
            <w:tcW w:w="0" w:type="auto"/>
            <w:vAlign w:val="center"/>
          </w:tcPr>
          <w:p w14:paraId="27670C9B">
            <w:r>
              <w:t>预处理装置</w:t>
            </w:r>
          </w:p>
        </w:tc>
        <w:tc>
          <w:tcPr>
            <w:tcW w:w="0" w:type="auto"/>
            <w:vAlign w:val="center"/>
          </w:tcPr>
          <w:p w14:paraId="7710E0AB">
            <w:r>
              <w:t>布袋除尘器</w:t>
            </w:r>
          </w:p>
        </w:tc>
        <w:tc>
          <w:tcPr>
            <w:tcW w:w="0" w:type="auto"/>
            <w:vAlign w:val="center"/>
          </w:tcPr>
          <w:p w14:paraId="06AEC0DA">
            <w:r>
              <w:t>滤袋材质：PPS；过滤精度：1μm；除尘效率：＞99%</w:t>
            </w:r>
          </w:p>
        </w:tc>
        <w:tc>
          <w:tcPr>
            <w:tcW w:w="0" w:type="auto"/>
            <w:vAlign w:val="center"/>
          </w:tcPr>
          <w:p w14:paraId="7CE2CCE3">
            <w:r>
              <w:t>-</w:t>
            </w:r>
          </w:p>
        </w:tc>
      </w:tr>
      <w:tr w14:paraId="1866301C">
        <w:tblPrEx>
          <w:tblCellMar>
            <w:top w:w="0" w:type="dxa"/>
            <w:left w:w="0" w:type="dxa"/>
            <w:bottom w:w="0" w:type="dxa"/>
            <w:right w:w="0" w:type="dxa"/>
          </w:tblCellMar>
        </w:tblPrEx>
        <w:tc>
          <w:tcPr>
            <w:tcW w:w="0" w:type="auto"/>
            <w:vAlign w:val="center"/>
          </w:tcPr>
          <w:p w14:paraId="552D1696"/>
        </w:tc>
        <w:tc>
          <w:tcPr>
            <w:tcW w:w="0" w:type="auto"/>
            <w:vAlign w:val="center"/>
          </w:tcPr>
          <w:p w14:paraId="17A3C553">
            <w:r>
              <w:t>风冷换热器</w:t>
            </w:r>
          </w:p>
        </w:tc>
        <w:tc>
          <w:tcPr>
            <w:tcW w:w="0" w:type="auto"/>
            <w:vAlign w:val="center"/>
          </w:tcPr>
          <w:p w14:paraId="046474FB">
            <w:r>
              <w:t>换热面积：50-100（小型）；100-200（中型）；降温效率：＞85%</w:t>
            </w:r>
          </w:p>
        </w:tc>
        <w:tc>
          <w:tcPr>
            <w:tcW w:w="0" w:type="auto"/>
            <w:vAlign w:val="center"/>
          </w:tcPr>
          <w:p w14:paraId="5CA28658">
            <w:r>
              <w:t>m²</w:t>
            </w:r>
          </w:p>
        </w:tc>
      </w:tr>
      <w:tr w14:paraId="322D0C2E">
        <w:tc>
          <w:tcPr>
            <w:tcW w:w="0" w:type="auto"/>
            <w:vAlign w:val="center"/>
          </w:tcPr>
          <w:p w14:paraId="09220239">
            <w:r>
              <w:t>净化处理单元</w:t>
            </w:r>
          </w:p>
        </w:tc>
        <w:tc>
          <w:tcPr>
            <w:tcW w:w="0" w:type="auto"/>
            <w:vAlign w:val="center"/>
          </w:tcPr>
          <w:p w14:paraId="2A280AF3">
            <w:r>
              <w:t>活性炭吸附塔</w:t>
            </w:r>
          </w:p>
        </w:tc>
        <w:tc>
          <w:tcPr>
            <w:tcW w:w="0" w:type="auto"/>
            <w:vAlign w:val="center"/>
          </w:tcPr>
          <w:p w14:paraId="1E513154">
            <w:r>
              <w:t>活性炭碘值：＞800；吸附效率：＞90%；空塔气速：0.8-1.2</w:t>
            </w:r>
          </w:p>
        </w:tc>
        <w:tc>
          <w:tcPr>
            <w:tcW w:w="0" w:type="auto"/>
            <w:vAlign w:val="center"/>
          </w:tcPr>
          <w:p w14:paraId="345ACBC8">
            <w:r>
              <w:t>mg/g；m/s</w:t>
            </w:r>
          </w:p>
        </w:tc>
      </w:tr>
      <w:tr w14:paraId="1BDE1BD1">
        <w:tblPrEx>
          <w:tblCellMar>
            <w:top w:w="0" w:type="dxa"/>
            <w:left w:w="0" w:type="dxa"/>
            <w:bottom w:w="0" w:type="dxa"/>
            <w:right w:w="0" w:type="dxa"/>
          </w:tblCellMar>
        </w:tblPrEx>
        <w:tc>
          <w:tcPr>
            <w:tcW w:w="0" w:type="auto"/>
            <w:vAlign w:val="center"/>
          </w:tcPr>
          <w:p w14:paraId="62B8A75B"/>
        </w:tc>
        <w:tc>
          <w:tcPr>
            <w:tcW w:w="0" w:type="auto"/>
            <w:vAlign w:val="center"/>
          </w:tcPr>
          <w:p w14:paraId="212FCF9C">
            <w:r>
              <w:t>催化燃烧装置</w:t>
            </w:r>
          </w:p>
        </w:tc>
        <w:tc>
          <w:tcPr>
            <w:tcW w:w="0" w:type="auto"/>
            <w:vAlign w:val="center"/>
          </w:tcPr>
          <w:p w14:paraId="550D38E1">
            <w:r>
              <w:t>催化剂：Pt-Pd贵金属；反应温度：250-400；净化效率：＞95%</w:t>
            </w:r>
          </w:p>
        </w:tc>
        <w:tc>
          <w:tcPr>
            <w:tcW w:w="0" w:type="auto"/>
            <w:vAlign w:val="center"/>
          </w:tcPr>
          <w:p w14:paraId="77240B0A">
            <w:r>
              <w:t>℃</w:t>
            </w:r>
          </w:p>
        </w:tc>
      </w:tr>
      <w:tr w14:paraId="23F7E06E">
        <w:tblPrEx>
          <w:tblCellMar>
            <w:top w:w="0" w:type="dxa"/>
            <w:left w:w="0" w:type="dxa"/>
            <w:bottom w:w="0" w:type="dxa"/>
            <w:right w:w="0" w:type="dxa"/>
          </w:tblCellMar>
        </w:tblPrEx>
        <w:tc>
          <w:tcPr>
            <w:tcW w:w="0" w:type="auto"/>
            <w:vAlign w:val="center"/>
          </w:tcPr>
          <w:p w14:paraId="41879316"/>
        </w:tc>
        <w:tc>
          <w:tcPr>
            <w:tcW w:w="0" w:type="auto"/>
            <w:vAlign w:val="center"/>
          </w:tcPr>
          <w:p w14:paraId="01517579">
            <w:r>
              <w:t>RTO蓄热式焚烧炉</w:t>
            </w:r>
          </w:p>
        </w:tc>
        <w:tc>
          <w:tcPr>
            <w:tcW w:w="0" w:type="auto"/>
            <w:vAlign w:val="center"/>
          </w:tcPr>
          <w:p w14:paraId="2B778E41">
            <w:r>
              <w:t>蓄热体材质：堇青石；焚烧温度：760-850；换热效率：＞95%；VOCs去除率：＞99%</w:t>
            </w:r>
          </w:p>
        </w:tc>
        <w:tc>
          <w:tcPr>
            <w:tcW w:w="0" w:type="auto"/>
            <w:vAlign w:val="center"/>
          </w:tcPr>
          <w:p w14:paraId="3572F627">
            <w:r>
              <w:t>℃</w:t>
            </w:r>
          </w:p>
        </w:tc>
      </w:tr>
      <w:tr w14:paraId="3A4A4A65">
        <w:tblPrEx>
          <w:tblCellMar>
            <w:top w:w="0" w:type="dxa"/>
            <w:left w:w="0" w:type="dxa"/>
            <w:bottom w:w="0" w:type="dxa"/>
            <w:right w:w="0" w:type="dxa"/>
          </w:tblCellMar>
        </w:tblPrEx>
        <w:tc>
          <w:tcPr>
            <w:tcW w:w="0" w:type="auto"/>
            <w:vAlign w:val="center"/>
          </w:tcPr>
          <w:p w14:paraId="26226620">
            <w:r>
              <w:t>控制系统</w:t>
            </w:r>
          </w:p>
        </w:tc>
        <w:tc>
          <w:tcPr>
            <w:tcW w:w="0" w:type="auto"/>
            <w:vAlign w:val="center"/>
          </w:tcPr>
          <w:p w14:paraId="75010563">
            <w:r>
              <w:t>PLC控制器</w:t>
            </w:r>
          </w:p>
        </w:tc>
        <w:tc>
          <w:tcPr>
            <w:tcW w:w="0" w:type="auto"/>
            <w:vAlign w:val="center"/>
          </w:tcPr>
          <w:p w14:paraId="3B8C65FB">
            <w:r>
              <w:t>型号：西门子S7-1200/S7-1500；I/O点数：32-64输入/32-64输出</w:t>
            </w:r>
          </w:p>
        </w:tc>
        <w:tc>
          <w:tcPr>
            <w:tcW w:w="0" w:type="auto"/>
            <w:vAlign w:val="center"/>
          </w:tcPr>
          <w:p w14:paraId="43DABF80">
            <w:r>
              <w:t>-</w:t>
            </w:r>
          </w:p>
        </w:tc>
      </w:tr>
      <w:tr w14:paraId="2374DD7E">
        <w:tc>
          <w:tcPr>
            <w:tcW w:w="0" w:type="auto"/>
            <w:vAlign w:val="center"/>
          </w:tcPr>
          <w:p w14:paraId="1020E1D3"/>
        </w:tc>
        <w:tc>
          <w:tcPr>
            <w:tcW w:w="0" w:type="auto"/>
            <w:vAlign w:val="center"/>
          </w:tcPr>
          <w:p w14:paraId="654045BE">
            <w:r>
              <w:t>温度传感器</w:t>
            </w:r>
          </w:p>
        </w:tc>
        <w:tc>
          <w:tcPr>
            <w:tcW w:w="0" w:type="auto"/>
            <w:vAlign w:val="center"/>
          </w:tcPr>
          <w:p w14:paraId="7265F3CA">
            <w:r>
              <w:t>类型：Pt100；测量范围：-50-250；精度：±1%FS</w:t>
            </w:r>
          </w:p>
        </w:tc>
        <w:tc>
          <w:tcPr>
            <w:tcW w:w="0" w:type="auto"/>
            <w:vAlign w:val="center"/>
          </w:tcPr>
          <w:p w14:paraId="4C916918">
            <w:r>
              <w:t>℃</w:t>
            </w:r>
          </w:p>
        </w:tc>
      </w:tr>
      <w:tr w14:paraId="082EE5A7">
        <w:tblPrEx>
          <w:tblCellMar>
            <w:top w:w="0" w:type="dxa"/>
            <w:left w:w="0" w:type="dxa"/>
            <w:bottom w:w="0" w:type="dxa"/>
            <w:right w:w="0" w:type="dxa"/>
          </w:tblCellMar>
        </w:tblPrEx>
        <w:tc>
          <w:tcPr>
            <w:tcW w:w="0" w:type="auto"/>
            <w:vAlign w:val="center"/>
          </w:tcPr>
          <w:p w14:paraId="6F1BE63B"/>
        </w:tc>
        <w:tc>
          <w:tcPr>
            <w:tcW w:w="0" w:type="auto"/>
            <w:vAlign w:val="center"/>
          </w:tcPr>
          <w:p w14:paraId="18F084F6">
            <w:r>
              <w:t>VOCs在线监测仪</w:t>
            </w:r>
          </w:p>
        </w:tc>
        <w:tc>
          <w:tcPr>
            <w:tcW w:w="0" w:type="auto"/>
            <w:vAlign w:val="center"/>
          </w:tcPr>
          <w:p w14:paraId="74BDEAAC">
            <w:r>
              <w:t>检测范围：0-2000；分辨率：0.1</w:t>
            </w:r>
          </w:p>
        </w:tc>
        <w:tc>
          <w:tcPr>
            <w:tcW w:w="0" w:type="auto"/>
            <w:vAlign w:val="center"/>
          </w:tcPr>
          <w:p w14:paraId="6720B624">
            <w:r>
              <w:t>mg/m³</w:t>
            </w:r>
          </w:p>
        </w:tc>
      </w:tr>
      <w:tr w14:paraId="4B57CC23">
        <w:tblPrEx>
          <w:tblCellMar>
            <w:top w:w="0" w:type="dxa"/>
            <w:left w:w="0" w:type="dxa"/>
            <w:bottom w:w="0" w:type="dxa"/>
            <w:right w:w="0" w:type="dxa"/>
          </w:tblCellMar>
        </w:tblPrEx>
        <w:tc>
          <w:tcPr>
            <w:tcW w:w="0" w:type="auto"/>
            <w:vAlign w:val="center"/>
          </w:tcPr>
          <w:p w14:paraId="125E1FC4">
            <w:r>
              <w:t>排放标准</w:t>
            </w:r>
          </w:p>
        </w:tc>
        <w:tc>
          <w:tcPr>
            <w:tcW w:w="0" w:type="auto"/>
            <w:vAlign w:val="center"/>
          </w:tcPr>
          <w:p w14:paraId="356D00B6">
            <w:r>
              <w:t>颗粒物</w:t>
            </w:r>
          </w:p>
        </w:tc>
        <w:tc>
          <w:tcPr>
            <w:tcW w:w="0" w:type="auto"/>
            <w:vAlign w:val="center"/>
          </w:tcPr>
          <w:p w14:paraId="6BF4FDD0">
            <w:r>
              <w:t>30</w:t>
            </w:r>
          </w:p>
        </w:tc>
        <w:tc>
          <w:tcPr>
            <w:tcW w:w="0" w:type="auto"/>
            <w:vAlign w:val="center"/>
          </w:tcPr>
          <w:p w14:paraId="73C1660F">
            <w:r>
              <w:t>mg/m³</w:t>
            </w:r>
          </w:p>
        </w:tc>
      </w:tr>
      <w:tr w14:paraId="4CAA8B6A">
        <w:tblPrEx>
          <w:tblCellMar>
            <w:top w:w="0" w:type="dxa"/>
            <w:left w:w="0" w:type="dxa"/>
            <w:bottom w:w="0" w:type="dxa"/>
            <w:right w:w="0" w:type="dxa"/>
          </w:tblCellMar>
        </w:tblPrEx>
        <w:tc>
          <w:tcPr>
            <w:tcW w:w="0" w:type="auto"/>
            <w:vAlign w:val="center"/>
          </w:tcPr>
          <w:p w14:paraId="2444EE63"/>
        </w:tc>
        <w:tc>
          <w:tcPr>
            <w:tcW w:w="0" w:type="auto"/>
            <w:vAlign w:val="center"/>
          </w:tcPr>
          <w:p w14:paraId="5371E66A">
            <w:r>
              <w:t>非甲烷总烃</w:t>
            </w:r>
          </w:p>
        </w:tc>
        <w:tc>
          <w:tcPr>
            <w:tcW w:w="0" w:type="auto"/>
            <w:vAlign w:val="center"/>
          </w:tcPr>
          <w:p w14:paraId="0C19752B">
            <w:r>
              <w:t>80</w:t>
            </w:r>
          </w:p>
        </w:tc>
        <w:tc>
          <w:tcPr>
            <w:tcW w:w="0" w:type="auto"/>
            <w:vAlign w:val="center"/>
          </w:tcPr>
          <w:p w14:paraId="2023A223">
            <w:r>
              <w:t>mg/m³</w:t>
            </w:r>
          </w:p>
        </w:tc>
      </w:tr>
      <w:tr w14:paraId="4F3C0E63">
        <w:tc>
          <w:tcPr>
            <w:tcW w:w="0" w:type="auto"/>
            <w:vAlign w:val="center"/>
          </w:tcPr>
          <w:p w14:paraId="5DEF2166"/>
        </w:tc>
        <w:tc>
          <w:tcPr>
            <w:tcW w:w="0" w:type="auto"/>
            <w:vAlign w:val="center"/>
          </w:tcPr>
          <w:p w14:paraId="596F24E0">
            <w:r>
              <w:t>苯</w:t>
            </w:r>
          </w:p>
        </w:tc>
        <w:tc>
          <w:tcPr>
            <w:tcW w:w="0" w:type="auto"/>
            <w:vAlign w:val="center"/>
          </w:tcPr>
          <w:p w14:paraId="7693AA2B">
            <w:r>
              <w:t>1</w:t>
            </w:r>
          </w:p>
        </w:tc>
        <w:tc>
          <w:tcPr>
            <w:tcW w:w="0" w:type="auto"/>
            <w:vAlign w:val="center"/>
          </w:tcPr>
          <w:p w14:paraId="5A1A09E4">
            <w:r>
              <w:t>mg/m³</w:t>
            </w:r>
          </w:p>
        </w:tc>
      </w:tr>
      <w:tr w14:paraId="2DF5D4F5">
        <w:tblPrEx>
          <w:tblCellMar>
            <w:top w:w="0" w:type="dxa"/>
            <w:left w:w="0" w:type="dxa"/>
            <w:bottom w:w="0" w:type="dxa"/>
            <w:right w:w="0" w:type="dxa"/>
          </w:tblCellMar>
        </w:tblPrEx>
        <w:tc>
          <w:tcPr>
            <w:tcW w:w="0" w:type="auto"/>
            <w:vAlign w:val="center"/>
          </w:tcPr>
          <w:p w14:paraId="4D9BC16E"/>
        </w:tc>
        <w:tc>
          <w:tcPr>
            <w:tcW w:w="0" w:type="auto"/>
            <w:vAlign w:val="center"/>
          </w:tcPr>
          <w:p w14:paraId="33EEE7C9">
            <w:r>
              <w:t>甲苯与二甲苯总和</w:t>
            </w:r>
          </w:p>
        </w:tc>
        <w:tc>
          <w:tcPr>
            <w:tcW w:w="0" w:type="auto"/>
            <w:vAlign w:val="center"/>
          </w:tcPr>
          <w:p w14:paraId="1266F03A">
            <w:r>
              <w:t>40</w:t>
            </w:r>
          </w:p>
        </w:tc>
        <w:tc>
          <w:tcPr>
            <w:tcW w:w="0" w:type="auto"/>
            <w:vAlign w:val="center"/>
          </w:tcPr>
          <w:p w14:paraId="6975226B">
            <w:r>
              <w:t>mg/m³</w:t>
            </w:r>
          </w:p>
        </w:tc>
      </w:tr>
    </w:tbl>
    <w:p w14:paraId="1CBE15B8">
      <w:pPr>
        <w:pStyle w:val="4"/>
      </w:pPr>
      <w:r>
        <w:t>8.2 图表索引</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C4B6876">
        <w:tblPrEx>
          <w:tblCellMar>
            <w:top w:w="0" w:type="dxa"/>
            <w:left w:w="0" w:type="dxa"/>
            <w:bottom w:w="0" w:type="dxa"/>
            <w:right w:w="0" w:type="dxa"/>
          </w:tblCellMar>
        </w:tblPrEx>
        <w:tc>
          <w:tcPr>
            <w:tcW w:w="0" w:type="auto"/>
            <w:vAlign w:val="center"/>
          </w:tcPr>
          <w:p w14:paraId="337B3891">
            <w:pPr>
              <w:jc w:val="center"/>
              <w:rPr>
                <w:b/>
              </w:rPr>
            </w:pPr>
            <w:r>
              <w:rPr>
                <w:b/>
              </w:rPr>
              <w:t>图表编号</w:t>
            </w:r>
          </w:p>
        </w:tc>
        <w:tc>
          <w:tcPr>
            <w:tcW w:w="0" w:type="auto"/>
            <w:vAlign w:val="center"/>
          </w:tcPr>
          <w:p w14:paraId="7B1C0789">
            <w:pPr>
              <w:jc w:val="center"/>
              <w:rPr>
                <w:b/>
              </w:rPr>
            </w:pPr>
            <w:r>
              <w:rPr>
                <w:b/>
              </w:rPr>
              <w:t>图表名称</w:t>
            </w:r>
          </w:p>
        </w:tc>
        <w:tc>
          <w:tcPr>
            <w:tcW w:w="0" w:type="auto"/>
            <w:vAlign w:val="center"/>
          </w:tcPr>
          <w:p w14:paraId="5ACF00C8">
            <w:pPr>
              <w:jc w:val="center"/>
              <w:rPr>
                <w:b/>
              </w:rPr>
            </w:pPr>
            <w:r>
              <w:rPr>
                <w:b/>
              </w:rPr>
              <w:t>对应章节</w:t>
            </w:r>
          </w:p>
        </w:tc>
        <w:tc>
          <w:tcPr>
            <w:tcW w:w="0" w:type="auto"/>
            <w:vAlign w:val="center"/>
          </w:tcPr>
          <w:p w14:paraId="6020A2E4">
            <w:pPr>
              <w:jc w:val="center"/>
              <w:rPr>
                <w:b/>
              </w:rPr>
            </w:pPr>
            <w:r>
              <w:rPr>
                <w:b/>
              </w:rPr>
              <w:t>页码范围</w:t>
            </w:r>
          </w:p>
        </w:tc>
      </w:tr>
      <w:tr w14:paraId="02A7D459">
        <w:tblPrEx>
          <w:tblCellMar>
            <w:top w:w="0" w:type="dxa"/>
            <w:left w:w="0" w:type="dxa"/>
            <w:bottom w:w="0" w:type="dxa"/>
            <w:right w:w="0" w:type="dxa"/>
          </w:tblCellMar>
        </w:tblPrEx>
        <w:tc>
          <w:tcPr>
            <w:tcW w:w="0" w:type="auto"/>
            <w:vAlign w:val="center"/>
          </w:tcPr>
          <w:p w14:paraId="5DF9F408">
            <w:r>
              <w:t>图2-1</w:t>
            </w:r>
          </w:p>
        </w:tc>
        <w:tc>
          <w:tcPr>
            <w:tcW w:w="0" w:type="auto"/>
            <w:vAlign w:val="center"/>
          </w:tcPr>
          <w:p w14:paraId="08B5F2AE">
            <w:r>
              <w:t>烤房三维结构示意图</w:t>
            </w:r>
          </w:p>
        </w:tc>
        <w:tc>
          <w:tcPr>
            <w:tcW w:w="0" w:type="auto"/>
            <w:vAlign w:val="center"/>
          </w:tcPr>
          <w:p w14:paraId="2E4B97AF">
            <w:r>
              <w:t>2.1</w:t>
            </w:r>
          </w:p>
        </w:tc>
        <w:tc>
          <w:tcPr>
            <w:tcW w:w="0" w:type="auto"/>
            <w:vAlign w:val="center"/>
          </w:tcPr>
          <w:p w14:paraId="32942DCE">
            <w:r>
              <w:t>12-13</w:t>
            </w:r>
          </w:p>
        </w:tc>
      </w:tr>
      <w:tr w14:paraId="5CB127BB">
        <w:tblPrEx>
          <w:tblCellMar>
            <w:top w:w="0" w:type="dxa"/>
            <w:left w:w="0" w:type="dxa"/>
            <w:bottom w:w="0" w:type="dxa"/>
            <w:right w:w="0" w:type="dxa"/>
          </w:tblCellMar>
        </w:tblPrEx>
        <w:tc>
          <w:tcPr>
            <w:tcW w:w="0" w:type="auto"/>
            <w:vAlign w:val="center"/>
          </w:tcPr>
          <w:p w14:paraId="6F314EFE">
            <w:r>
              <w:t>图2-2</w:t>
            </w:r>
          </w:p>
        </w:tc>
        <w:tc>
          <w:tcPr>
            <w:tcW w:w="0" w:type="auto"/>
            <w:vAlign w:val="center"/>
          </w:tcPr>
          <w:p w14:paraId="209CBBBE">
            <w:r>
              <w:t>废气收集系统气流分布示意图</w:t>
            </w:r>
          </w:p>
        </w:tc>
        <w:tc>
          <w:tcPr>
            <w:tcW w:w="0" w:type="auto"/>
            <w:vAlign w:val="center"/>
          </w:tcPr>
          <w:p w14:paraId="226D3517">
            <w:r>
              <w:t>2.2</w:t>
            </w:r>
          </w:p>
        </w:tc>
        <w:tc>
          <w:tcPr>
            <w:tcW w:w="0" w:type="auto"/>
            <w:vAlign w:val="center"/>
          </w:tcPr>
          <w:p w14:paraId="60C58721">
            <w:r>
              <w:t>15-16</w:t>
            </w:r>
          </w:p>
        </w:tc>
      </w:tr>
      <w:tr w14:paraId="4450252B">
        <w:tc>
          <w:tcPr>
            <w:tcW w:w="0" w:type="auto"/>
            <w:vAlign w:val="center"/>
          </w:tcPr>
          <w:p w14:paraId="679ED3A9">
            <w:r>
              <w:t>图2-3</w:t>
            </w:r>
          </w:p>
        </w:tc>
        <w:tc>
          <w:tcPr>
            <w:tcW w:w="0" w:type="auto"/>
            <w:vAlign w:val="center"/>
          </w:tcPr>
          <w:p w14:paraId="22036A7F">
            <w:r>
              <w:t>预处理装置结构分解图</w:t>
            </w:r>
          </w:p>
        </w:tc>
        <w:tc>
          <w:tcPr>
            <w:tcW w:w="0" w:type="auto"/>
            <w:vAlign w:val="center"/>
          </w:tcPr>
          <w:p w14:paraId="57EB5E69">
            <w:r>
              <w:t>2.3</w:t>
            </w:r>
          </w:p>
        </w:tc>
        <w:tc>
          <w:tcPr>
            <w:tcW w:w="0" w:type="auto"/>
            <w:vAlign w:val="center"/>
          </w:tcPr>
          <w:p w14:paraId="16C8CAA4">
            <w:r>
              <w:t>18-19</w:t>
            </w:r>
          </w:p>
        </w:tc>
      </w:tr>
      <w:tr w14:paraId="58852CAE">
        <w:tblPrEx>
          <w:tblCellMar>
            <w:top w:w="0" w:type="dxa"/>
            <w:left w:w="0" w:type="dxa"/>
            <w:bottom w:w="0" w:type="dxa"/>
            <w:right w:w="0" w:type="dxa"/>
          </w:tblCellMar>
        </w:tblPrEx>
        <w:tc>
          <w:tcPr>
            <w:tcW w:w="0" w:type="auto"/>
            <w:vAlign w:val="center"/>
          </w:tcPr>
          <w:p w14:paraId="7A802AF1">
            <w:r>
              <w:t>图2-4</w:t>
            </w:r>
          </w:p>
        </w:tc>
        <w:tc>
          <w:tcPr>
            <w:tcW w:w="0" w:type="auto"/>
            <w:vAlign w:val="center"/>
          </w:tcPr>
          <w:p w14:paraId="6E7379E5">
            <w:r>
              <w:t>RTO蓄热式焚烧炉剖视图</w:t>
            </w:r>
          </w:p>
        </w:tc>
        <w:tc>
          <w:tcPr>
            <w:tcW w:w="0" w:type="auto"/>
            <w:vAlign w:val="center"/>
          </w:tcPr>
          <w:p w14:paraId="38DF3203">
            <w:r>
              <w:t>2.4</w:t>
            </w:r>
          </w:p>
        </w:tc>
        <w:tc>
          <w:tcPr>
            <w:tcW w:w="0" w:type="auto"/>
            <w:vAlign w:val="center"/>
          </w:tcPr>
          <w:p w14:paraId="45F0E19A">
            <w:r>
              <w:t>21-22</w:t>
            </w:r>
          </w:p>
        </w:tc>
      </w:tr>
      <w:tr w14:paraId="4A43E4D0">
        <w:tblPrEx>
          <w:tblCellMar>
            <w:top w:w="0" w:type="dxa"/>
            <w:left w:w="0" w:type="dxa"/>
            <w:bottom w:w="0" w:type="dxa"/>
            <w:right w:w="0" w:type="dxa"/>
          </w:tblCellMar>
        </w:tblPrEx>
        <w:tc>
          <w:tcPr>
            <w:tcW w:w="0" w:type="auto"/>
            <w:vAlign w:val="center"/>
          </w:tcPr>
          <w:p w14:paraId="2CB62815">
            <w:r>
              <w:t>图3-1</w:t>
            </w:r>
          </w:p>
        </w:tc>
        <w:tc>
          <w:tcPr>
            <w:tcW w:w="0" w:type="auto"/>
            <w:vAlign w:val="center"/>
          </w:tcPr>
          <w:p w14:paraId="387849E1">
            <w:r>
              <w:t>烤房整体工作流程图</w:t>
            </w:r>
          </w:p>
        </w:tc>
        <w:tc>
          <w:tcPr>
            <w:tcW w:w="0" w:type="auto"/>
            <w:vAlign w:val="center"/>
          </w:tcPr>
          <w:p w14:paraId="4C934DF1">
            <w:r>
              <w:t>3.1</w:t>
            </w:r>
          </w:p>
        </w:tc>
        <w:tc>
          <w:tcPr>
            <w:tcW w:w="0" w:type="auto"/>
            <w:vAlign w:val="center"/>
          </w:tcPr>
          <w:p w14:paraId="60EC3914">
            <w:r>
              <w:t>28-29</w:t>
            </w:r>
          </w:p>
        </w:tc>
      </w:tr>
      <w:tr w14:paraId="27C4F57E">
        <w:tblPrEx>
          <w:tblCellMar>
            <w:top w:w="0" w:type="dxa"/>
            <w:left w:w="0" w:type="dxa"/>
            <w:bottom w:w="0" w:type="dxa"/>
            <w:right w:w="0" w:type="dxa"/>
          </w:tblCellMar>
        </w:tblPrEx>
        <w:tc>
          <w:tcPr>
            <w:tcW w:w="0" w:type="auto"/>
            <w:vAlign w:val="center"/>
          </w:tcPr>
          <w:p w14:paraId="131AE4FB">
            <w:r>
              <w:t>图3-2</w:t>
            </w:r>
          </w:p>
        </w:tc>
        <w:tc>
          <w:tcPr>
            <w:tcW w:w="0" w:type="auto"/>
            <w:vAlign w:val="center"/>
          </w:tcPr>
          <w:p w14:paraId="26B3FBCA">
            <w:r>
              <w:t>烤房气流组织模拟图</w:t>
            </w:r>
          </w:p>
        </w:tc>
        <w:tc>
          <w:tcPr>
            <w:tcW w:w="0" w:type="auto"/>
            <w:vAlign w:val="center"/>
          </w:tcPr>
          <w:p w14:paraId="1C3A7211">
            <w:r>
              <w:t>3.2</w:t>
            </w:r>
          </w:p>
        </w:tc>
        <w:tc>
          <w:tcPr>
            <w:tcW w:w="0" w:type="auto"/>
            <w:vAlign w:val="center"/>
          </w:tcPr>
          <w:p w14:paraId="41119436">
            <w:r>
              <w:t>31-32</w:t>
            </w:r>
          </w:p>
        </w:tc>
      </w:tr>
      <w:tr w14:paraId="0C967F04">
        <w:tc>
          <w:tcPr>
            <w:tcW w:w="0" w:type="auto"/>
            <w:vAlign w:val="center"/>
          </w:tcPr>
          <w:p w14:paraId="2735A314">
            <w:r>
              <w:t>图3-3</w:t>
            </w:r>
          </w:p>
        </w:tc>
        <w:tc>
          <w:tcPr>
            <w:tcW w:w="0" w:type="auto"/>
            <w:vAlign w:val="center"/>
          </w:tcPr>
          <w:p w14:paraId="64A0C3E2">
            <w:r>
              <w:t>RTO工作原理循环示意图</w:t>
            </w:r>
          </w:p>
        </w:tc>
        <w:tc>
          <w:tcPr>
            <w:tcW w:w="0" w:type="auto"/>
            <w:vAlign w:val="center"/>
          </w:tcPr>
          <w:p w14:paraId="79599B6C">
            <w:r>
              <w:t>3.3</w:t>
            </w:r>
          </w:p>
        </w:tc>
        <w:tc>
          <w:tcPr>
            <w:tcW w:w="0" w:type="auto"/>
            <w:vAlign w:val="center"/>
          </w:tcPr>
          <w:p w14:paraId="1FDF5975">
            <w:r>
              <w:t>35-36</w:t>
            </w:r>
          </w:p>
        </w:tc>
      </w:tr>
      <w:tr w14:paraId="050C89A5">
        <w:tblPrEx>
          <w:tblCellMar>
            <w:top w:w="0" w:type="dxa"/>
            <w:left w:w="0" w:type="dxa"/>
            <w:bottom w:w="0" w:type="dxa"/>
            <w:right w:w="0" w:type="dxa"/>
          </w:tblCellMar>
        </w:tblPrEx>
        <w:tc>
          <w:tcPr>
            <w:tcW w:w="0" w:type="auto"/>
            <w:vAlign w:val="center"/>
          </w:tcPr>
          <w:p w14:paraId="18BE2A75">
            <w:r>
              <w:t>图4-1</w:t>
            </w:r>
          </w:p>
        </w:tc>
        <w:tc>
          <w:tcPr>
            <w:tcW w:w="0" w:type="auto"/>
            <w:vAlign w:val="center"/>
          </w:tcPr>
          <w:p w14:paraId="25C4010C">
            <w:r>
              <w:t>控制系统架构框图</w:t>
            </w:r>
          </w:p>
        </w:tc>
        <w:tc>
          <w:tcPr>
            <w:tcW w:w="0" w:type="auto"/>
            <w:vAlign w:val="center"/>
          </w:tcPr>
          <w:p w14:paraId="38C39258">
            <w:r>
              <w:t>4.1</w:t>
            </w:r>
          </w:p>
        </w:tc>
        <w:tc>
          <w:tcPr>
            <w:tcW w:w="0" w:type="auto"/>
            <w:vAlign w:val="center"/>
          </w:tcPr>
          <w:p w14:paraId="5B9C251B">
            <w:r>
              <w:t>40-41</w:t>
            </w:r>
          </w:p>
        </w:tc>
      </w:tr>
      <w:tr w14:paraId="6ABDAFCD">
        <w:tblPrEx>
          <w:tblCellMar>
            <w:top w:w="0" w:type="dxa"/>
            <w:left w:w="0" w:type="dxa"/>
            <w:bottom w:w="0" w:type="dxa"/>
            <w:right w:w="0" w:type="dxa"/>
          </w:tblCellMar>
        </w:tblPrEx>
        <w:tc>
          <w:tcPr>
            <w:tcW w:w="0" w:type="auto"/>
            <w:vAlign w:val="center"/>
          </w:tcPr>
          <w:p w14:paraId="2D4405DA">
            <w:r>
              <w:t>图4-2</w:t>
            </w:r>
          </w:p>
        </w:tc>
        <w:tc>
          <w:tcPr>
            <w:tcW w:w="0" w:type="auto"/>
            <w:vAlign w:val="center"/>
          </w:tcPr>
          <w:p w14:paraId="2A608A25">
            <w:r>
              <w:t>温度控制流程图</w:t>
            </w:r>
          </w:p>
        </w:tc>
        <w:tc>
          <w:tcPr>
            <w:tcW w:w="0" w:type="auto"/>
            <w:vAlign w:val="center"/>
          </w:tcPr>
          <w:p w14:paraId="2FAAF69A">
            <w:r>
              <w:t>4.2</w:t>
            </w:r>
          </w:p>
        </w:tc>
        <w:tc>
          <w:tcPr>
            <w:tcW w:w="0" w:type="auto"/>
            <w:vAlign w:val="center"/>
          </w:tcPr>
          <w:p w14:paraId="5F66A307">
            <w:r>
              <w:t>43-44</w:t>
            </w:r>
          </w:p>
        </w:tc>
      </w:tr>
      <w:tr w14:paraId="5199E81E">
        <w:tblPrEx>
          <w:tblCellMar>
            <w:top w:w="0" w:type="dxa"/>
            <w:left w:w="0" w:type="dxa"/>
            <w:bottom w:w="0" w:type="dxa"/>
            <w:right w:w="0" w:type="dxa"/>
          </w:tblCellMar>
        </w:tblPrEx>
        <w:tc>
          <w:tcPr>
            <w:tcW w:w="0" w:type="auto"/>
            <w:vAlign w:val="center"/>
          </w:tcPr>
          <w:p w14:paraId="216594C5">
            <w:r>
              <w:t>图5-1</w:t>
            </w:r>
          </w:p>
        </w:tc>
        <w:tc>
          <w:tcPr>
            <w:tcW w:w="0" w:type="auto"/>
            <w:vAlign w:val="center"/>
          </w:tcPr>
          <w:p w14:paraId="72B7C2D4">
            <w:r>
              <w:t>设备性能下降故障趋势图</w:t>
            </w:r>
          </w:p>
        </w:tc>
        <w:tc>
          <w:tcPr>
            <w:tcW w:w="0" w:type="auto"/>
            <w:vAlign w:val="center"/>
          </w:tcPr>
          <w:p w14:paraId="2E0D16BB">
            <w:r>
              <w:t>5.1</w:t>
            </w:r>
          </w:p>
        </w:tc>
        <w:tc>
          <w:tcPr>
            <w:tcW w:w="0" w:type="auto"/>
            <w:vAlign w:val="center"/>
          </w:tcPr>
          <w:p w14:paraId="112C7AC1">
            <w:r>
              <w:t>50-51</w:t>
            </w:r>
          </w:p>
        </w:tc>
      </w:tr>
      <w:tr w14:paraId="67A0D85D">
        <w:tc>
          <w:tcPr>
            <w:tcW w:w="0" w:type="auto"/>
            <w:vAlign w:val="center"/>
          </w:tcPr>
          <w:p w14:paraId="2AF18622">
            <w:r>
              <w:t>图5-2</w:t>
            </w:r>
          </w:p>
        </w:tc>
        <w:tc>
          <w:tcPr>
            <w:tcW w:w="0" w:type="auto"/>
            <w:vAlign w:val="center"/>
          </w:tcPr>
          <w:p w14:paraId="3A79E9AD">
            <w:r>
              <w:t>监测数据失真故障树分析图</w:t>
            </w:r>
          </w:p>
        </w:tc>
        <w:tc>
          <w:tcPr>
            <w:tcW w:w="0" w:type="auto"/>
            <w:vAlign w:val="center"/>
          </w:tcPr>
          <w:p w14:paraId="7C9793C3">
            <w:r>
              <w:t>5.2</w:t>
            </w:r>
          </w:p>
        </w:tc>
        <w:tc>
          <w:tcPr>
            <w:tcW w:w="0" w:type="auto"/>
            <w:vAlign w:val="center"/>
          </w:tcPr>
          <w:p w14:paraId="548E1C46">
            <w:r>
              <w:t>54-55</w:t>
            </w:r>
          </w:p>
        </w:tc>
      </w:tr>
      <w:tr w14:paraId="1C832568">
        <w:tblPrEx>
          <w:tblCellMar>
            <w:top w:w="0" w:type="dxa"/>
            <w:left w:w="0" w:type="dxa"/>
            <w:bottom w:w="0" w:type="dxa"/>
            <w:right w:w="0" w:type="dxa"/>
          </w:tblCellMar>
        </w:tblPrEx>
        <w:tc>
          <w:tcPr>
            <w:tcW w:w="0" w:type="auto"/>
            <w:vAlign w:val="center"/>
          </w:tcPr>
          <w:p w14:paraId="1B48C1B9">
            <w:r>
              <w:t>图6-1</w:t>
            </w:r>
          </w:p>
        </w:tc>
        <w:tc>
          <w:tcPr>
            <w:tcW w:w="0" w:type="auto"/>
            <w:vAlign w:val="center"/>
          </w:tcPr>
          <w:p w14:paraId="6EAAF5B2">
            <w:r>
              <w:t>设备性能下降故障诊断流程图</w:t>
            </w:r>
          </w:p>
        </w:tc>
        <w:tc>
          <w:tcPr>
            <w:tcW w:w="0" w:type="auto"/>
            <w:vAlign w:val="center"/>
          </w:tcPr>
          <w:p w14:paraId="55BA032A">
            <w:r>
              <w:t>6.1</w:t>
            </w:r>
          </w:p>
        </w:tc>
        <w:tc>
          <w:tcPr>
            <w:tcW w:w="0" w:type="auto"/>
            <w:vAlign w:val="center"/>
          </w:tcPr>
          <w:p w14:paraId="23678E4B">
            <w:r>
              <w:t>60-61</w:t>
            </w:r>
          </w:p>
        </w:tc>
      </w:tr>
      <w:tr w14:paraId="5EB05B85">
        <w:tblPrEx>
          <w:tblCellMar>
            <w:top w:w="0" w:type="dxa"/>
            <w:left w:w="0" w:type="dxa"/>
            <w:bottom w:w="0" w:type="dxa"/>
            <w:right w:w="0" w:type="dxa"/>
          </w:tblCellMar>
        </w:tblPrEx>
        <w:tc>
          <w:tcPr>
            <w:tcW w:w="0" w:type="auto"/>
            <w:vAlign w:val="center"/>
          </w:tcPr>
          <w:p w14:paraId="0C8EDA7F">
            <w:r>
              <w:t>图6-2</w:t>
            </w:r>
          </w:p>
        </w:tc>
        <w:tc>
          <w:tcPr>
            <w:tcW w:w="0" w:type="auto"/>
            <w:vAlign w:val="center"/>
          </w:tcPr>
          <w:p w14:paraId="00BE2604">
            <w:r>
              <w:t>安全隐患应急处置流程图</w:t>
            </w:r>
          </w:p>
        </w:tc>
        <w:tc>
          <w:tcPr>
            <w:tcW w:w="0" w:type="auto"/>
            <w:vAlign w:val="center"/>
          </w:tcPr>
          <w:p w14:paraId="11B0E34D">
            <w:r>
              <w:t>6.3</w:t>
            </w:r>
          </w:p>
        </w:tc>
        <w:tc>
          <w:tcPr>
            <w:tcW w:w="0" w:type="auto"/>
            <w:vAlign w:val="center"/>
          </w:tcPr>
          <w:p w14:paraId="00207AEF">
            <w:r>
              <w:t>68-69</w:t>
            </w:r>
          </w:p>
        </w:tc>
      </w:tr>
      <w:tr w14:paraId="68801A52">
        <w:tblPrEx>
          <w:tblCellMar>
            <w:top w:w="0" w:type="dxa"/>
            <w:left w:w="0" w:type="dxa"/>
            <w:bottom w:w="0" w:type="dxa"/>
            <w:right w:w="0" w:type="dxa"/>
          </w:tblCellMar>
        </w:tblPrEx>
        <w:tc>
          <w:tcPr>
            <w:tcW w:w="0" w:type="auto"/>
            <w:vAlign w:val="center"/>
          </w:tcPr>
          <w:p w14:paraId="696B7E03">
            <w:r>
              <w:t>表1-1</w:t>
            </w:r>
          </w:p>
        </w:tc>
        <w:tc>
          <w:tcPr>
            <w:tcW w:w="0" w:type="auto"/>
            <w:vAlign w:val="center"/>
          </w:tcPr>
          <w:p w14:paraId="31263CBB">
            <w:r>
              <w:t>烤房主要技术参数表</w:t>
            </w:r>
          </w:p>
        </w:tc>
        <w:tc>
          <w:tcPr>
            <w:tcW w:w="0" w:type="auto"/>
            <w:vAlign w:val="center"/>
          </w:tcPr>
          <w:p w14:paraId="40C3374E">
            <w:r>
              <w:t>1.2</w:t>
            </w:r>
          </w:p>
        </w:tc>
        <w:tc>
          <w:tcPr>
            <w:tcW w:w="0" w:type="auto"/>
            <w:vAlign w:val="center"/>
          </w:tcPr>
          <w:p w14:paraId="313198E9">
            <w:r>
              <w:t>8</w:t>
            </w:r>
          </w:p>
        </w:tc>
      </w:tr>
      <w:tr w14:paraId="3BBB2B5C">
        <w:tc>
          <w:tcPr>
            <w:tcW w:w="0" w:type="auto"/>
            <w:vAlign w:val="center"/>
          </w:tcPr>
          <w:p w14:paraId="7166A4A6">
            <w:r>
              <w:t>表5-1</w:t>
            </w:r>
          </w:p>
        </w:tc>
        <w:tc>
          <w:tcPr>
            <w:tcW w:w="0" w:type="auto"/>
            <w:vAlign w:val="center"/>
          </w:tcPr>
          <w:p w14:paraId="584B0F62">
            <w:r>
              <w:t>常见故障现象与成因对照表</w:t>
            </w:r>
          </w:p>
        </w:tc>
        <w:tc>
          <w:tcPr>
            <w:tcW w:w="0" w:type="auto"/>
            <w:vAlign w:val="center"/>
          </w:tcPr>
          <w:p w14:paraId="65EB6B8F">
            <w:r>
              <w:t>5.1</w:t>
            </w:r>
          </w:p>
        </w:tc>
        <w:tc>
          <w:tcPr>
            <w:tcW w:w="0" w:type="auto"/>
            <w:vAlign w:val="center"/>
          </w:tcPr>
          <w:p w14:paraId="3AABC765">
            <w:r>
              <w:t>52</w:t>
            </w:r>
          </w:p>
        </w:tc>
      </w:tr>
      <w:tr w14:paraId="0119F374">
        <w:tblPrEx>
          <w:tblCellMar>
            <w:top w:w="0" w:type="dxa"/>
            <w:left w:w="0" w:type="dxa"/>
            <w:bottom w:w="0" w:type="dxa"/>
            <w:right w:w="0" w:type="dxa"/>
          </w:tblCellMar>
        </w:tblPrEx>
        <w:tc>
          <w:tcPr>
            <w:tcW w:w="0" w:type="auto"/>
            <w:vAlign w:val="center"/>
          </w:tcPr>
          <w:p w14:paraId="59CA5AD2">
            <w:r>
              <w:t>表7-1</w:t>
            </w:r>
          </w:p>
        </w:tc>
        <w:tc>
          <w:tcPr>
            <w:tcW w:w="0" w:type="auto"/>
            <w:vAlign w:val="center"/>
          </w:tcPr>
          <w:p w14:paraId="4726390B">
            <w:r>
              <w:t>定期维护保养计划表</w:t>
            </w:r>
          </w:p>
        </w:tc>
        <w:tc>
          <w:tcPr>
            <w:tcW w:w="0" w:type="auto"/>
            <w:vAlign w:val="center"/>
          </w:tcPr>
          <w:p w14:paraId="64FE4C07">
            <w:r>
              <w:t>7.2</w:t>
            </w:r>
          </w:p>
        </w:tc>
        <w:tc>
          <w:tcPr>
            <w:tcW w:w="0" w:type="auto"/>
            <w:vAlign w:val="center"/>
          </w:tcPr>
          <w:p w14:paraId="1C783890">
            <w:r>
              <w:t>78</w:t>
            </w:r>
          </w:p>
        </w:tc>
      </w:tr>
    </w:tbl>
    <w:p w14:paraId="3BFB70DE">
      <w:pPr>
        <w:pStyle w:val="4"/>
      </w:pPr>
      <w:r>
        <w:t>8.3 专业术语解释</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20B68D86">
        <w:tblPrEx>
          <w:tblCellMar>
            <w:top w:w="0" w:type="dxa"/>
            <w:left w:w="0" w:type="dxa"/>
            <w:bottom w:w="0" w:type="dxa"/>
            <w:right w:w="0" w:type="dxa"/>
          </w:tblCellMar>
        </w:tblPrEx>
        <w:tc>
          <w:tcPr>
            <w:tcW w:w="0" w:type="auto"/>
            <w:vAlign w:val="center"/>
          </w:tcPr>
          <w:p w14:paraId="52ACACE1">
            <w:pPr>
              <w:jc w:val="center"/>
              <w:rPr>
                <w:b/>
              </w:rPr>
            </w:pPr>
            <w:r>
              <w:rPr>
                <w:b/>
              </w:rPr>
              <w:t>术语</w:t>
            </w:r>
          </w:p>
        </w:tc>
        <w:tc>
          <w:tcPr>
            <w:tcW w:w="0" w:type="auto"/>
            <w:vAlign w:val="center"/>
          </w:tcPr>
          <w:p w14:paraId="4191E91A">
            <w:pPr>
              <w:jc w:val="center"/>
              <w:rPr>
                <w:b/>
              </w:rPr>
            </w:pPr>
            <w:r>
              <w:rPr>
                <w:b/>
              </w:rPr>
              <w:t>英文全称</w:t>
            </w:r>
          </w:p>
        </w:tc>
        <w:tc>
          <w:tcPr>
            <w:tcW w:w="0" w:type="auto"/>
            <w:vAlign w:val="center"/>
          </w:tcPr>
          <w:p w14:paraId="34011988">
            <w:pPr>
              <w:jc w:val="center"/>
              <w:rPr>
                <w:b/>
              </w:rPr>
            </w:pPr>
            <w:r>
              <w:rPr>
                <w:b/>
              </w:rPr>
              <w:t>解释</w:t>
            </w:r>
          </w:p>
        </w:tc>
      </w:tr>
      <w:tr w14:paraId="6E0F7476">
        <w:tblPrEx>
          <w:tblCellMar>
            <w:top w:w="0" w:type="dxa"/>
            <w:left w:w="0" w:type="dxa"/>
            <w:bottom w:w="0" w:type="dxa"/>
            <w:right w:w="0" w:type="dxa"/>
          </w:tblCellMar>
        </w:tblPrEx>
        <w:tc>
          <w:tcPr>
            <w:tcW w:w="0" w:type="auto"/>
            <w:vAlign w:val="center"/>
          </w:tcPr>
          <w:p w14:paraId="1206479A">
            <w:r>
              <w:t>VOCs</w:t>
            </w:r>
          </w:p>
        </w:tc>
        <w:tc>
          <w:tcPr>
            <w:tcW w:w="0" w:type="auto"/>
            <w:vAlign w:val="center"/>
          </w:tcPr>
          <w:p w14:paraId="45080FA5">
            <w:r>
              <w:t>Volatile Organic Compounds</w:t>
            </w:r>
          </w:p>
        </w:tc>
        <w:tc>
          <w:tcPr>
            <w:tcW w:w="0" w:type="auto"/>
            <w:vAlign w:val="center"/>
          </w:tcPr>
          <w:p w14:paraId="2B8A6FBD">
            <w:r>
              <w:t>挥发性有机物，指常温下饱和蒸气压＞70Pa、常压下沸点＜260℃的有机化合物，干变浇注过程中主要包括环氧氯丙烷、苯系物等。</w:t>
            </w:r>
          </w:p>
        </w:tc>
      </w:tr>
      <w:tr w14:paraId="6EEEC8F3">
        <w:tblPrEx>
          <w:tblCellMar>
            <w:top w:w="0" w:type="dxa"/>
            <w:left w:w="0" w:type="dxa"/>
            <w:bottom w:w="0" w:type="dxa"/>
            <w:right w:w="0" w:type="dxa"/>
          </w:tblCellMar>
        </w:tblPrEx>
        <w:tc>
          <w:tcPr>
            <w:tcW w:w="0" w:type="auto"/>
            <w:vAlign w:val="center"/>
          </w:tcPr>
          <w:p w14:paraId="55B4B0B5">
            <w:r>
              <w:t>RTO</w:t>
            </w:r>
          </w:p>
        </w:tc>
        <w:tc>
          <w:tcPr>
            <w:tcW w:w="0" w:type="auto"/>
            <w:vAlign w:val="center"/>
          </w:tcPr>
          <w:p w14:paraId="07FCB317">
            <w:r>
              <w:t>Regenerative Thermal Oxidizer</w:t>
            </w:r>
          </w:p>
        </w:tc>
        <w:tc>
          <w:tcPr>
            <w:tcW w:w="0" w:type="auto"/>
            <w:vAlign w:val="center"/>
          </w:tcPr>
          <w:p w14:paraId="3C51A0DD">
            <w:r>
              <w:t>蓄热式焚烧炉，通过蓄热体交替吸热和放热，将VOCs在高温下氧化分解为CO₂和H₂O，换热效率＞95%，适合大风量低浓度废气处理。</w:t>
            </w:r>
          </w:p>
        </w:tc>
      </w:tr>
      <w:tr w14:paraId="6C2DE6F4">
        <w:tc>
          <w:tcPr>
            <w:tcW w:w="0" w:type="auto"/>
            <w:vAlign w:val="center"/>
          </w:tcPr>
          <w:p w14:paraId="5DAEFF61">
            <w:r>
              <w:t>CO</w:t>
            </w:r>
          </w:p>
        </w:tc>
        <w:tc>
          <w:tcPr>
            <w:tcW w:w="0" w:type="auto"/>
            <w:vAlign w:val="center"/>
          </w:tcPr>
          <w:p w14:paraId="19818365">
            <w:r>
              <w:t>Catalytic Oxidizer</w:t>
            </w:r>
          </w:p>
        </w:tc>
        <w:tc>
          <w:tcPr>
            <w:tcW w:w="0" w:type="auto"/>
            <w:vAlign w:val="center"/>
          </w:tcPr>
          <w:p w14:paraId="6261420F">
            <w:r>
              <w:t>催化燃烧装置，在催化剂作用下，使VOCs在250-400℃低温氧化分解，起燃温度低、能耗小，适合中浓度VOCs处理。</w:t>
            </w:r>
          </w:p>
        </w:tc>
      </w:tr>
      <w:tr w14:paraId="3D6F3B2B">
        <w:tblPrEx>
          <w:tblCellMar>
            <w:top w:w="0" w:type="dxa"/>
            <w:left w:w="0" w:type="dxa"/>
            <w:bottom w:w="0" w:type="dxa"/>
            <w:right w:w="0" w:type="dxa"/>
          </w:tblCellMar>
        </w:tblPrEx>
        <w:tc>
          <w:tcPr>
            <w:tcW w:w="0" w:type="auto"/>
            <w:vAlign w:val="center"/>
          </w:tcPr>
          <w:p w14:paraId="68AEDE8B">
            <w:r>
              <w:t>PLC</w:t>
            </w:r>
          </w:p>
        </w:tc>
        <w:tc>
          <w:tcPr>
            <w:tcW w:w="0" w:type="auto"/>
            <w:vAlign w:val="center"/>
          </w:tcPr>
          <w:p w14:paraId="7AE9B0FD">
            <w:r>
              <w:t>Programmable Logic Controller</w:t>
            </w:r>
          </w:p>
        </w:tc>
        <w:tc>
          <w:tcPr>
            <w:tcW w:w="0" w:type="auto"/>
            <w:vAlign w:val="center"/>
          </w:tcPr>
          <w:p w14:paraId="1B948CBA">
            <w:r>
              <w:t>可编程逻辑控制器，通过数字或模拟输入/输出控制各种机械或生产过程，是废气处理系统控制系统的核心。</w:t>
            </w:r>
          </w:p>
        </w:tc>
      </w:tr>
      <w:tr w14:paraId="006F782E">
        <w:tblPrEx>
          <w:tblCellMar>
            <w:top w:w="0" w:type="dxa"/>
            <w:left w:w="0" w:type="dxa"/>
            <w:bottom w:w="0" w:type="dxa"/>
            <w:right w:w="0" w:type="dxa"/>
          </w:tblCellMar>
        </w:tblPrEx>
        <w:tc>
          <w:tcPr>
            <w:tcW w:w="0" w:type="auto"/>
            <w:vAlign w:val="center"/>
          </w:tcPr>
          <w:p w14:paraId="16F03BA8">
            <w:r>
              <w:t>PID</w:t>
            </w:r>
          </w:p>
        </w:tc>
        <w:tc>
          <w:tcPr>
            <w:tcW w:w="0" w:type="auto"/>
            <w:vAlign w:val="center"/>
          </w:tcPr>
          <w:p w14:paraId="721D5358">
            <w:r>
              <w:t>Proportional-Integral-Derivative</w:t>
            </w:r>
          </w:p>
        </w:tc>
        <w:tc>
          <w:tcPr>
            <w:tcW w:w="0" w:type="auto"/>
            <w:vAlign w:val="center"/>
          </w:tcPr>
          <w:p w14:paraId="3DAF414F">
            <w:r>
              <w:t>比例-积分-微分控制，一种闭环控制算法，通过调节比例、积分、微分参数，实现温度、压力等过程参数的精确控制。</w:t>
            </w:r>
          </w:p>
        </w:tc>
      </w:tr>
      <w:tr w14:paraId="352A658D">
        <w:tblPrEx>
          <w:tblCellMar>
            <w:top w:w="0" w:type="dxa"/>
            <w:left w:w="0" w:type="dxa"/>
            <w:bottom w:w="0" w:type="dxa"/>
            <w:right w:w="0" w:type="dxa"/>
          </w:tblCellMar>
        </w:tblPrEx>
        <w:tc>
          <w:tcPr>
            <w:tcW w:w="0" w:type="auto"/>
            <w:vAlign w:val="center"/>
          </w:tcPr>
          <w:p w14:paraId="6455D5B8">
            <w:r>
              <w:t>CEMS</w:t>
            </w:r>
          </w:p>
        </w:tc>
        <w:tc>
          <w:tcPr>
            <w:tcW w:w="0" w:type="auto"/>
            <w:vAlign w:val="center"/>
          </w:tcPr>
          <w:p w14:paraId="4994F337">
            <w:r>
              <w:t>Continuous Emission Monitoring System</w:t>
            </w:r>
          </w:p>
        </w:tc>
        <w:tc>
          <w:tcPr>
            <w:tcW w:w="0" w:type="auto"/>
            <w:vAlign w:val="center"/>
          </w:tcPr>
          <w:p w14:paraId="11001346">
            <w:r>
              <w:t>连续排放监测系统，实时监测废气排放浓度和排放量，并将数据上传至环保部门，是环保合规的重要设施。</w:t>
            </w:r>
          </w:p>
        </w:tc>
      </w:tr>
      <w:tr w14:paraId="08A97276">
        <w:tc>
          <w:tcPr>
            <w:tcW w:w="0" w:type="auto"/>
            <w:vAlign w:val="center"/>
          </w:tcPr>
          <w:p w14:paraId="20C904C7">
            <w:r>
              <w:t>Pt100</w:t>
            </w:r>
          </w:p>
        </w:tc>
        <w:tc>
          <w:tcPr>
            <w:tcW w:w="0" w:type="auto"/>
            <w:vAlign w:val="center"/>
          </w:tcPr>
          <w:p w14:paraId="2CCD0C1C">
            <w:r>
              <w:t>Platinum Resistance Thermometer</w:t>
            </w:r>
          </w:p>
        </w:tc>
        <w:tc>
          <w:tcPr>
            <w:tcW w:w="0" w:type="auto"/>
            <w:vAlign w:val="center"/>
          </w:tcPr>
          <w:p w14:paraId="642B116F">
            <w:r>
              <w:t>铂电阻温度计，利用铂电阻随温度变化的特性测量温度，精度高、稳定性好，广泛应用于烤房温度监测。</w:t>
            </w:r>
          </w:p>
        </w:tc>
      </w:tr>
      <w:tr w14:paraId="67D8FC40">
        <w:tblPrEx>
          <w:tblCellMar>
            <w:top w:w="0" w:type="dxa"/>
            <w:left w:w="0" w:type="dxa"/>
            <w:bottom w:w="0" w:type="dxa"/>
            <w:right w:w="0" w:type="dxa"/>
          </w:tblCellMar>
        </w:tblPrEx>
        <w:tc>
          <w:tcPr>
            <w:tcW w:w="0" w:type="auto"/>
            <w:vAlign w:val="center"/>
          </w:tcPr>
          <w:p w14:paraId="1A7ECCD3">
            <w:r>
              <w:t>吸附</w:t>
            </w:r>
          </w:p>
        </w:tc>
        <w:tc>
          <w:tcPr>
            <w:tcW w:w="0" w:type="auto"/>
            <w:vAlign w:val="center"/>
          </w:tcPr>
          <w:p w14:paraId="17F06286">
            <w:r>
              <w:t>Adsorption</w:t>
            </w:r>
          </w:p>
        </w:tc>
        <w:tc>
          <w:tcPr>
            <w:tcW w:w="0" w:type="auto"/>
            <w:vAlign w:val="center"/>
          </w:tcPr>
          <w:p w14:paraId="67921501">
            <w:r>
              <w:t>利用活性炭等吸附剂表面的微孔结构，将废气中的VOCs分子吸附在表面，实现分离净化的过程。</w:t>
            </w:r>
          </w:p>
        </w:tc>
      </w:tr>
      <w:tr w14:paraId="489573C6">
        <w:tblPrEx>
          <w:tblCellMar>
            <w:top w:w="0" w:type="dxa"/>
            <w:left w:w="0" w:type="dxa"/>
            <w:bottom w:w="0" w:type="dxa"/>
            <w:right w:w="0" w:type="dxa"/>
          </w:tblCellMar>
        </w:tblPrEx>
        <w:tc>
          <w:tcPr>
            <w:tcW w:w="0" w:type="auto"/>
            <w:vAlign w:val="center"/>
          </w:tcPr>
          <w:p w14:paraId="653CB6EE">
            <w:r>
              <w:t>脱附</w:t>
            </w:r>
          </w:p>
        </w:tc>
        <w:tc>
          <w:tcPr>
            <w:tcW w:w="0" w:type="auto"/>
            <w:vAlign w:val="center"/>
          </w:tcPr>
          <w:p w14:paraId="6DC72CA0">
            <w:r>
              <w:t>Desorption</w:t>
            </w:r>
          </w:p>
        </w:tc>
        <w:tc>
          <w:tcPr>
            <w:tcW w:w="0" w:type="auto"/>
            <w:vAlign w:val="center"/>
          </w:tcPr>
          <w:p w14:paraId="7C71C51F">
            <w:r>
              <w:t>通过加热或减压等方式，使吸附剂吸附的VOCs解析释放，恢复吸附剂吸附能力的过程，是活性炭再生的主要方法。</w:t>
            </w:r>
          </w:p>
        </w:tc>
      </w:tr>
      <w:tr w14:paraId="4DFA127C">
        <w:tblPrEx>
          <w:tblCellMar>
            <w:top w:w="0" w:type="dxa"/>
            <w:left w:w="0" w:type="dxa"/>
            <w:bottom w:w="0" w:type="dxa"/>
            <w:right w:w="0" w:type="dxa"/>
          </w:tblCellMar>
        </w:tblPrEx>
        <w:tc>
          <w:tcPr>
            <w:tcW w:w="0" w:type="auto"/>
            <w:vAlign w:val="center"/>
          </w:tcPr>
          <w:p w14:paraId="60A2EE2E">
            <w:r>
              <w:t>蓄热体</w:t>
            </w:r>
          </w:p>
        </w:tc>
        <w:tc>
          <w:tcPr>
            <w:tcW w:w="0" w:type="auto"/>
            <w:vAlign w:val="center"/>
          </w:tcPr>
          <w:p w14:paraId="4306E8BB">
            <w:r>
              <w:t>Regenerator</w:t>
            </w:r>
          </w:p>
        </w:tc>
        <w:tc>
          <w:tcPr>
            <w:tcW w:w="0" w:type="auto"/>
            <w:vAlign w:val="center"/>
          </w:tcPr>
          <w:p w14:paraId="004E9CCA">
            <w:r>
              <w:t>RTO中的核心部件，通常为陶瓷蜂窝结构，用于储存和释放热量，实现废气预热和净化气降温，提高热效率。</w:t>
            </w:r>
          </w:p>
        </w:tc>
      </w:tr>
    </w:tbl>
    <w:p w14:paraId="4C608015">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DB7F556D"/>
    <w:rsid w:val="F3EB132D"/>
    <w:rsid w:val="FEF70171"/>
    <w:rsid w:val="FF1B976E"/>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0DBE6EDE75462BD4EFC5E368ED2B5226_43</vt:lpwstr>
  </property>
  <property fmtid="{D5CDD505-2E9C-101B-9397-08002B2CF9AE}" pid="4" name="KSOTemplateDocerSaveRecord">
    <vt:lpwstr>eyJoZGlkIjoiNzI4YmNmYThhZjA0NTVhODllNDhjMGZiNmFkMDJjN2YiLCJ1c2VySWQiOiIxNjA5OTI0MDI0In0=</vt:lpwstr>
  </property>
</Properties>
</file>