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DD1A3">
      <w:pPr>
        <w:pStyle w:val="2"/>
      </w:pPr>
    </w:p>
    <w:p w14:paraId="15936C52">
      <w:pPr>
        <w:pStyle w:val="2"/>
      </w:pPr>
    </w:p>
    <w:p w14:paraId="6DFE2261">
      <w:pPr>
        <w:pStyle w:val="2"/>
      </w:pPr>
      <w:r>
        <w:t>干变浇注车间固化炉废气处理设备技术手册</w:t>
      </w:r>
    </w:p>
    <w:p w14:paraId="576E23A3">
      <w:pPr>
        <w:pStyle w:val="3"/>
      </w:pPr>
      <w:r>
        <w:t>一、前言</w:t>
      </w:r>
    </w:p>
    <w:p w14:paraId="62622486">
      <w:pPr>
        <w:pStyle w:val="4"/>
      </w:pPr>
      <w:r>
        <w:t>1.1 手册目的与适用范围</w:t>
      </w:r>
    </w:p>
    <w:p w14:paraId="34C7920E">
      <w:r>
        <w:t>本手册旨在为设备工程师、操作维护人员及环保管理人员提供干变浇注车间固化炉废气处理设备的系统性技术指导，内容涵盖设备结构组成、工作原理、操作流程、维护保养及故障诊断等核心环节，以确保设备安全稳定运行并满足环保排放要求。手册重点面向干式变压器制造企业的技术人员，可作为设备操作培训、日常维护及故障处理的标准化参考资料。</w:t>
      </w:r>
    </w:p>
    <w:p w14:paraId="084A87A3">
      <w:r>
        <w:t>本手册适用于处理风量10000-50000m³/h、VOCs浓度100-5000mg/m³的环氧固化废气处理系统，包括活性炭吸附装置、RCO催化燃烧设备、RTO蓄热焚烧炉及组合工艺设备（如“活性炭吸附浓缩+催化燃烧”系统）。具体涵盖以下设备类型：上海蓝阳环保LY-RCO系列催化燃烧设备、济南可迪尔RTO-30000型蓄热焚烧炉、苏州鑫蓝环保XL-ACF系列活性炭吸附塔等主流型号。</w:t>
      </w:r>
    </w:p>
    <w:p w14:paraId="3A3A0D91">
      <w:pPr>
        <w:pStyle w:val="4"/>
      </w:pPr>
      <w:r>
        <w:t>1.2 安全注意事项</w:t>
      </w:r>
    </w:p>
    <w:p w14:paraId="206CB26D">
      <w:r>
        <w:t>固化炉废气处理设备运行涉及高温、高压、电气系统及化学污染物，必须严格遵守以下安全规范，防止人身伤害或设备损坏：</w:t>
      </w:r>
    </w:p>
    <w:p w14:paraId="7C94F721">
      <w:r>
        <w:rPr>
          <w:b/>
        </w:rPr>
        <w:t>电气安全</w:t>
      </w:r>
      <w:r>
        <w:t>：设备必须可靠接地，接地电阻≤4Ω，接地线缆截面积不小于2.5mm²；控制柜防护等级不低于IP54，防止粉尘和湿气进入；维修电气部件时必须切断主电源并悬挂“禁止合闸”警示牌，使用绝缘工具（绝缘等级≥1000V），严禁带电操作。PLC及伺服系统等敏感电子元件需安装浪涌保护器（SPD，Imax≥40kA），防止雷击损坏。</w:t>
      </w:r>
    </w:p>
    <w:p w14:paraId="411F8569">
      <w:r>
        <w:rPr>
          <w:b/>
        </w:rPr>
        <w:t>机械安全</w:t>
      </w:r>
      <w:r>
        <w:t>：风机、泵类等旋转部件的防护罩必须完好闭合，防护罩网孔尺寸≤12mm，防止人体接触；进入活性炭吸附塔、RTO燃烧室等密闭空间检修前，必须执行“上锁挂牌”程序，检测氧含量≥19.5%且VOCs浓度≤25%LEL；设备检修平台护栏高度≥1.2m，踏板防滑系数≥0.8，确保登高作业安全。</w:t>
      </w:r>
    </w:p>
    <w:p w14:paraId="6ECAE16D">
      <w:r>
        <w:rPr>
          <w:b/>
        </w:rPr>
        <w:t>环保安全</w:t>
      </w:r>
      <w:r>
        <w:t>：废气处理系统需设置泄漏检测装置，检测浓度≤25%LEL，超标时立即启动声光报警并切断废气源；操作人员必须佩戴KN95级以上防尘防毒面具、耐高温手套及护目镜，处理酸性废气（如含HCl）时需配备洗眼器和应急冲淋装置，距离操作位不超过15m；废吸附剂、废催化剂等属于危险废物，需按《国家危险废物名录》分类存放，交由有资质单位处置。</w:t>
      </w:r>
    </w:p>
    <w:p w14:paraId="1AAC1EB8">
      <w:r>
        <w:rPr>
          <w:b/>
        </w:rPr>
        <w:t>高温安全</w:t>
      </w:r>
      <w:r>
        <w:t>：RTO/RCO设备表面温度超过60℃时，必须设置隔热层（导热系数≤0.1W/m·K）及“高温危险”警示标识；热交换器及高温管道采用岩棉保温（厚度≥80mm），防止人员烫伤；设备启动升温阶段，严禁打开燃烧室观察孔，避免高温气体喷射。</w:t>
      </w:r>
    </w:p>
    <w:p w14:paraId="7EA4C6D0">
      <w:pPr>
        <w:pStyle w:val="3"/>
      </w:pPr>
      <w:r>
        <w:t>二、设备概述</w:t>
      </w:r>
    </w:p>
    <w:p w14:paraId="461FE234">
      <w:pPr>
        <w:pStyle w:val="4"/>
      </w:pPr>
      <w:r>
        <w:t>2.1 设备定义与应用领域</w:t>
      </w:r>
    </w:p>
    <w:p w14:paraId="012A0178">
      <w:r>
        <w:t>干变浇注车间固化炉废气处理设备是用于净化干式变压器环氧浇注线圈固化过程中产生的挥发性有机废气（VOCs）及颗粒物的专用环保设备。在干式变压器制造流程中，环氧线圈需经固化炉高温（通常100-180℃）加热固化，此过程中环氧树脂、固化剂及稀释剂会挥发产生以苯系物（苯、甲苯、二甲苯）、醛类、胺类为主的有机废气，同时伴随少量环氧粉尘（粒径0.1-10μm，浓度20-80mg/m³）。</w:t>
      </w:r>
    </w:p>
    <w:p w14:paraId="4A4F4AE1">
      <w:r>
        <w:t>这些污染物若直接排放，不仅会刺激操作人员呼吸道、引发头晕等健康问题，还会参与大气光化学反应，加剧臭氧污染和PM2.5生成。根据《大气污染物综合排放标准》（GB 16297-1996）及地方环保要求，需通过专用设备将VOCs排放浓度控制在50mg/m³以下（重点区域）、颗粒物≤15mg/m³，厂界臭气浓度≤20（无量纲）。</w:t>
      </w:r>
    </w:p>
    <w:p w14:paraId="2FCA22AF">
      <w:r>
        <w:t>该设备主要应用于干式变压器、电抗器、互感器等采用环氧浇注工艺的电气设备生产车间。例如，某2500kVA干式变压器生产线，每批次线圈固化（约4小时）产生VOCs量15-20kg，需配套处理风量15000m³/h的废气处理系统，才能满足环保排放要求。此外，设备还可用于汽车零部件喷塑固化、家电涂装等行业的有机废气处理，但需根据废气成分调整净化工艺参数。</w:t>
      </w:r>
    </w:p>
    <w:p w14:paraId="7C625DA8">
      <w:pPr>
        <w:pStyle w:val="4"/>
      </w:pPr>
      <w:r>
        <w:t>2.2 设备分类与型号说明</w:t>
      </w:r>
    </w:p>
    <w:p w14:paraId="4F90E639">
      <w:r>
        <w:t>固化炉废气处理设备可按净化原理和处理规模分类，不同类型设备的适用场景和技术特点差异显著。</w:t>
      </w:r>
    </w:p>
    <w:p w14:paraId="05F15806">
      <w:r>
        <w:rPr>
          <w:b/>
        </w:rPr>
        <w:t>按净化原理分类</w:t>
      </w:r>
      <w:r>
        <w:t>：</w:t>
      </w:r>
    </w:p>
    <w:p w14:paraId="3E262429">
      <w:pPr>
        <w:numPr>
          <w:ilvl w:val="0"/>
          <w:numId w:val="13"/>
        </w:numPr>
        <w:spacing w:before="0" w:beforeAutospacing="1" w:after="0" w:afterAutospacing="1"/>
        <w:ind w:left="720" w:hanging="360"/>
      </w:pPr>
      <w:r>
        <w:rPr>
          <w:b/>
        </w:rPr>
        <w:t>吸附法设备</w:t>
      </w:r>
      <w:r>
        <w:t>：利用吸附剂（活性炭、沸石分子筛）的多孔结构吸附VOCs，适用于低浓度（≤1000mg/m³）、大风量废气。分为固定床吸附塔（结构简单，活性炭装填量200-500kg/台）和沸石转轮吸附浓缩设备（浓缩倍数10-20倍，适合连续运行）。例如苏州鑫蓝XL-ACF-15000型活性炭吸附塔，处理风量15000m³/h，对苯系物去除率≥95%。</w:t>
      </w:r>
    </w:p>
    <w:p w14:paraId="689A4A53">
      <w:pPr>
        <w:numPr>
          <w:ilvl w:val="0"/>
          <w:numId w:val="13"/>
        </w:numPr>
        <w:spacing w:before="0" w:beforeAutospacing="1" w:after="0" w:afterAutospacing="1"/>
        <w:ind w:left="720" w:hanging="360"/>
      </w:pPr>
      <w:r>
        <w:rPr>
          <w:b/>
        </w:rPr>
        <w:t>催化燃烧设备（RCO）</w:t>
      </w:r>
      <w:r>
        <w:t>：通过催化剂（Pt/Pd贵金属或非贵金属氧化物）将VOCs在200-400℃氧化分解为CO₂和H₂O，适用于中高浓度（1000-5000mg/m³）废气。上海蓝阳LY-RCO-20000型设备，配备板式催化床（催化剂负载量0.3%），处理风量20000m³/h，VOCs去除率≥98%，热效率≥90%。</w:t>
      </w:r>
    </w:p>
    <w:p w14:paraId="17FD4DB3">
      <w:pPr>
        <w:numPr>
          <w:ilvl w:val="0"/>
          <w:numId w:val="13"/>
        </w:numPr>
        <w:spacing w:before="0" w:beforeAutospacing="1" w:after="0" w:afterAutospacing="1"/>
        <w:ind w:left="720" w:hanging="360"/>
      </w:pPr>
      <w:r>
        <w:rPr>
          <w:b/>
        </w:rPr>
        <w:t>蓄热焚烧设备（RTO）</w:t>
      </w:r>
      <w:r>
        <w:t>：采用700-900℃高温氧化VOCs，通过陶瓷蓄热体回收热量，适用于高浓度（＞2000mg/m³）或复杂成分废气。济南可迪尔RTO-30000型三室式蓄热焚烧炉，处理风量30000m³/h，热效率＞95%，当VOCs浓度＞2500mg/m³时可实现自供热运行。</w:t>
      </w:r>
    </w:p>
    <w:p w14:paraId="186783BE">
      <w:pPr>
        <w:numPr>
          <w:ilvl w:val="0"/>
          <w:numId w:val="13"/>
        </w:numPr>
        <w:spacing w:before="0" w:beforeAutospacing="1" w:after="0" w:afterAutospacing="1"/>
        <w:ind w:left="720" w:hanging="360"/>
      </w:pPr>
      <w:r>
        <w:rPr>
          <w:b/>
        </w:rPr>
        <w:t>组合工艺设备</w:t>
      </w:r>
      <w:r>
        <w:t>：“吸附浓缩+催化燃烧/RTO”组合，解决低浓度废气处理能耗高的问题。例如“沸石转轮+RTO”系统，将1000mg/m³的废气浓缩至20000mg/m³后焚烧，能耗降低60%以上，适合干式变压器行业间歇式排放特点。</w:t>
      </w:r>
    </w:p>
    <w:p w14:paraId="33137D3D">
      <w:r>
        <w:rPr>
          <w:b/>
        </w:rPr>
        <w:t>按处理规模分类</w:t>
      </w:r>
      <w:r>
        <w:t>：</w:t>
      </w:r>
    </w:p>
    <w:p w14:paraId="5787DBCC">
      <w:pPr>
        <w:numPr>
          <w:ilvl w:val="0"/>
          <w:numId w:val="14"/>
        </w:numPr>
        <w:spacing w:before="0" w:beforeAutospacing="1" w:after="0" w:afterAutospacing="1"/>
        <w:ind w:left="720" w:hanging="360"/>
      </w:pPr>
      <w:r>
        <w:rPr>
          <w:b/>
        </w:rPr>
        <w:t>小型设备</w:t>
      </w:r>
      <w:r>
        <w:t>：处理风量＜10000m³/h，适用于单台小型固化炉（如实验室用），外形尺寸通常＜3m×2m×3m，采用模块化设计，安装便捷。</w:t>
      </w:r>
    </w:p>
    <w:p w14:paraId="0DC107CD">
      <w:pPr>
        <w:numPr>
          <w:ilvl w:val="0"/>
          <w:numId w:val="14"/>
        </w:numPr>
        <w:spacing w:before="0" w:beforeAutospacing="1" w:after="0" w:afterAutospacing="1"/>
        <w:ind w:left="720" w:hanging="360"/>
      </w:pPr>
      <w:r>
        <w:rPr>
          <w:b/>
        </w:rPr>
        <w:t>中型设备</w:t>
      </w:r>
      <w:r>
        <w:t>：处理风量10000-30000m³/h，匹配中小型生产线（如2-3台固化炉），需定制化设计管道系统，占地面积约10-30m²。</w:t>
      </w:r>
    </w:p>
    <w:p w14:paraId="296007ED">
      <w:pPr>
        <w:numPr>
          <w:ilvl w:val="0"/>
          <w:numId w:val="14"/>
        </w:numPr>
        <w:spacing w:before="0" w:beforeAutospacing="1" w:after="0" w:afterAutospacing="1"/>
        <w:ind w:left="720" w:hanging="360"/>
      </w:pPr>
      <w:r>
        <w:rPr>
          <w:b/>
        </w:rPr>
        <w:t>大型设备</w:t>
      </w:r>
      <w:r>
        <w:t>：处理风量＞30000m³/h，用于大型生产基地（如5台以上固化炉并联），通常采用多单元组合工艺，配备余热回收系统，可实现能源梯级利用。</w:t>
      </w:r>
    </w:p>
    <w:p w14:paraId="42E9D521">
      <w:r>
        <w:rPr>
          <w:b/>
        </w:rPr>
        <w:t>型号命名规则</w:t>
      </w:r>
      <w:r>
        <w:t>：以“RTO-30000”为例，“RTO”代表蓄热式焚烧技术，“30000”表示额定处理风量30000m³/h；“AC-15000”中“AC”代表活性炭吸附，“15000”为处理风量；“RCO-Z-20000”中“Z”表示带沸石转轮浓缩功能。国内主流厂家及代表型号包括：上海蓝阳LY-RCO系列、济南可迪尔RTO系列、苏州鑫蓝XL-ACF系列、深圳景澄达JCD-RTO系列等。</w:t>
      </w:r>
    </w:p>
    <w:p w14:paraId="33300707">
      <w:pPr>
        <w:pStyle w:val="4"/>
      </w:pPr>
      <w:r>
        <w:t>2.3 主要技术参数与性能指标</w:t>
      </w:r>
    </w:p>
    <w:p w14:paraId="34F86469">
      <w:r>
        <w:t>固化炉废气处理设备的关键技术参数直接决定其处理能力和环保达标性，以下为典型设备的核心参数汇总：</w:t>
      </w:r>
    </w:p>
    <w:p w14:paraId="7368D984">
      <w:r>
        <w:rPr>
          <w:b/>
        </w:rPr>
        <w:t>处理能力参数</w:t>
      </w:r>
      <w:r>
        <w:t>：</w:t>
      </w:r>
    </w:p>
    <w:p w14:paraId="060F872B">
      <w:pPr>
        <w:numPr>
          <w:ilvl w:val="0"/>
          <w:numId w:val="15"/>
        </w:numPr>
        <w:spacing w:before="0" w:beforeAutospacing="1" w:after="0" w:afterAutospacing="1"/>
        <w:ind w:left="720" w:hanging="360"/>
      </w:pPr>
      <w:r>
        <w:rPr>
          <w:b/>
        </w:rPr>
        <w:t>处理风量</w:t>
      </w:r>
      <w:r>
        <w:t>：小型设备5000-10000m³/h，中型10000-30000m³/h，大型30000-50000m³/h，风量调节范围30%-110%额定值，误差±5%。</w:t>
      </w:r>
    </w:p>
    <w:p w14:paraId="0F00DA93">
      <w:pPr>
        <w:numPr>
          <w:ilvl w:val="0"/>
          <w:numId w:val="15"/>
        </w:numPr>
        <w:spacing w:before="0" w:beforeAutospacing="1" w:after="0" w:afterAutospacing="1"/>
        <w:ind w:left="720" w:hanging="360"/>
      </w:pPr>
      <w:r>
        <w:rPr>
          <w:b/>
        </w:rPr>
        <w:t>进口浓度</w:t>
      </w:r>
      <w:r>
        <w:t>：吸附法设备适合VOCs浓度≤1000mg/m³，RCO适合1000-5000mg/m³，RTO适合＞2000mg/m³，颗粒物进口浓度≤100mg/m³（需预处理至≤10mg/m³）。</w:t>
      </w:r>
    </w:p>
    <w:p w14:paraId="1B844731">
      <w:pPr>
        <w:numPr>
          <w:ilvl w:val="0"/>
          <w:numId w:val="15"/>
        </w:numPr>
        <w:spacing w:before="0" w:beforeAutospacing="1" w:after="0" w:afterAutospacing="1"/>
        <w:ind w:left="720" w:hanging="360"/>
      </w:pPr>
      <w:r>
        <w:rPr>
          <w:b/>
        </w:rPr>
        <w:t>进口温度</w:t>
      </w:r>
      <w:r>
        <w:t>：常规设备耐受温度40-150℃，高温型（采用316L不锈钢材质）可耐受200℃以上，超过时需增设换热器降温。</w:t>
      </w:r>
    </w:p>
    <w:p w14:paraId="0E114AC6">
      <w:r>
        <w:rPr>
          <w:b/>
        </w:rPr>
        <w:t>净化性能参数</w:t>
      </w:r>
      <w:r>
        <w:t>：</w:t>
      </w:r>
    </w:p>
    <w:p w14:paraId="45519FE8">
      <w:pPr>
        <w:numPr>
          <w:ilvl w:val="0"/>
          <w:numId w:val="16"/>
        </w:numPr>
        <w:spacing w:before="0" w:beforeAutospacing="1" w:after="0" w:afterAutospacing="1"/>
        <w:ind w:left="720" w:hanging="360"/>
      </w:pPr>
      <w:r>
        <w:rPr>
          <w:b/>
        </w:rPr>
        <w:t>VOCs去除率</w:t>
      </w:r>
      <w:r>
        <w:t>：活性炭吸附法≥90%，RCO≥98%，RTO≥99%，组合工艺≥99.5%，出口浓度可控制在NMHC≤30mg/m³（重点区域标准）。</w:t>
      </w:r>
    </w:p>
    <w:p w14:paraId="2A34EE92">
      <w:pPr>
        <w:numPr>
          <w:ilvl w:val="0"/>
          <w:numId w:val="16"/>
        </w:numPr>
        <w:spacing w:before="0" w:beforeAutospacing="1" w:after="0" w:afterAutospacing="1"/>
        <w:ind w:left="720" w:hanging="360"/>
      </w:pPr>
      <w:r>
        <w:rPr>
          <w:b/>
        </w:rPr>
        <w:t>颗粒物去除率</w:t>
      </w:r>
      <w:r>
        <w:t>：预处理单元（布袋除尘器/滤筒除尘器）≥99%，过滤精度可达0.3μm，出口浓度≤10mg/m³。</w:t>
      </w:r>
    </w:p>
    <w:p w14:paraId="784E44DC">
      <w:pPr>
        <w:numPr>
          <w:ilvl w:val="0"/>
          <w:numId w:val="16"/>
        </w:numPr>
        <w:spacing w:before="0" w:beforeAutospacing="1" w:after="0" w:afterAutospacing="1"/>
        <w:ind w:left="720" w:hanging="360"/>
      </w:pPr>
      <w:r>
        <w:rPr>
          <w:b/>
        </w:rPr>
        <w:t>能耗指标</w:t>
      </w:r>
      <w:r>
        <w:t>：RCO单位能耗0.1-0.3kW·h/m³，RTO热效率＞95%，当VOCs浓度＞2000mg/m³时可自供热；活性炭吸附设备风机功率5-15kW（处理风量15000m³/h时）。</w:t>
      </w:r>
    </w:p>
    <w:p w14:paraId="25BE26A3">
      <w:r>
        <w:rPr>
          <w:b/>
        </w:rPr>
        <w:t>安全与环保参数</w:t>
      </w:r>
      <w:r>
        <w:t>：</w:t>
      </w:r>
    </w:p>
    <w:p w14:paraId="0BC596D2">
      <w:pPr>
        <w:numPr>
          <w:ilvl w:val="0"/>
          <w:numId w:val="17"/>
        </w:numPr>
        <w:spacing w:before="0" w:beforeAutospacing="1" w:after="0" w:afterAutospacing="1"/>
        <w:ind w:left="720" w:hanging="360"/>
      </w:pPr>
      <w:r>
        <w:rPr>
          <w:b/>
        </w:rPr>
        <w:t>防爆等级</w:t>
      </w:r>
      <w:r>
        <w:t>：设备防爆等级不低于Ex dⅡBT4，泄爆压力0.15MPa，泄爆面积≥0.05m²/m³设备容积。</w:t>
      </w:r>
    </w:p>
    <w:p w14:paraId="2CF209C1">
      <w:pPr>
        <w:numPr>
          <w:ilvl w:val="0"/>
          <w:numId w:val="17"/>
        </w:numPr>
        <w:spacing w:before="0" w:beforeAutospacing="1" w:after="0" w:afterAutospacing="1"/>
        <w:ind w:left="720" w:hanging="360"/>
      </w:pPr>
      <w:r>
        <w:rPr>
          <w:b/>
        </w:rPr>
        <w:t>噪音控制</w:t>
      </w:r>
      <w:r>
        <w:t>：风机进出口安装消声器，设备运行噪音≤85dB（距设备1m处），操作区噪音≤75dB。</w:t>
      </w:r>
    </w:p>
    <w:p w14:paraId="19A177AB">
      <w:pPr>
        <w:numPr>
          <w:ilvl w:val="0"/>
          <w:numId w:val="17"/>
        </w:numPr>
        <w:spacing w:before="0" w:beforeAutospacing="1" w:after="0" w:afterAutospacing="1"/>
        <w:ind w:left="720" w:hanging="360"/>
      </w:pPr>
      <w:r>
        <w:rPr>
          <w:b/>
        </w:rPr>
        <w:t>在线监测</w:t>
      </w:r>
      <w:r>
        <w:t>：排放口需安装NMHC在线监测设备（检测下限≤1mg/m³，响应时间≤1s），数据实时上传至当地环保部门。</w:t>
      </w:r>
    </w:p>
    <w:p w14:paraId="2BFD2718">
      <w:r>
        <w:rPr>
          <w:b/>
        </w:rPr>
        <w:t>物理参数</w:t>
      </w:r>
      <w:r>
        <w:t>：</w:t>
      </w:r>
    </w:p>
    <w:p w14:paraId="52890E6B">
      <w:pPr>
        <w:numPr>
          <w:ilvl w:val="0"/>
          <w:numId w:val="18"/>
        </w:numPr>
        <w:spacing w:before="0" w:beforeAutospacing="1" w:after="0" w:afterAutospacing="1"/>
        <w:ind w:left="720" w:hanging="360"/>
      </w:pPr>
      <w:r>
        <w:rPr>
          <w:b/>
        </w:rPr>
        <w:t>外形尺寸</w:t>
      </w:r>
      <w:r>
        <w:t>：以处理风量20000m³/h的RCO设备为例，长×宽×高约6m×3m×4m，重量约8000kg；活性炭吸附塔直径1.8-2.5m，高度4-6m，重量2000-3000kg。</w:t>
      </w:r>
    </w:p>
    <w:p w14:paraId="33F09AE4">
      <w:pPr>
        <w:numPr>
          <w:ilvl w:val="0"/>
          <w:numId w:val="18"/>
        </w:numPr>
        <w:spacing w:before="0" w:beforeAutospacing="1" w:after="0" w:afterAutospacing="1"/>
        <w:ind w:left="720" w:hanging="360"/>
      </w:pPr>
      <w:r>
        <w:rPr>
          <w:b/>
        </w:rPr>
        <w:t>材质要求</w:t>
      </w:r>
      <w:r>
        <w:t>：废气接触部分采用304不锈钢（耐温≥200℃），高温段（RTO燃烧室）采用310S不锈钢（耐温1000℃），保温层采用硅酸铝棉（厚度80-100mm，导热系数≤0.06W/m·K）。</w:t>
      </w:r>
    </w:p>
    <w:p w14:paraId="3C977D72">
      <w:r>
        <w:t>以上参数均在标准工况（温度25℃、压力101.3kPa、相对湿度60%）下测试得出，实际应用中需根据废气温度、湿度及成分进行参数修正，例如高湿度（＞80%）时需降低活性炭吸附量20%-30%。</w:t>
      </w:r>
    </w:p>
    <w:p w14:paraId="04657790">
      <w:pPr>
        <w:pStyle w:val="3"/>
      </w:pPr>
      <w:r>
        <w:t>三、结构组成与功能</w:t>
      </w:r>
    </w:p>
    <w:p w14:paraId="42C86605">
      <w:pPr>
        <w:pStyle w:val="4"/>
      </w:pPr>
      <w:r>
        <w:t>3.1 废气收集系统</w:t>
      </w:r>
    </w:p>
    <w:p w14:paraId="7D4C9F23">
      <w:r>
        <w:t>废气收集系统是确保污染物有效捕集的首要环节，由集气装置、输送管道及辅助组件组成，其设计直接影响处理效率（捕集效率需≥90%）。</w:t>
      </w:r>
    </w:p>
    <w:p w14:paraId="77F1CE76">
      <w:r>
        <w:rPr>
          <w:b/>
        </w:rPr>
        <w:t>集气装置</w:t>
      </w:r>
      <w:r>
        <w:t>：针对固化炉的结构特点，通常采用“顶部集气罩+侧吸辅助吸风”的组合方式。顶部集气罩为伞形结构（直径根据炉口尺寸放大1.2倍），罩口风速控制在0.8-1.2m/s，确保高温废气（80-150℃）在浮力作用下被有效捕捉。罩体采用304不锈钢材质（厚度3-5mm），内衬50mm厚硅酸铝棉隔热层（耐温≥200℃），防止表面高温烫伤。对于炉门缝隙等潜在泄漏点，设置侧吸式风幕（风量0.5-1.0m³/h·m炉门长度），形成气封屏障，将无组织排放控制在厂界浓度限值的50%以下。</w:t>
      </w:r>
    </w:p>
    <w:p w14:paraId="5916CA4F">
      <w:r>
        <w:t>集气罩配备电动调节风阀（口径DN200-DN400），通过PLC联动固化炉运行状态自动调节开度（0-100%）：固化阶段全开（100%开度），升温/降温阶段开50%，非运行阶段关闭（5%开度维持微负压），以减少无效风量能耗。风阀执行器响应时间≤5s，调节精度±2%，确保风量实时匹配。</w:t>
      </w:r>
    </w:p>
    <w:p w14:paraId="7D72922B">
      <w:r>
        <w:rPr>
          <w:b/>
        </w:rPr>
        <w:t>输送管道</w:t>
      </w:r>
      <w:r>
        <w:t>：采用圆形镀锌钢板或不锈钢管（高温段），管径根据风量和风速计算确定（风速10-15m/s，防止粉尘沉积）。例如处理风量15000m³/h时，主管直径≥800mm，支管直径≥400mm。管道设计遵循“短、直、顺”原则，弯头采用45°斜接（曲率半径≥1.5倍管径），减少局部阻力（局部阻力系数≤1.5）。管道坡度≥1°，低点设置DN50排液阀，防止冷凝液积聚腐蚀管道；每隔10m设置清灰口（直径≥200mm），便于定期清理积尘。</w:t>
      </w:r>
    </w:p>
    <w:p w14:paraId="3845FF51">
      <w:r>
        <w:t>高温管道（温度＞120℃）外覆80mm厚岩棉保温层，外裹铝皮防护（厚度0.5mm），防止热量损失（热损失率≤5%）和人员烫伤（表面温度≤60℃）。管道支架采用滑动支架（热膨胀量＞50mm时）或固定支架，间距≤6m（DN800管道），确保热胀冷缩时管道系统稳定。</w:t>
      </w:r>
    </w:p>
    <w:p w14:paraId="37C65B44">
      <w:r>
        <w:rPr>
          <w:b/>
        </w:rPr>
        <w:t>辅助组件</w:t>
      </w:r>
      <w:r>
        <w:t>：包括防火阀、止回阀和压力表。防火阀（动作温度70℃或150℃，根据废气温度选型）安装在靠近固化炉的管道上，火灾时自动关闭切断火源；止回阀（阻力损失≤50Pa）防止风机停机时废气倒灌；压力表（量程-1000-1000Pa，精度±2%FS）安装在集气罩出口和风机进口，监测系统阻力变化，判断是否堵塞。</w:t>
      </w:r>
    </w:p>
    <w:p w14:paraId="22BC627D">
      <w:pPr>
        <w:pStyle w:val="4"/>
      </w:pPr>
      <w:r>
        <w:t>3.2 预处理装置</w:t>
      </w:r>
    </w:p>
    <w:p w14:paraId="5F53ABD8">
      <w:r>
        <w:t>预处理装置用于去除废气中的颗粒物、调节温度湿度及浓度，保护后续净化设备，主要包括除尘单元、温控装置及浓度调节装置。</w:t>
      </w:r>
    </w:p>
    <w:p w14:paraId="0538D720">
      <w:r>
        <w:rPr>
          <w:b/>
        </w:rPr>
        <w:t>除尘单元</w:t>
      </w:r>
      <w:r>
        <w:t>：针对固化炉废气中含有的环氧粉尘（粒径0.1-10μm），采用两级干式过滤工艺。前置G4初效滤棉（精度5μm，容尘量≥500g/m²）去除大颗粒粉尘（＞5μm），后置F8中效过滤器（精度1μm，玻璃纤维毡材质）拦截亚微米级粉尘，总除尘效率≥95%。过滤器框架为铝合金材质，采用快开式设计，更换时间≤10分钟/个。过滤单元进出口设置压差变送器（量程0-2000Pa，精度±2%FS），当压差＞1200Pa时（初始压差300-500Pa），PLC发出滤料更换报警。</w:t>
      </w:r>
    </w:p>
    <w:p w14:paraId="317A1BC1">
      <w:r>
        <w:t>对于高浓度粉尘（＞80mg/m³）工况，可前置布袋除尘器（滤袋材质PPS，耐温190℃，过滤面积10-20m²），采用脉冲喷吹清灰（压缩空气压力0.5-0.6MPa，喷吹周期30秒/次），除尘效率≥99%，出口粉尘浓度≤10mg/m³，满足后续吸附或催化燃烧设备的进料要求。</w:t>
      </w:r>
    </w:p>
    <w:p w14:paraId="2687EDFA">
      <w:r>
        <w:rPr>
          <w:b/>
        </w:rPr>
        <w:t>温控装置</w:t>
      </w:r>
      <w:r>
        <w:t>：当固化炉废气温度超过后续设备耐受温度（如活性炭吸附塔需＜60℃，RCO催化剂需＜400℃）时，需设置温控装置。常用列管式换热器（材质316L不锈钢，换热面积10-20m²），通过循环冷却水（进口温度25℃，流量5-10m³/h）将高温废气（150℃）降温至60℃以下，换热效率≥85%。换热器管程流速1.5-2.0m/s，壳程流速0.8-1.2m/s，防止结垢堵塞（每半年化学清洗一次，采用2%柠檬酸溶液）。</w:t>
      </w:r>
    </w:p>
    <w:p w14:paraId="400C0927">
      <w:r>
        <w:t>若废气湿度＞70%（如阴雨天气或低温高湿工况），需增设转轮除湿机（除湿量5-10kg/h），将湿度降至60%以下，避免活性炭受潮失效或催化剂结块。除湿转轮采用硅胶涂层（吸湿率≥20%），再生温度120-140℃，能耗约1.5kW·h/kg除湿量。</w:t>
      </w:r>
    </w:p>
    <w:p w14:paraId="50C0B2FA">
      <w:r>
        <w:rPr>
          <w:b/>
        </w:rPr>
        <w:t>浓度调节装置</w:t>
      </w:r>
      <w:r>
        <w:t>：为防止高浓度废气（如固化初期VOCs浓度达5000mg/m³）进入净化设备引发燃烧爆炸风险，需设置浓度调节系统。装置由LEL检测仪（量程0-100%LEL，精度±5%）、电动新风阀（口径DN200-DN400）及PLC控制逻辑组成：当检测到VOCs浓度＞25%LEL时，自动打开新风阀补气稀释，将浓度控制在15%-20%LEL安全区间；浓度＜10%LEL时关闭新风阀，减少能耗。LEL检测仪安装在预处理单元出口，采样频率1次/秒，响应时间＜1s，确保快速响应。</w:t>
      </w:r>
    </w:p>
    <w:p w14:paraId="73EE5878">
      <w:pPr>
        <w:pStyle w:val="4"/>
      </w:pPr>
      <w:r>
        <w:t>3.3 净化单元</w:t>
      </w:r>
    </w:p>
    <w:p w14:paraId="7A2E7631">
      <w:r>
        <w:t>净化单元是废气处理系统的核心，根据废气特性（浓度、成分、温度）选择不同净化技术，主要包括吸附单元、催化燃烧单元（RCO）及蓄热焚烧单元（RTO）。</w:t>
      </w:r>
    </w:p>
    <w:p w14:paraId="18339D9F">
      <w:r>
        <w:rPr>
          <w:b/>
        </w:rPr>
        <w:t>吸附单元</w:t>
      </w:r>
      <w:r>
        <w:t>：以活性炭吸附塔为例，塔体为立式圆柱形结构（直径1.5-3.0m，高度4-6m），采用304不锈钢材质，底部设支撑格栅（开孔率30%），上部设气流分布板（多孔板+导流叶片），确保气流均匀通过吸附床层（气流分布不均匀度≤10%）。吸附剂选用煤质柱状活性炭（直径4mm，长度8-10mm），碘值≥800mg/g，比表面积≥1000m²/g，总装填量根据处理风量和浓度计算（如处理风量15000m³/h、VOCs浓度500mg/m³时，装填量约500kg），床层高度500-800mm，空塔气速0.8-1.2m/s，停留时间≥0.8s。</w:t>
      </w:r>
    </w:p>
    <w:p w14:paraId="5E8A95B3">
      <w:r>
        <w:t>吸附塔顶部设脱附加热系统，包括电加热管（总功率30-60kW，分3组控制）和循环风机（风量1000-2000m³/h），通过180-220℃热氮气进行变温脱附（脱附周期8-12小时）。脱附产生的高浓度废气（浓度提升10-20倍）经冷凝器（降温至40℃）回收有机溶剂，不凝气（约10%）进入RCO/RTO焚烧处理。塔体顶部设安全阀（开启压力0.05MPa）和压力变送器，防止脱附超压。</w:t>
      </w:r>
    </w:p>
    <w:p w14:paraId="43B40790">
      <w:r>
        <w:t>对于连续运行要求高的场景，采用沸石转轮吸附浓缩设备。转轮为蜂窝状结构（直径1.0-2.0m，厚度0.3-0.5m），沸石比表面积≥600m²/g，孔径0.4-0.8nm，适合吸附苯系物、酯类等VOCs。转轮以1-6r/h的速度缓慢旋转，分为吸附区（占70%面积）、脱附区（20%）和冷却区（10%）：废气在吸附区被净化，转轮吸附饱和后进入脱附区（180-220℃热空气脱附），脱附出的高浓度废气（2000-5000mg/m³）进入焚烧装置，冷却区则用常温空气降温，确保转轮循环使用。</w:t>
      </w:r>
    </w:p>
    <w:p w14:paraId="53A9B028">
      <w:r>
        <w:rPr>
          <w:b/>
        </w:rPr>
        <w:t>催化燃烧单元（RCO）</w:t>
      </w:r>
      <w:r>
        <w:t>：主要由预热器、催化反应器、换热器及补风系统组成。预热器采用电加热管（功率30-80kW，分阶段启动），将废气从常温预热至250-300℃（催化剂起燃温度），能耗约15-30kW·h/1000m³废气。催化反应器为卧式矩形结构（长×宽×高=3m×1.5m×1.8m），内置2-3层板式催化床（总截面积2-4m²），催化剂选用Pt/Pd贵金属（负载量0.3-0.5%），载体为蜂窝陶瓷（孔密度400cpsi，比表面积≥100m²/g），空速10000-15000h⁻¹，确保VOCs在催化剂表面充分反应（停留时间≥0.3s）。</w:t>
      </w:r>
    </w:p>
    <w:p w14:paraId="12702FD4">
      <w:r>
        <w:t>换热器为板式结构（材质316L不锈钢，换热面积15-30m²），利用催化燃烧产生的高温尾气（400-500℃）预热新进入的废气，热效率≥90%，当VOCs浓度＞1500mg/m³时，可停止电加热，实现自热运行。补风系统由电动风阀和风机组成，当反应器温度超过400℃时，打开补风阀引入冷空气降温，防止催化剂过热失活（催化剂耐受温度≤450℃）。</w:t>
      </w:r>
    </w:p>
    <w:p w14:paraId="72DA00E5">
      <w:r>
        <w:rPr>
          <w:b/>
        </w:rPr>
        <w:t>蓄热焚烧单元（RTO）</w:t>
      </w:r>
      <w:r>
        <w:t>：以三室式RTO为例，主要由两个蓄热室（A/B）、一个燃烧室及切换阀组成。蓄热室填充蜂窝陶瓷蓄热体（规格100mm×100mm×500mm，比表面积300-500m²/m³，热容量≥1000kJ/m³·K），燃烧室温度700-900℃（根据VOCs成分调整，苯系物需≥800℃），VOCs停留时间≥2s，氧化分解效率≥99%。</w:t>
      </w:r>
    </w:p>
    <w:p w14:paraId="3508E078">
      <w:r>
        <w:t>工作周期分为三个阶段（每阶段30-120秒）：阶段一，废气经蓄热室A预热（从常温升至600-700℃）后进入燃烧室焚烧，高温净化气（800-900℃）流经蓄热室B，将热量传递给蓄热体B后排放（温度降至100-150℃）；阶段二，切换阀动作，废气流向切换，经蓄热室B预热后进入燃烧室，净化气加热蓄热室A；阶段三，短暂的吹扫阶段，清除残留废气，防止交叉污染。热效率＞95%，当VOCs浓度＞2500mg/m³时，释放的热量可维持自燃，无需辅助燃料。</w:t>
      </w:r>
    </w:p>
    <w:p w14:paraId="62A4DE7E">
      <w:r>
        <w:t>RTO配备紧急排放阀（口径与主管道相同），当燃烧室温度超过950℃或压力＞300Pa时，自动打开直接排放，保护设备安全。</w:t>
      </w:r>
    </w:p>
    <w:p w14:paraId="5FEF9F3C">
      <w:pPr>
        <w:pStyle w:val="4"/>
      </w:pPr>
      <w:r>
        <w:t>3.4 排放与辅助系统</w:t>
      </w:r>
    </w:p>
    <w:p w14:paraId="1E6C5F19">
      <w:r>
        <w:t>排放与辅助系统确保净化后废气达标排放，并为主体设备提供必要的公用工程支持，包括引风装置、排气筒、压缩空气系统、药剂供应系统及余热回收系统。</w:t>
      </w:r>
    </w:p>
    <w:p w14:paraId="21795602">
      <w:r>
        <w:rPr>
          <w:b/>
        </w:rPr>
        <w:t>引风装置</w:t>
      </w:r>
      <w:r>
        <w:t>：采用离心风机（材质304不锈钢叶轮，皮带传动或直联传动），风量匹配处理规模（如处理风量15000m³/h时，风机风量18000m³/h，风压2500-3000Pa），电机功率15-22kW（根据风压计算），防护等级IP55，绝缘等级F级。风机进口安装减震器（弹簧+橡胶复合式，减震效率≥90%），出口安装柔性接头（氟橡胶材质，长度200mm），减少振动传递。</w:t>
      </w:r>
    </w:p>
    <w:p w14:paraId="1E55C836">
      <w:r>
        <w:t>风机采用变频调速控制（变频器功率与电机匹配，过载能力150%额定电流30s），通过PLC输出4-20mA信号调节频率（0-50Hz），实现风量无级调节：固化初期（高浓度）高风量运行（50Hz），固化后期（低浓度）低风量运行（30Hz），平均节能20%-30%。风机出口设置止回阀，防止停机时气流倒灌。</w:t>
      </w:r>
    </w:p>
    <w:p w14:paraId="0A6E1374">
      <w:r>
        <w:rPr>
          <w:b/>
        </w:rPr>
        <w:t>排气筒</w:t>
      </w:r>
      <w:r>
        <w:t>：根据《大气污染物综合排放标准》要求，排气筒高度≥15m，且高于周边200m范围内建筑物3m以上。筒身采用玻璃钢或304不锈钢材质（厚度4-6mm），直径0.8-1.2m，底部设检修平台（直径≥1.5m）和采样孔（DN100，距平台1.2m）。排放口安装防雨帽（锥形结构，防雨角度≥45°）和在线监测采样探头（NMHC、温度、压力、流速四合一监测），采样探头伸入排气筒中心位置，确保数据代表性。</w:t>
      </w:r>
    </w:p>
    <w:p w14:paraId="0BB3DF20">
      <w:r>
        <w:t>若废气中含有酸性气体（如HCl），排气筒底部需设置冷凝液收集槽（容积≥50L）和排液阀，防止酸性冷凝液腐蚀筒壁。排气筒垂直度偏差≤0.5%总高度，确保结构稳定。</w:t>
      </w:r>
    </w:p>
    <w:p w14:paraId="4EDC39C3">
      <w:r>
        <w:rPr>
          <w:b/>
        </w:rPr>
        <w:t>压缩空气系统</w:t>
      </w:r>
      <w:r>
        <w:t>：为气动阀门（如切换阀、风阀）、反吹清灰装置（如布袋除尘器脉冲阀）提供气源，由螺杆式空压机（排气量0.6-1.5m³/min，压力0.7-0.8MPa）、储气罐（容积0.3-1.0m³，耐压1.0MPa）、干燥机（常压露点≤-40℃）及精密过滤器（过滤精度1μm）组成。系统管路采用镀锌钢管（直径DN20-DN50），流速8-12m/s，末端设排水阀和压力表（量程0-1MPa），确保气动元件稳定工作（气源压力波动≤±0.05MPa）。</w:t>
      </w:r>
    </w:p>
    <w:p w14:paraId="4FC623CC">
      <w:r>
        <w:rPr>
          <w:b/>
        </w:rPr>
        <w:t>药剂供应系统</w:t>
      </w:r>
      <w:r>
        <w:t>：用于喷淋塔中和酸性废气（如含HCl、SO₂），由药剂储罐（PP材质，容积1-5m³，带搅拌装置）、计量泵（隔膜式，流量0-500L/h，精度±1%）及pH在线监测仪（量程0-14pH，精度±0.1pH）组成。中和剂采用5%-10%NaOH溶液，通过pH计信号自动调节计量泵投加量，将喷淋液pH值控制在8-9（酸性废气）或6-7（碱性废气）。储罐设液位计（磁翻板液位计，量程0-2m）和低液位报警，防止断药。</w:t>
      </w:r>
    </w:p>
    <w:p w14:paraId="345825B5">
      <w:r>
        <w:rPr>
          <w:b/>
        </w:rPr>
        <w:t>余热回收系统</w:t>
      </w:r>
      <w:r>
        <w:t>：利用RTO/RCO排放的高温尾气（300-400℃）回收热量，常见形式为空气-空气换热器（用于加热车间新风）或水-气换热器（产生热水）。换热器材质316L不锈钢，换热面积10-30m²，热回收效率≥60%，可满足车间30%-50%的供暖或工艺用热需求。例如某RTO设备（处理风量30000m³/h，尾气温度350℃），余热回收量约150kW，年节约标煤500吨以上。</w:t>
      </w:r>
    </w:p>
    <w:p w14:paraId="139B7BB1">
      <w:pPr>
        <w:pStyle w:val="3"/>
      </w:pPr>
      <w:r>
        <w:t>四、机械工作原理</w:t>
      </w:r>
    </w:p>
    <w:p w14:paraId="1EA9D3F1">
      <w:pPr>
        <w:pStyle w:val="4"/>
      </w:pPr>
      <w:r>
        <w:t>4.1 吸附净化原理</w:t>
      </w:r>
    </w:p>
    <w:p w14:paraId="03D1EAE8">
      <w:r>
        <w:t>吸附净化是利用固体吸附剂（活性炭、沸石等）表面的物理吸附力（范德华力）或化学吸附力（化学键力），将废气中的VOCs分子捕获并固定在吸附剂表面，从而实现净化的过程。在干变浇注车间废气处理中，物理吸附（可逆）应用最为广泛，其核心机制包括吸附-脱附循环及影响因素控制。</w:t>
      </w:r>
    </w:p>
    <w:p w14:paraId="66C94049">
      <w:r>
        <w:rPr>
          <w:b/>
        </w:rPr>
        <w:t>吸附过程</w:t>
      </w:r>
      <w:r>
        <w:t>：活性炭和沸石分子筛是常用的物理吸附剂，其多孔结构（微孔＜2nm，中孔2-50nm，大孔＞50nm）提供了巨大的比表面积（活性炭800-1500m²/g，沸石300-600m²/g），形成强吸附势场。当含有VOCs的废气（如苯、甲苯）流经吸附剂床层时，VOCs分子在扩散作用下进入吸附剂微孔，与孔壁产生范德华力（包括色散力、诱导力和取向力），从而被吸附剂捕获。吸附速率受以下因素影响：温度（低温有利于吸附，每降低10℃吸附量增加5%-15%）、浓度（浓度越高吸附速率越快，符合朗缪尔单分子层吸附模型）、流速（空塔气速0.8-1.2m/s为宜，流速过高会缩短接触时间）。</w:t>
      </w:r>
    </w:p>
    <w:p w14:paraId="06B92DC2">
      <w:r>
        <w:t>以活性炭吸附苯系物为例，当废气中甲苯浓度为500mg/m³、温度25℃、空速1000h⁻¹时，活性炭平衡吸附量可达0.2-0.3g/g（即1kg活性炭可吸附200-300g甲苯），穿透时间（出口浓度达进口浓度5%时）约8-12小时，适合间歇式运行的固化炉废气处理。</w:t>
      </w:r>
    </w:p>
    <w:p w14:paraId="3565BF01">
      <w:r>
        <w:rPr>
          <w:b/>
        </w:rPr>
        <w:t>脱附再生</w:t>
      </w:r>
      <w:r>
        <w:t>：当吸附剂达到饱和（出口VOCs浓度达进口浓度的10%）时，需进行脱附再生以恢复吸附能力。常用热氮气脱附法：将120-220℃的热氮气（流量为吸附风量的10%-20%）逆向通入吸附床层，提高VOCs分子的热运动能量，使其克服吸附力从吸附剂表面解吸，形成高浓度废气（浓度提升10-20倍）。脱附温度根据VOCs沸点确定（苯沸点80.1℃，脱附温度120-150℃；二甲苯沸点138.4℃，脱附温度150-180℃），温度过高会导致吸附剂炭化（活性炭耐温≤200℃）或结构破坏。</w:t>
      </w:r>
    </w:p>
    <w:p w14:paraId="45D9AE08">
      <w:r>
        <w:t>脱附过程分为加热、恒温、降温三个阶段：加热阶段（升温速率5-10℃/min）将床层温度升至设定值；恒温阶段（维持2-4小时）确保VOCs充分解吸；降温阶段（通常温氮气）将床层温度降至40℃以下，准备下次吸附。脱附出的高浓度废气可通过冷凝回收有机溶剂（如环氧树脂稀释剂）或送入RCO/RTO焚烧处理（无回收价值时）。</w:t>
      </w:r>
    </w:p>
    <w:p w14:paraId="52380410">
      <w:r>
        <w:rPr>
          <w:b/>
        </w:rPr>
        <w:t>吸附剂选择</w:t>
      </w:r>
      <w:r>
        <w:t>：活性炭适合处理低浓度、高沸点VOCs（如苯系物、酯类），但不耐高温（＞120℃易失活）、湿度敏感（湿度＞70%吸附量下降30%）；沸石分子筛具有耐高温（＞200℃）、耐湿性强（湿度＞90%影响较小）的特点，适合处理高温高湿废气（如固化炉直接排放的80-150℃废气），但成本较高（约为活性炭的3-5倍）。实际应用中，常根据废气温度、湿度及成分选择单一吸附剂或复合吸附剂（活性炭+沸石分层装填）。</w:t>
      </w:r>
    </w:p>
    <w:p w14:paraId="49F1B1C7">
      <w:pPr>
        <w:pStyle w:val="4"/>
      </w:pPr>
      <w:r>
        <w:t>4.2 催化燃烧原理</w:t>
      </w:r>
    </w:p>
    <w:p w14:paraId="574A1A2D">
      <w:r>
        <w:t>催化燃烧是在催化剂作用下，将有机废气中的碳氢化合物在低温（200-400℃）下氧化分解为CO₂和H₂O，同时释放热量的过程，其核心是催化剂降低反应活化能，使反应在远低于可燃物质自燃温度的条件下进行。</w:t>
      </w:r>
    </w:p>
    <w:p w14:paraId="560F3945">
      <w:r>
        <w:rPr>
          <w:b/>
        </w:rPr>
        <w:t>催化剂作用机制</w:t>
      </w:r>
      <w:r>
        <w:t>：催化剂由活性组分、载体和助催化剂组成。活性组分是催化作用的核心，常用贵金属（Pt、Pd，活性高、起燃温度低，如Pt/Al₂O₃催化剂对甲苯的起燃温度仅200℃）或非贵金属（Cu、Ni、Mn的氧化物，成本低但活性较低，起燃温度300-350℃）。载体（如蜂窝陶瓷、γ-Al₂O₃）提供大比表面积（100-300m²/g），使活性组分均匀分散（粒径2-5nm），提高催化效率；助催化剂（如CeO₂、ZrO₂）可提高活性组分的稳定性和抗中毒能力。</w:t>
      </w:r>
    </w:p>
    <w:p w14:paraId="5E709D3A">
      <w:r>
        <w:t>催化燃烧反应可表示为：CₙHₘ + (n+m/4)O₂ → nCO₂ + (m/2)H₂O + 热量（3000-8000kJ/kg VOCs）。反应分为三个步骤：VOCs分子扩散到催化剂表面；分子在活性位点被吸附并活化（化学键断裂）；活化分子与氧气反应生成CO₂和H₂O，从催化剂表面脱附。其中，吸附和活化是控制步骤，要求催化剂具有良好的吸附性能和表面活性。</w:t>
      </w:r>
    </w:p>
    <w:p w14:paraId="2B89D915">
      <w:r>
        <w:rPr>
          <w:b/>
        </w:rPr>
        <w:t>工艺流程</w:t>
      </w:r>
      <w:r>
        <w:t>：废气经预处理（去除粉尘、硫化物等催化剂毒物）后，进入预热器（电加热或换热器预热）升温至起燃温度（250-300℃），随后进入催化反应器。在催化剂作用下，VOCs氧化分解，释放的反应热（若VOCs浓度＞1500mg/m³）可通过换热器预热新废气，降低系统能耗。净化后的气体（温度400-500℃）经换热器回收热量后排放（温度降至150-200℃）。</w:t>
      </w:r>
    </w:p>
    <w:p w14:paraId="037067C6">
      <w:r>
        <w:t>以处理风量20000m³/h、VOCs浓度2000mg/m³的RCO设备为例：进口废气温度25℃，经换热器预热至180℃，再经电加热（功率50kW）升至250℃进入催化床；氧化反应释放热量约200kW（20000m³/h×2000mg/m³×3000kJ/kg=120000kJ/h≈33.3kW，此处数据可能需修正，实际热量需根据具体VOCs热值计算），通过换热器将新废气预热至180℃，电加热可停止，实现自热运行，出口温度约180℃，净化效率≥98%。</w:t>
      </w:r>
    </w:p>
    <w:p w14:paraId="784CBFA5">
      <w:r>
        <w:rPr>
          <w:b/>
        </w:rPr>
        <w:t>催化剂中毒与失活</w:t>
      </w:r>
      <w:r>
        <w:t>：催化剂长期运行后可能因中毒或烧结而失活。中毒分为暂时中毒（可逆，如吸附硫化物、氮氧化物）和永久中毒（不可逆，如重金属沉积），可通过高温吹扫（400-450℃热空气）或酸洗（针对碱性中毒物）部分恢复活性。烧结（活性组分晶粒长大，比表面积减小）是永久失活，需更换催化剂（寿命通常2-3年，处理气量约800-1000万m³）。为延长寿命，需严格控制预处理效果（粉尘≤10mg/m³，硫化物≤1mg/m³），避免催化剂毒物进入反应器。</w:t>
      </w:r>
    </w:p>
    <w:p w14:paraId="1A8FAD9E">
      <w:pPr>
        <w:pStyle w:val="4"/>
      </w:pPr>
      <w:r>
        <w:t>4.3 蓄热焚烧（RTO）原理</w:t>
      </w:r>
    </w:p>
    <w:p w14:paraId="4707D024">
      <w:r>
        <w:t>蓄热焚烧（RTO）是通过陶瓷蓄热体储存燃烧产生的热量，用于预热新进入的废气，从而实现高效热量回收和低能耗运行的废气处理技术，特别适合处理高浓度、大风量有机废气（VOCs浓度＞2000mg/m³时可自供热）。</w:t>
      </w:r>
    </w:p>
    <w:p w14:paraId="4171E175">
      <w:r>
        <w:rPr>
          <w:b/>
        </w:rPr>
        <w:t>基本结构与工作原理</w:t>
      </w:r>
      <w:r>
        <w:t>：三室式RTO主要由两个蓄热室（A、B）、一个燃烧室及切换阀组成。蓄热室内填充蜂窝陶瓷蓄热体（热容量大、导热系数低），燃烧室配备燃烧器（天然气或柴油）和火焰检测器。工作过程分为三个阶段（每阶段30-120秒，可根据废气特性调整）：</w:t>
      </w:r>
    </w:p>
    <w:p w14:paraId="5968122F">
      <w:pPr>
        <w:numPr>
          <w:ilvl w:val="0"/>
          <w:numId w:val="19"/>
        </w:numPr>
        <w:spacing w:before="0" w:beforeAutospacing="1" w:after="0" w:afterAutospacing="1"/>
        <w:ind w:left="720" w:hanging="360"/>
      </w:pPr>
      <w:r>
        <w:rPr>
          <w:b/>
        </w:rPr>
        <w:t>阶段一（蓄热室A吸热，蓄热室B放热）</w:t>
      </w:r>
      <w:r>
        <w:t>：常温废气经切换阀进入蓄热室A，被蓄热体（前一周期储存的热量）预热至600-700℃后进入燃烧室，在800-900℃高温下氧化分解（VOCs去除率≥99%）；高温净化气（800-900℃）进入蓄热室B，将热量传递给蓄热体B（蓄热体B温度升至700-800℃），自身温度降至100-150℃后经切换阀排放。</w:t>
      </w:r>
    </w:p>
    <w:p w14:paraId="160F0745">
      <w:pPr>
        <w:numPr>
          <w:ilvl w:val="0"/>
          <w:numId w:val="19"/>
        </w:numPr>
        <w:spacing w:before="0" w:beforeAutospacing="1" w:after="0" w:afterAutospacing="1"/>
        <w:ind w:left="720" w:hanging="360"/>
      </w:pPr>
      <w:r>
        <w:rPr>
          <w:b/>
        </w:rPr>
        <w:t>阶段二（切换，蓄热室B吸热，蓄热室A放热）</w:t>
      </w:r>
      <w:r>
        <w:t>：切换阀动作，废气流向切换，经蓄热室B预热后进入燃烧室焚烧，高温净化气加热蓄热室A，实现热量回收。</w:t>
      </w:r>
    </w:p>
    <w:p w14:paraId="1CC6C78B">
      <w:pPr>
        <w:numPr>
          <w:ilvl w:val="0"/>
          <w:numId w:val="19"/>
        </w:numPr>
        <w:spacing w:before="0" w:beforeAutospacing="1" w:after="0" w:afterAutospacing="1"/>
        <w:ind w:left="720" w:hanging="360"/>
      </w:pPr>
      <w:r>
        <w:rPr>
          <w:b/>
        </w:rPr>
        <w:t>阶段三（吹扫）</w:t>
      </w:r>
      <w:r>
        <w:t>：短暂的吹扫阶段（5-10秒），引入少量新鲜空气清扫蓄热室残留废气，防止交叉污染（降低排放浓度波动）。</w:t>
      </w:r>
    </w:p>
    <w:p w14:paraId="309F7A19">
      <w:r>
        <w:t>通过周期性切换（切换阀动作时间≤10秒），蓄热体交替吸热和放热，热效率可达95%以上（传统直燃式热效率仅30%-50%），大幅降低辅助燃料消耗。</w:t>
      </w:r>
    </w:p>
    <w:p w14:paraId="1505C70D">
      <w:r>
        <w:rPr>
          <w:b/>
        </w:rPr>
        <w:t>热量平衡与自供热条件</w:t>
      </w:r>
      <w:r>
        <w:t>：RTO的能耗主要取决于废气中VOCs的浓度和热值。当VOCs浓度达到一定值时，氧化反应释放的热量足以维持燃烧室温度（700-900℃），无需辅助燃料，即自供热运行。自供热浓度（Cmin）计算公式为：Cmin=（Cp×ΔT）/Q，其中Cp为废气比热容（约1.05kJ/kg·℃），ΔT为废气温升（常温升至800℃，ΔT=775℃），Q为VOCs燃烧热值（苯系物约30000kJ/kg），计算得Cmin≈（1.05×775）/30000≈27g/m³=27000mg/m³（理论值），实际因散热损失，自供热浓度约2000-2500mg/m³。</w:t>
      </w:r>
    </w:p>
    <w:p w14:paraId="24198C9D">
      <w:r>
        <w:t>当VOCs浓度＜2000mg/m³时，需燃烧辅助燃料（如天然气）维持燃烧室温度；浓度＞5000mg/m³时，需引入冷空气稀释（防止温度过高损坏蓄热体，燃烧室最高温度≤950℃）。</w:t>
      </w:r>
    </w:p>
    <w:p w14:paraId="791BF8DD">
      <w:r>
        <w:rPr>
          <w:b/>
        </w:rPr>
        <w:t>蓄热体与切换阀</w:t>
      </w:r>
      <w:r>
        <w:t>：蓄热体是RTO的核心部件，常用蜂窝陶瓷（规格100×100×500mm，孔密度200-400cpsi，热容量≥1000kJ/m³·K），具有比表面积大、热稳定性好（耐温≥1200℃）、抗热震性强（急冷急热温差≥500℃不破裂）的特点。蓄热体床层高度1-1.5m，气体流速0.8-1.2m/s，确保充分换热（废气预热效率≥90%）。</w:t>
      </w:r>
    </w:p>
    <w:p w14:paraId="5416CE80">
      <w:r>
        <w:t>切换阀是RTO的关键运动部件，需在高温（阀腔温度150-300℃）、腐蚀性环境下快速切换（响应时间≤1秒），常用旋转阀或提升阀。旋转阀（密封面采用耐高温合金）结构紧凑、切换速度快，但密封性能相对较差（泄漏率约1%-3%）；提升阀（气动驱动，密封面为陶瓷纤维）密封性能好（泄漏率≤0.5%），但结构复杂、成本高。切换阀的寿命是RTO运维的重点，需定期检查密封面磨损情况（每季度一次），磨损量＞0.5mm时需更换密封件。</w:t>
      </w:r>
    </w:p>
    <w:p w14:paraId="257DA400">
      <w:pPr>
        <w:pStyle w:val="4"/>
      </w:pPr>
      <w:r>
        <w:t>4.4 静电除尘原理</w:t>
      </w:r>
    </w:p>
    <w:p w14:paraId="30AA7157">
      <w:r>
        <w:t>静电除尘是利用高压电场使气体电离，将粉尘颗粒荷电后吸附至极板，从而实现分离的除尘技术，适用于去除废气中的干性非纤维性粉尘（如环氧粉末、金属氧化物），除尘效率可达99%以上，尤其对0.1-10μm的超细粉尘效果显著。</w:t>
      </w:r>
    </w:p>
    <w:p w14:paraId="79C887CF">
      <w:r>
        <w:rPr>
          <w:b/>
        </w:rPr>
        <w:t>荷电与沉降机制</w:t>
      </w:r>
      <w:r>
        <w:t>：静电除尘器主要由放电极（阴极，多为金属丝）和收尘极（阳极，多为平板或圆管）组成，两极间施加10-60kV直流高压，形成不均匀电场。放电极周围发生电晕放电（电子雪崩过程），产生大量电子和离子（电离区范围约20-30mm），当含尘废气通过电场时，粉尘颗粒与电子/离子碰撞而荷电（90%以上为负电荷）。</w:t>
      </w:r>
    </w:p>
    <w:p w14:paraId="33C5FB42">
      <w:r>
        <w:t>荷电粉尘在电场力（F=qE，q为电荷量，E为电场强度）作用下向收尘极移动（驱进速度ω=ε₀εE d/μ，ε₀为真空介电常数，ε为粉尘相对介电常数，d为粒径，μ为气体粘度），到达收尘极后释放电荷，沉积在极板表面。驱进速度是静电除尘的关键参数，与粒径（d越大ω越大）、电场强度（E越大ω越大）成正比，与气体粘度（μ越大ω越小）成反比，通常为0.5-2.0m/s（对1-10μm粉尘）。</w:t>
      </w:r>
    </w:p>
    <w:p w14:paraId="3F9E4112">
      <w:r>
        <w:rPr>
          <w:b/>
        </w:rPr>
        <w:t>结构类型与参数</w:t>
      </w:r>
      <w:r>
        <w:t>：根据收尘极形式，分为板式和管式静电除尘器。板式除尘器（收尘极为平行钢板，间距150-300mm）处理风量大（适合10000m³/h以上），结构简单；管式除尘器（收尘极为圆管，直径150-300mm，放电极位于中心）除尘效率高，但处理风量小。</w:t>
      </w:r>
    </w:p>
    <w:p w14:paraId="15793356">
      <w:r>
        <w:t>关键设计参数：电场强度3-5kV/cm（极板间距200mm时，电压60-100kV），极板面积（A=Q/(3600ω)，Q为处理风量m³/h，ω为驱进速度m/s），停留时间（t=L/v，L为电场长度m，v为气流速度m/s，通常t=2-5秒）。例如处理风量10000m³/h、驱进速度1m/s时，所需极板面积A=10000/(3600×1)≈2.78m²，设计电场长度2m、气流速度0.8m/s时，停留时间t=2/0.8=2.5秒，满足除尘要求。</w:t>
      </w:r>
    </w:p>
    <w:p w14:paraId="1F51A4AF">
      <w:r>
        <w:rPr>
          <w:b/>
        </w:rPr>
        <w:t>清灰与性能影响因素</w:t>
      </w:r>
      <w:r>
        <w:t>：沉积在收尘极上的粉尘需定期清除，常用机械振打（锤击式，振打频率1-2次/分钟，力度可调）或高压水冲洗（适合潮湿或粘性粉尘）。振打清灰时需控制力度，避免二次扬尘（粉尘重新进入气流）。</w:t>
      </w:r>
    </w:p>
    <w:p w14:paraId="6FCB5058">
      <w:r>
        <w:t>影响除尘效率的因素包括：粉尘比电阻（10⁴-10¹¹Ω·cm为最佳范围，过高易产生反电晕，过低易二次扬尘）、气体湿度（湿度＞80%时粉尘导电性增加，效率提高；但湿度过高会导致极板腐蚀）、气流分布（不均匀度≤10%，通过气流分布板优化）。对于高比电阻粉尘（如环氧粉末，电阻＞10¹¹Ω·cm），可添加调质剂（如SO₃）或采用高温除尘（＞200℃降低电阻）。</w:t>
      </w:r>
    </w:p>
    <w:p w14:paraId="785828B2">
      <w:r>
        <w:t>静电除尘设备适用于预处理阶段去除大颗粒粉尘（＞5μm），与高效过滤器（去除＜5μm粉尘）配合使用，可确保后续净化设备（如活性炭吸附塔、催化剂）免受粉尘污染。</w:t>
      </w:r>
    </w:p>
    <w:p w14:paraId="71F62440">
      <w:pPr>
        <w:pStyle w:val="3"/>
      </w:pPr>
      <w:r>
        <w:t>五、控制系统原理</w:t>
      </w:r>
    </w:p>
    <w:p w14:paraId="1F99D229">
      <w:pPr>
        <w:pStyle w:val="4"/>
      </w:pPr>
      <w:r>
        <w:t>5.1 控制系统整体架构</w:t>
      </w:r>
    </w:p>
    <w:p w14:paraId="70D63303">
      <w:r>
        <w:t>固化炉废气处理设备的控制系统采用以PLC为核心的三级分层架构，实现数据采集、逻辑控制、参数调节及远程监控功能，确保系统稳定运行和环保达标排放。系统架构包括数据采集层、控制决策层和执行层，各层级通过工业通信网络协同工作。</w:t>
      </w:r>
    </w:p>
    <w:p w14:paraId="6CFAA70B">
      <w:r>
        <w:rPr>
          <w:b/>
        </w:rPr>
        <w:t>数据采集层</w:t>
      </w:r>
      <w:r>
        <w:t>：负责实时采集系统运行参数和状态信号，主要由各类传感器和检测仪表组成。针对废气处理特点，配置以下关键传感器：</w:t>
      </w:r>
    </w:p>
    <w:p w14:paraId="4EED384B">
      <w:pPr>
        <w:numPr>
          <w:ilvl w:val="0"/>
          <w:numId w:val="20"/>
        </w:numPr>
        <w:spacing w:before="0" w:beforeAutospacing="1" w:after="0" w:afterAutospacing="1"/>
        <w:ind w:left="720" w:hanging="360"/>
      </w:pPr>
      <w:r>
        <w:rPr>
          <w:b/>
        </w:rPr>
        <w:t>VOCs浓度传感器</w:t>
      </w:r>
      <w:r>
        <w:t>：采用PID光离子化原理（检测下限≤1mg/m³，量程0-5000mg/m³，精度±2%FS），安装于预处理单元出口（监测进气浓度）和净化单元出口（监测排放浓度），响应时间＜1秒，用于浓度联锁控制和排放达标监控。</w:t>
      </w:r>
    </w:p>
    <w:p w14:paraId="1F4E5274">
      <w:pPr>
        <w:numPr>
          <w:ilvl w:val="0"/>
          <w:numId w:val="20"/>
        </w:numPr>
        <w:spacing w:before="0" w:beforeAutospacing="1" w:after="0" w:afterAutospacing="1"/>
        <w:ind w:left="720" w:hanging="360"/>
      </w:pPr>
      <w:r>
        <w:rPr>
          <w:b/>
        </w:rPr>
        <w:t>温度传感器</w:t>
      </w:r>
      <w:r>
        <w:t>：PT100铂电阻（测量范围-20-1000℃，精度±0.5℃，分度号PT100），分布于换热器进出口、燃烧室、蓄热室及废气管道，监测各关键节点温度，防止超温损坏设备（如RTO燃烧室温度＞950℃报警）。</w:t>
      </w:r>
    </w:p>
    <w:p w14:paraId="23312EC9">
      <w:pPr>
        <w:numPr>
          <w:ilvl w:val="0"/>
          <w:numId w:val="20"/>
        </w:numPr>
        <w:spacing w:before="0" w:beforeAutospacing="1" w:after="0" w:afterAutospacing="1"/>
        <w:ind w:left="720" w:hanging="360"/>
      </w:pPr>
      <w:r>
        <w:rPr>
          <w:b/>
        </w:rPr>
        <w:t>压力/压差传感器</w:t>
      </w:r>
      <w:r>
        <w:t>：扩散硅压力变送器（量程-1000-10000Pa，精度±0.5%FS），用于监测系统风压（风机进出口压差）、过滤器压差（判断滤料堵塞）、吸附塔压差（判断吸附剂床层阻力）；压差变送器（量程0-2000Pa，精度±1%FS）安装于布袋除尘器进出口，监测滤袋堵塞情况。</w:t>
      </w:r>
    </w:p>
    <w:p w14:paraId="5FB2E03D">
      <w:pPr>
        <w:numPr>
          <w:ilvl w:val="0"/>
          <w:numId w:val="20"/>
        </w:numPr>
        <w:spacing w:before="0" w:beforeAutospacing="1" w:after="0" w:afterAutospacing="1"/>
        <w:ind w:left="720" w:hanging="360"/>
      </w:pPr>
      <w:r>
        <w:rPr>
          <w:b/>
        </w:rPr>
        <w:t>液位传感器</w:t>
      </w:r>
      <w:r>
        <w:t>：投入式静压液位计（量程0-3m，精度±10mm）用于监测喷淋塔液位、药剂储罐液位，防止干烧或溢出；浮球液位开关（常闭/常开）用于低液位报警（如药剂不足）。</w:t>
      </w:r>
    </w:p>
    <w:p w14:paraId="1E3F886F">
      <w:pPr>
        <w:numPr>
          <w:ilvl w:val="0"/>
          <w:numId w:val="20"/>
        </w:numPr>
        <w:spacing w:before="0" w:beforeAutospacing="1" w:after="0" w:afterAutospacing="1"/>
        <w:ind w:left="720" w:hanging="360"/>
      </w:pPr>
      <w:r>
        <w:rPr>
          <w:b/>
        </w:rPr>
        <w:t>安全检测传感器</w:t>
      </w:r>
      <w:r>
        <w:t>：LEL检测仪（量程0-100%LEL，精度±5%）安装于预处理单元出口和RCO/RTO入口，监测可燃气体浓度，防止爆炸风险；氧气含量传感器（量程0-25%，精度±0.5%）用于密闭空间检修前氧含量检测。</w:t>
      </w:r>
    </w:p>
    <w:p w14:paraId="7608F5D9">
      <w:r>
        <w:t>传感器信号通过屏蔽电缆（模拟量信号采用两线制4-20mA，数字量信号采用24VDC开关量）传输至控制决策层，电缆敷设需远离强电干扰源（如电机、变频器），接地电阻≤1Ω。</w:t>
      </w:r>
    </w:p>
    <w:p w14:paraId="3E877C4D">
      <w:r>
        <w:rPr>
          <w:b/>
        </w:rPr>
        <w:t>控制决策层</w:t>
      </w:r>
      <w:r>
        <w:t>：以PLC为核心，实现逻辑控制、PID调节、安全联锁及数据处理功能。主流采用西门子S7-1200/S7-1500系列PLC（根据系统规模选择，小型系统用S7-1214C，中型用S7-1511C），配备模拟量输入模块（AI，16位分辨率，支持4-20mA/0-10V信号）、模拟量输出模块（AO，12位分辨率）、数字量输入模块（DI，24VDC，光电隔离）及数字量输出模块（DO，24VDC/220VAC，继电器输出）。</w:t>
      </w:r>
    </w:p>
    <w:p w14:paraId="690283D4">
      <w:r>
        <w:t>PLC程序采用结构化设计，包括主控制程序（调用各功能块）、数据采集子程序（传感器信号滤波、量程转换）、控制算法子程序（PID调节、前馈控制）、安全联锁子程序（急停、超温、超压保护）及故障诊断子程序（报警信息生成、故障代码输出）。程序支持在线修改和监控，关键参数（如设定温度、压力上下限）可通过HMI设置，具备掉电数据保持功能（电池供电≥30天）。</w:t>
      </w:r>
    </w:p>
    <w:p w14:paraId="09D60C1D">
      <w:r>
        <w:t>为实现人机交互，配置10-15英寸触摸屏（如西门子TP1200精智面板），显示实时运行参数（温度、压力、浓度、流量）、设备状态（运行/停止/报警）、历史趋势曲线（存储3个月数据）及故障信息（代码、描述、处理建议）。触摸屏支持配方管理（存储100组以上工艺参数，如不同固化炉对应的处理参数）和权限管理（三级权限：操作员、技术员、管理员）。</w:t>
      </w:r>
    </w:p>
    <w:p w14:paraId="7DBE35B8">
      <w:r>
        <w:rPr>
          <w:b/>
        </w:rPr>
        <w:t>执行层</w:t>
      </w:r>
      <w:r>
        <w:t>：由各类执行器和调节设备组成，根据PLC输出指令执行相应动作，实现工艺参数调节和设备运行控制。主要包括：</w:t>
      </w:r>
    </w:p>
    <w:p w14:paraId="55633777">
      <w:pPr>
        <w:numPr>
          <w:ilvl w:val="0"/>
          <w:numId w:val="21"/>
        </w:numPr>
        <w:spacing w:before="0" w:beforeAutospacing="1" w:after="0" w:afterAutospacing="1"/>
        <w:ind w:left="720" w:hanging="360"/>
      </w:pPr>
      <w:r>
        <w:rPr>
          <w:b/>
        </w:rPr>
        <w:t>变频设备</w:t>
      </w:r>
      <w:r>
        <w:t>：风机变频器（功率与电机匹配，如15kW电机配15kW变频器）、水泵变频器，接收PLC的4-20mA信号调节频率（0-50Hz），实现风量/水量无级调节。</w:t>
      </w:r>
    </w:p>
    <w:p w14:paraId="1394C48B">
      <w:pPr>
        <w:numPr>
          <w:ilvl w:val="0"/>
          <w:numId w:val="21"/>
        </w:numPr>
        <w:spacing w:before="0" w:beforeAutospacing="1" w:after="0" w:afterAutospacing="1"/>
        <w:ind w:left="720" w:hanging="360"/>
      </w:pPr>
      <w:r>
        <w:rPr>
          <w:b/>
        </w:rPr>
        <w:t>电动阀门</w:t>
      </w:r>
      <w:r>
        <w:t>：电动蝶阀（口径DN100-DN500）、电动风阀，通过PLC的开关量信号控制启停或模拟量信号控制开度（0-100%），调节废气流量或新风量。</w:t>
      </w:r>
    </w:p>
    <w:p w14:paraId="63C788EB">
      <w:pPr>
        <w:numPr>
          <w:ilvl w:val="0"/>
          <w:numId w:val="21"/>
        </w:numPr>
        <w:spacing w:before="0" w:beforeAutospacing="1" w:after="0" w:afterAutospacing="1"/>
        <w:ind w:left="720" w:hanging="360"/>
      </w:pPr>
      <w:r>
        <w:rPr>
          <w:b/>
        </w:rPr>
        <w:t>加热装置</w:t>
      </w:r>
      <w:r>
        <w:t>：电加热管（分3-5组控制，通过PLC的DO模块控制接触器通断）、燃气燃烧器（通过PLC的模拟量信号控制燃气阀开度），用于RCO/RTO的预热和温度维持。</w:t>
      </w:r>
    </w:p>
    <w:p w14:paraId="33AC743A">
      <w:pPr>
        <w:numPr>
          <w:ilvl w:val="0"/>
          <w:numId w:val="21"/>
        </w:numPr>
        <w:spacing w:before="0" w:beforeAutospacing="1" w:after="0" w:afterAutospacing="1"/>
        <w:ind w:left="720" w:hanging="360"/>
      </w:pPr>
      <w:r>
        <w:rPr>
          <w:b/>
        </w:rPr>
        <w:t>报警装置</w:t>
      </w:r>
      <w:r>
        <w:t>：声光报警器（红色LED灯+蜂鸣器，声压级≥90dB@1m），当系统出现故障（如浓度超标、温度异常）时发出报警信号。</w:t>
      </w:r>
    </w:p>
    <w:p w14:paraId="4A16EB59">
      <w:r>
        <w:rPr>
          <w:b/>
        </w:rPr>
        <w:t>通信网络</w:t>
      </w:r>
      <w:r>
        <w:t>：数据采集层与控制决策层通过PLC的本地I/O模块连接；控制决策层与执行层通过PROFINET（工业以太网，传输速率100Mbps）或Modbus RTU（串口通信，波特率9600-19200bps）通信；远程监控通过PLC智能网关（支持Modbus TCP/IP协议）接入企业局域网，实现数据上传至云端平台（如阿里云、华为云），支持手机APP或网页端远程查看和操作（需授权）。</w:t>
      </w:r>
    </w:p>
    <w:p w14:paraId="3CD731F6">
      <w:pPr>
        <w:pStyle w:val="4"/>
      </w:pPr>
      <w:r>
        <w:t>5.2 传感器监测系统</w:t>
      </w:r>
    </w:p>
    <w:p w14:paraId="24FFFF08">
      <w:r>
        <w:t>传感器监测系统是废气处理设备的“感知神经”，通过实时采集关键参数，为控制系统提供决策依据，确保设备稳定运行和排放达标。以下是主要传感器的工作原理、安装要求及校准方法。</w:t>
      </w:r>
    </w:p>
    <w:p w14:paraId="22AE6599">
      <w:r>
        <w:rPr>
          <w:b/>
        </w:rPr>
        <w:t>VOCs浓度传感器</w:t>
      </w:r>
      <w:r>
        <w:t>：采用光离子化检测（PID）原理，其核心是紫外灯（10.6eV高能紫外光）产生的光子能量将VOCs分子电离为正离子和电子，离子在电场作用下形成电流（电流大小与VOCs浓度成正比），经放大和A/D转换后输出4-20mA信号。PID传感器对苯系物、醛类、胺类等VOCs响应灵敏（检测下限≤1mg/m³），但对甲烷（天然气主要成分）无响应，适合监测废气中的特征污染物。</w:t>
      </w:r>
    </w:p>
    <w:p w14:paraId="5C11F3BF">
      <w:r>
        <w:t>安装要求：传感器采样点应位于气流稳定的直管段（上游直管段长度≥5倍管径，下游≥2倍管径），采样探头伸入管道1/3-1/2直径处，避免靠近弯头、阀门等湍流区。预处理单元出口传感器用于监测进气浓度，控制浓度调节装置（如新风稀释）；净化单元出口传感器用于监测排放浓度，超标时触发报警并采取应急措施（如加大风量、停机）。</w:t>
      </w:r>
    </w:p>
    <w:p w14:paraId="32A74CB2">
      <w:r>
        <w:t>校准方法：每月进行零点校准（通入洁净空气，调节输出至4mA），每半年进行量程校准（通入已知浓度标准气体，如1000mg/m³甲苯标准气，调节输出至对应电流值）。校准用标准气体需在有效期内（通常1年），不确定度≤2%。</w:t>
      </w:r>
    </w:p>
    <w:p w14:paraId="325E8F4B">
      <w:r>
        <w:rPr>
          <w:b/>
        </w:rPr>
        <w:t>温度传感器</w:t>
      </w:r>
      <w:r>
        <w:t>：采用PT100铂电阻（分度号PT100，0℃时电阻100Ω，温度系数0.00385Ω/℃），其电阻值随温度线性变化，通过PLC的AI模块测量电阻变化并转换为温度值。温度传感器分为装配式（带保护套管，用于管道、塔体测温）和铠装式（直径3-6mm，用于狭小空间或表面测温），保护套管材质根据温度选择（常温用304不锈钢，高温用310S不锈钢）。</w:t>
      </w:r>
    </w:p>
    <w:p w14:paraId="304A683B">
      <w:r>
        <w:t>安装要求：传感器插入深度≥管道直径的1/3（或≥100mm，取较大值），确保感温元件与介质充分接触；高温管道安装时需倾斜45°，防止热胀冷缩损坏；振动场合需加装减震装置，避免导线疲劳断裂。RTO燃烧室温度传感器需采用耐高温型（耐温1200℃），并配备冷却风保护（防止传感器过热损坏）。</w:t>
      </w:r>
    </w:p>
    <w:p w14:paraId="17BE05FC">
      <w:r>
        <w:t>校准方法：每年用标准温度计（精度±0.1℃）在恒温油浴或干体炉中校准，校准点不少于3个（如0℃、100℃、200℃），误差超过±0.5℃时需调整或更换。</w:t>
      </w:r>
    </w:p>
    <w:p w14:paraId="4A5B6F4E">
      <w:r>
        <w:rPr>
          <w:b/>
        </w:rPr>
        <w:t>压力/压差传感器</w:t>
      </w:r>
      <w:r>
        <w:t>：扩散硅压力变送器基于压阻效应（半导体应变片受压力产生电阻变化），将压力信号转换为4-20mA电流信号。压差传感器由两个压力接口和差压芯片组成，测量两个接口的压力差。</w:t>
      </w:r>
    </w:p>
    <w:p w14:paraId="3429155F">
      <w:r>
        <w:t>安装要求：压力传感器安装在管道侧面（避免冷凝液积聚），引压管长度≤5m，直径≥8mm，弯曲半径≥100mm；高粘度或含粉尘废气需加装隔离膜片（硅油填充），防止堵塞。过滤器压差传感器的高压端接过滤器进口，低压端接出口，垂直安装以避免气泡影响。</w:t>
      </w:r>
    </w:p>
    <w:p w14:paraId="61F81F30">
      <w:r>
        <w:t>校准方法：每季度用标准压力源（如手动压力泵+标准压力表）校准，先校零点（通大气，输出4mA），再校量程（施加满量程压力，输出20mA），线性误差应≤±0.5%FS。</w:t>
      </w:r>
    </w:p>
    <w:p w14:paraId="0FADF0FF">
      <w:r>
        <w:rPr>
          <w:b/>
        </w:rPr>
        <w:t>LEL检测仪</w:t>
      </w:r>
      <w:r>
        <w:t>：采用催化燃烧原理（检测元件为铂丝催化珠，在氧气存在下将可燃气体氧化，产生热量使铂丝电阻变化）或红外原理（特定波长红外光被可燃气体吸收，吸收量与浓度成正比），输出4-20mA信号和继电器报警信号（25%LEL报警，50%LEL联锁停机）。</w:t>
      </w:r>
    </w:p>
    <w:p w14:paraId="74A502E1">
      <w:r>
        <w:t>安装要求：安装在可能泄漏的区域（如阀门、法兰连接处），距潜在泄漏点≤1m，高度根据气体密度确定（比空气重的气体安装在地面以上30-60cm，比空气轻的安装在天花板以下30-60cm）。检测仪需定期清洁（每3个月用软毛刷清理传感器表面灰尘），防止灵敏度下降。</w:t>
      </w:r>
    </w:p>
    <w:p w14:paraId="7CDA89E7">
      <w:r>
        <w:t>校准方法：每3个月用标准气体（如50%LEL甲烷气）校准，调节报警点和输出信号，确保报警误差≤±5%LEL。</w:t>
      </w:r>
    </w:p>
    <w:p w14:paraId="268995BC">
      <w:pPr>
        <w:pStyle w:val="4"/>
      </w:pPr>
      <w:r>
        <w:t>5.3 自动调节与联锁控制</w:t>
      </w:r>
    </w:p>
    <w:p w14:paraId="6B6ADD15">
      <w:r>
        <w:t>自动调节与联锁控制是确保废气处理系统安全稳定运行的核心功能，通过PLC实现工艺参数的精准调节和设备的安全保护，防止异常工况导致设备损坏或超标排放。</w:t>
      </w:r>
    </w:p>
    <w:p w14:paraId="55751E09">
      <w:r>
        <w:rPr>
          <w:b/>
        </w:rPr>
        <w:t>PID参数调节</w:t>
      </w:r>
      <w:r>
        <w:t>：针对系统中的连续变量（如温度、压力、流量），采用PID（比例-积分-微分）控制算法实现自动调节，使参数稳定在设定值。常见调节回路包括：</w:t>
      </w:r>
    </w:p>
    <w:p w14:paraId="580265D4">
      <w:pPr>
        <w:numPr>
          <w:ilvl w:val="0"/>
          <w:numId w:val="22"/>
        </w:numPr>
        <w:spacing w:before="0" w:beforeAutospacing="1" w:after="0" w:afterAutospacing="1"/>
        <w:ind w:left="720" w:hanging="360"/>
      </w:pPr>
      <w:r>
        <w:rPr>
          <w:b/>
        </w:rPr>
        <w:t>RTO燃烧室温度控制</w:t>
      </w:r>
      <w:r>
        <w:t>：设定温度800℃，测量值来自燃烧室热电偶，通过调节燃气阀开度（比例调节）和空气阀开度（空燃比10:1-15:1）实现温度稳定。当温度＜750℃时，增大燃气阀开度；＞850℃时，减小燃气阀开度或打开补风阀引入冷空气。PID参数设置：比例带50%-100%，积分时间5-10分钟，微分时间0.5-2分钟，通过试凑法或Ziegler-Nichols法整定。</w:t>
      </w:r>
    </w:p>
    <w:p w14:paraId="3FE77040">
      <w:pPr>
        <w:numPr>
          <w:ilvl w:val="0"/>
          <w:numId w:val="22"/>
        </w:numPr>
        <w:spacing w:before="0" w:beforeAutospacing="1" w:after="0" w:afterAutospacing="1"/>
        <w:ind w:left="720" w:hanging="360"/>
      </w:pPr>
      <w:r>
        <w:rPr>
          <w:b/>
        </w:rPr>
        <w:t>系统压力控制</w:t>
      </w:r>
      <w:r>
        <w:t>：设定风机出口压力-500Pa（微负压运行，防止废气泄漏），测量值来自风机出口压力变送器，通过调节风机变频器频率（0-50Hz）实现压力稳定。压力＞-400Pa时降低频率，＜-600Pa时提高频率，调节周期1秒。</w:t>
      </w:r>
    </w:p>
    <w:p w14:paraId="528EA1FA">
      <w:pPr>
        <w:numPr>
          <w:ilvl w:val="0"/>
          <w:numId w:val="22"/>
        </w:numPr>
        <w:spacing w:before="0" w:beforeAutospacing="1" w:after="0" w:afterAutospacing="1"/>
        <w:ind w:left="720" w:hanging="360"/>
      </w:pPr>
      <w:r>
        <w:rPr>
          <w:b/>
        </w:rPr>
        <w:t>喷淋塔pH值控制</w:t>
      </w:r>
      <w:r>
        <w:t>：设定pH值8-9（酸性废气处理），测量值来自pH传感器，通过调节NaOH计量泵转速（0-100%）控制药剂投加量。pH＜8时增加泵转速，＞9时降低泵转速，积分分离PID（偏差大时切除积分作用，避免超调）。</w:t>
      </w:r>
    </w:p>
    <w:p w14:paraId="0450BC0A">
      <w:r>
        <w:t>PID调节参数需根据系统动态特性（滞后时间、时间常数）调整，对于大滞后系统（如RTO温度控制，滞后时间30-60秒），可采用Smith预估控制或前馈控制（根据废气流量变化提前调节）。</w:t>
      </w:r>
    </w:p>
    <w:p w14:paraId="60CCCF3B">
      <w:r>
        <w:rPr>
          <w:b/>
        </w:rPr>
        <w:t>前馈控制</w:t>
      </w:r>
      <w:r>
        <w:t>：为应对固化炉废气的间歇性和浓度波动（如固化初期浓度高，后期浓度低），采用前馈控制策略提前调整系统运行参数，减少扰动影响。例如：</w:t>
      </w:r>
    </w:p>
    <w:p w14:paraId="37F57A96">
      <w:pPr>
        <w:numPr>
          <w:ilvl w:val="0"/>
          <w:numId w:val="23"/>
        </w:numPr>
        <w:spacing w:before="0" w:beforeAutospacing="1" w:after="0" w:afterAutospacing="1"/>
        <w:ind w:left="720" w:hanging="360"/>
      </w:pPr>
      <w:r>
        <w:rPr>
          <w:b/>
        </w:rPr>
        <w:t>固化炉联动控制</w:t>
      </w:r>
      <w:r>
        <w:t>：通过OPC协议与固化炉PLC通信，获取固化炉运行状态（升温、固化、降温）和设定参数（如固化温度、时间）。在固化炉启动前10分钟预启动废气处理系统（风机、预处理设备），提前建立负压；固化初期（高浓度阶段）自动提高风机转速（50Hz）和RTO/RCO处理能力；固化后期（低浓度阶段）降低风机转速（30-40Hz），节约能耗。</w:t>
      </w:r>
    </w:p>
    <w:p w14:paraId="75486EA0">
      <w:pPr>
        <w:numPr>
          <w:ilvl w:val="0"/>
          <w:numId w:val="23"/>
        </w:numPr>
        <w:spacing w:before="0" w:beforeAutospacing="1" w:after="0" w:afterAutospacing="1"/>
        <w:ind w:left="720" w:hanging="360"/>
      </w:pPr>
      <w:r>
        <w:rPr>
          <w:b/>
        </w:rPr>
        <w:t>浓度前馈控制</w:t>
      </w:r>
      <w:r>
        <w:t>：根据预处理单元出口VOCs浓度（实时值），提前调节RTO的燃烧器负荷或RCO的电加热功率。当浓度升高时（如从1000mg/m³升至3000mg/m³），提前降低辅助燃料量（RTO）或停止电加热（RCO），利用VOCs燃烧热维持温度；浓度降低时则增加辅助燃料，防止温度下降导致处理效率降低。</w:t>
      </w:r>
    </w:p>
    <w:p w14:paraId="2BF0C36D">
      <w:r>
        <w:rPr>
          <w:b/>
        </w:rPr>
        <w:t>安全联锁控制</w:t>
      </w:r>
      <w:r>
        <w:t>：基于“故障安全”原则，设计多层级安全联锁逻辑，确保异常工况下设备和人员安全。主要联锁关系包括：</w:t>
      </w:r>
    </w:p>
    <w:p w14:paraId="53043B0D">
      <w:pPr>
        <w:numPr>
          <w:ilvl w:val="0"/>
          <w:numId w:val="24"/>
        </w:numPr>
        <w:spacing w:before="0" w:beforeAutospacing="1" w:after="0" w:afterAutospacing="1"/>
        <w:ind w:left="720" w:hanging="360"/>
      </w:pPr>
      <w:r>
        <w:rPr>
          <w:b/>
        </w:rPr>
        <w:t>紧急停车联锁</w:t>
      </w:r>
      <w:r>
        <w:t>：当出现以下情况时，系统立即停机（关闭风机、切断废气源、打开应急排放阀）：LEL浓度＞50%LEL、RTO燃烧室温度＞950℃、消防信号触发、急停按钮按下。联锁信号采用双通道设计（两个独立传感器或触点），防止单点故障导致误动作。</w:t>
      </w:r>
    </w:p>
    <w:p w14:paraId="32733475">
      <w:pPr>
        <w:numPr>
          <w:ilvl w:val="0"/>
          <w:numId w:val="24"/>
        </w:numPr>
        <w:spacing w:before="0" w:beforeAutospacing="1" w:after="0" w:afterAutospacing="1"/>
        <w:ind w:left="720" w:hanging="360"/>
      </w:pPr>
      <w:r>
        <w:rPr>
          <w:b/>
        </w:rPr>
        <w:t>预警联锁</w:t>
      </w:r>
      <w:r>
        <w:t>：当出现非致命故障时，发出预警并采取纠正措施：LEL浓度25%-50%LEL时打开新风阀稀释；过滤器压差＞1500Pa时提示更换滤料；活性炭吸附塔出口浓度＞30mg/m³时提示再生或更换吸附剂。</w:t>
      </w:r>
    </w:p>
    <w:p w14:paraId="3E44544F">
      <w:pPr>
        <w:numPr>
          <w:ilvl w:val="0"/>
          <w:numId w:val="24"/>
        </w:numPr>
        <w:spacing w:before="0" w:beforeAutospacing="1" w:after="0" w:afterAutospacing="1"/>
        <w:ind w:left="720" w:hanging="360"/>
      </w:pPr>
      <w:r>
        <w:rPr>
          <w:b/>
        </w:rPr>
        <w:t>设备间联锁</w:t>
      </w:r>
      <w:r>
        <w:t>：系统启动顺序：先开风机→后开净化单元（RCO/RTO）；停机顺序：先停净化单元→后停风机（防止设备内残留废气积聚）。风机故障停机时，自动关闭废气进口阀并打开新风阀吹扫。</w:t>
      </w:r>
    </w:p>
    <w:p w14:paraId="13B1E322">
      <w:r>
        <w:t>联锁逻辑通过PLC梯形图实现，关键联锁信号（如急停、LEL）需接入PLC的安全输入模块（如西门子F-DI模块），满足EN ISO 13849-1 PLd安全等级要求。</w:t>
      </w:r>
    </w:p>
    <w:p w14:paraId="5606C0A0">
      <w:pPr>
        <w:pStyle w:val="4"/>
      </w:pPr>
      <w:r>
        <w:t>5.4 远程监控与数据管理</w:t>
      </w:r>
    </w:p>
    <w:p w14:paraId="56D6738A">
      <w:r>
        <w:t>为实现废气处理系统的无人值守和智能化管理，控制系统需具备远程监控与数据管理功能，通过工业网络将设备运行数据上传至云端平台，支持实时监控、历史数据分析、故障预警及远程操作。</w:t>
      </w:r>
    </w:p>
    <w:p w14:paraId="04C0DF6B">
      <w:r>
        <w:rPr>
          <w:b/>
        </w:rPr>
        <w:t>系统组成</w:t>
      </w:r>
      <w:r>
        <w:t>：远程监控系统由现场数据采集终端（PLC+智能网关）、通信网络（有线/无线）、云端平台及客户端（PC/手机APP）组成。</w:t>
      </w:r>
    </w:p>
    <w:p w14:paraId="0E620AAD">
      <w:pPr>
        <w:numPr>
          <w:ilvl w:val="0"/>
          <w:numId w:val="25"/>
        </w:numPr>
        <w:spacing w:before="0" w:beforeAutospacing="1" w:after="0" w:afterAutospacing="1"/>
        <w:ind w:left="720" w:hanging="360"/>
      </w:pPr>
      <w:r>
        <w:rPr>
          <w:b/>
        </w:rPr>
        <w:t>数据采集终端</w:t>
      </w:r>
      <w:r>
        <w:t>：PLC通过PROFINET总线采集传感器和设备状态数据，智能网关（如华为AR502H）通过Modbus TCP/IP协议从PLC读取数据（采集频率1-10秒/次，关键参数如浓度、温度采集频率1秒/次），并进行数据预处理（滤波、量程转换、异常值剔除）。网关支持边缘计算功能，可在本地实现简单的逻辑判断和报警（如超标时本地声光报警），减轻云端压力。</w:t>
      </w:r>
    </w:p>
    <w:p w14:paraId="77B2E6A5">
      <w:pPr>
        <w:numPr>
          <w:ilvl w:val="0"/>
          <w:numId w:val="25"/>
        </w:numPr>
        <w:spacing w:before="0" w:beforeAutospacing="1" w:after="0" w:afterAutospacing="1"/>
        <w:ind w:left="720" w:hanging="360"/>
      </w:pPr>
      <w:r>
        <w:rPr>
          <w:b/>
        </w:rPr>
        <w:t>通信网络</w:t>
      </w:r>
      <w:r>
        <w:t>：根据工厂网络条件选择通信方式：有线方式（工业以太网，传输速率100Mbps，稳定性高，适合固定设备）或无线方式（4G/5G，支持移动场景，需安装物联网SIM卡，数据流量根据采集频率计算，通常每月1-5GB）。数据传输采用加密协议（如HTTPS或MQTTs），确保数据安全（防篡改、防窃听）。</w:t>
      </w:r>
    </w:p>
    <w:p w14:paraId="43CF92A6">
      <w:pPr>
        <w:numPr>
          <w:ilvl w:val="0"/>
          <w:numId w:val="25"/>
        </w:numPr>
        <w:spacing w:before="0" w:beforeAutospacing="1" w:after="0" w:afterAutospacing="1"/>
        <w:ind w:left="720" w:hanging="360"/>
      </w:pPr>
      <w:r>
        <w:rPr>
          <w:b/>
        </w:rPr>
        <w:t>云端平台</w:t>
      </w:r>
      <w:r>
        <w:t>：采用工业互联网平台（如阿里云IoT、华为云IoT），具备数据存储（历史数据保存3-5年，采用时序数据库TSDB）、可视化展示（组态界面、实时看板）、报警管理（短信、邮件、APP推送）、报表生成（日报、月报、排放统计报表）及AI分析（能耗优化、故障预测）功能。平台支持多用户权限管理（管理员、操作员、访客），不同用户可查看和操作的内容不同。</w:t>
      </w:r>
    </w:p>
    <w:p w14:paraId="41E8DD25">
      <w:pPr>
        <w:numPr>
          <w:ilvl w:val="0"/>
          <w:numId w:val="25"/>
        </w:numPr>
        <w:spacing w:before="0" w:beforeAutospacing="1" w:after="0" w:afterAutospacing="1"/>
        <w:ind w:left="720" w:hanging="360"/>
      </w:pPr>
      <w:r>
        <w:rPr>
          <w:b/>
        </w:rPr>
        <w:t>客户端</w:t>
      </w:r>
      <w:r>
        <w:t>：包括PC端（网页浏览器访问，支持大屏展示和复杂操作）和手机APP（支持iOS/Android系统，方便移动监控），可实时查看设备运行状态（如风机电流、VOCs浓度、处理效率）、历史趋势曲线（如近24小时温度变化）、报警信息（如“RTO温度过高”），并可远程设置参数（如修改RTO设定温度，需管理员权限）。</w:t>
      </w:r>
    </w:p>
    <w:p w14:paraId="5DF7EC14">
      <w:r>
        <w:rPr>
          <w:b/>
        </w:rPr>
        <w:t>功能实现</w:t>
      </w:r>
      <w:r>
        <w:t>：</w:t>
      </w:r>
    </w:p>
    <w:p w14:paraId="1EF8469B">
      <w:pPr>
        <w:numPr>
          <w:ilvl w:val="0"/>
          <w:numId w:val="26"/>
        </w:numPr>
        <w:spacing w:before="0" w:beforeAutospacing="1" w:after="0" w:afterAutospacing="1"/>
        <w:ind w:left="720" w:hanging="360"/>
      </w:pPr>
      <w:r>
        <w:rPr>
          <w:b/>
        </w:rPr>
        <w:t>实时监控</w:t>
      </w:r>
      <w:r>
        <w:t>：云端平台每1-10秒更新一次数据，动态显示系统流程图（各设备运行状态用不同颜色表示：绿色运行、黄色预警、红色故障）、关键参数仪表盘（如VOCs排放浓度、处理效率）及视频监控画面（集成工厂摄像头，查看设备外观状态）。</w:t>
      </w:r>
    </w:p>
    <w:p w14:paraId="50C06113">
      <w:pPr>
        <w:numPr>
          <w:ilvl w:val="0"/>
          <w:numId w:val="26"/>
        </w:numPr>
        <w:spacing w:before="0" w:beforeAutospacing="1" w:after="0" w:afterAutospacing="1"/>
        <w:ind w:left="720" w:hanging="360"/>
      </w:pPr>
      <w:r>
        <w:rPr>
          <w:b/>
        </w:rPr>
        <w:t>报警管理</w:t>
      </w:r>
      <w:r>
        <w:t>：当参数超标或设备故障时，系统自动触发报警（根据严重程度分为提示、警告、紧急三级），通过短信、邮件、APP推送等方式通知相关人员，并记录报警时间、原因、处理状态（未处理、处理中、已处理）。例如“RTO出口VOCs浓度45mg/m³（超标，标准30mg/m³）”报警，推送至环保负责人手机APP。</w:t>
      </w:r>
    </w:p>
    <w:p w14:paraId="5712EF5A">
      <w:pPr>
        <w:numPr>
          <w:ilvl w:val="0"/>
          <w:numId w:val="26"/>
        </w:numPr>
        <w:spacing w:before="0" w:beforeAutospacing="1" w:after="0" w:afterAutospacing="1"/>
        <w:ind w:left="720" w:hanging="360"/>
      </w:pPr>
      <w:r>
        <w:rPr>
          <w:b/>
        </w:rPr>
        <w:t>数据分析与报表</w:t>
      </w:r>
      <w:r>
        <w:t>：平台自动生成运行报表（如每日处理风量、VOCs去除量、能耗）、排放报表（每日/每月排放浓度、排放量，符合环保部门要求）及设备维护报表（如滤料更换记录、催化剂寿命预测）。通过趋势分析识别系统运行规律，如“每周一上午9点浓度峰值”，为生产调度提供参考。</w:t>
      </w:r>
    </w:p>
    <w:p w14:paraId="105B90F0">
      <w:pPr>
        <w:numPr>
          <w:ilvl w:val="0"/>
          <w:numId w:val="26"/>
        </w:numPr>
        <w:spacing w:before="0" w:beforeAutospacing="1" w:after="0" w:afterAutospacing="1"/>
        <w:ind w:left="720" w:hanging="360"/>
      </w:pPr>
      <w:r>
        <w:rPr>
          <w:b/>
        </w:rPr>
        <w:t>远程运维</w:t>
      </w:r>
      <w:r>
        <w:t>：技术人员可通过客户端远程访问PLC程序（需授权），在线修改参数、诊断故障（如查看传感器历史数据判断是否漂移），减少现场运维次数。例如远程调整PID参数解决RTO温度波动问题，或通过历史曲线分析风机振动异常原因。</w:t>
      </w:r>
    </w:p>
    <w:p w14:paraId="6029132B">
      <w:r>
        <w:rPr>
          <w:b/>
        </w:rPr>
        <w:t>数据安全与合规</w:t>
      </w:r>
      <w:r>
        <w:t>：远程监控系统需满足《信息安全技术 网络安全等级保护基本要求》（GB/T 22239-2019）二级以上要求，包括数据加密传输（采用TLS 1.2以上协议）、访问权限控制（多因素认证）、数据备份（每日自动备份，保留3个月）及审计日志（记录所有操作，不可篡改）。环保数据（如排放浓度、排放量）需按当地环保部门要求接入政府监管平台（如国家排污许可管理信息平台），数据上传频率和格式符合标准（如HJ 212《环境污染源自动监控信息采集传输仪技术要求》）。</w:t>
      </w:r>
    </w:p>
    <w:p w14:paraId="655641D0">
      <w:pPr>
        <w:pStyle w:val="3"/>
      </w:pPr>
      <w:r>
        <w:t>六、操作与维护保养</w:t>
      </w:r>
    </w:p>
    <w:p w14:paraId="3651CA87">
      <w:pPr>
        <w:pStyle w:val="4"/>
      </w:pPr>
      <w:r>
        <w:t>6.1 基本操作流程</w:t>
      </w:r>
    </w:p>
    <w:p w14:paraId="2D03980A">
      <w:r>
        <w:t>固化炉废气处理设备的操作需遵循标准化流程，确保设备安全稳定运行和废气达标排放。操作流程分为开机准备、参数设置、试运行、正常运行及停机清理五个阶段，各阶段需严格执行操作规范。</w:t>
      </w:r>
    </w:p>
    <w:p w14:paraId="723184A2">
      <w:r>
        <w:rPr>
          <w:b/>
        </w:rPr>
        <w:t>开机准备</w:t>
      </w:r>
      <w:r>
        <w:t>：操作人员需穿戴好个人防护装备（KN95口罩、护目镜、耐高温手套），并对系统进行全面检查：</w:t>
      </w:r>
    </w:p>
    <w:p w14:paraId="0B35F44F">
      <w:pPr>
        <w:numPr>
          <w:ilvl w:val="0"/>
          <w:numId w:val="27"/>
        </w:numPr>
        <w:spacing w:before="0" w:beforeAutospacing="1" w:after="0" w:afterAutospacing="1"/>
        <w:ind w:left="720" w:hanging="360"/>
      </w:pPr>
      <w:r>
        <w:rPr>
          <w:b/>
        </w:rPr>
        <w:t>电气系统检查</w:t>
      </w:r>
      <w:r>
        <w:t>：检查主电源电压（380V±10%）、控制柜指示灯是否正常（电源灯亮，故障灯灭）；PLC、触摸屏、传感器等电子设备是否通电启动（触摸屏启动时间约30秒）；急停按钮是否复位（旋转释放），安全联锁装置（如安全门开关）是否正常。</w:t>
      </w:r>
    </w:p>
    <w:p w14:paraId="6BA14388">
      <w:pPr>
        <w:numPr>
          <w:ilvl w:val="0"/>
          <w:numId w:val="27"/>
        </w:numPr>
        <w:spacing w:before="0" w:beforeAutospacing="1" w:after="0" w:afterAutospacing="1"/>
        <w:ind w:left="720" w:hanging="360"/>
      </w:pPr>
      <w:r>
        <w:rPr>
          <w:b/>
        </w:rPr>
        <w:t>机械系统检查</w:t>
      </w:r>
      <w:r>
        <w:t>：检查风机、泵类等旋转部件的防护罩是否完好，皮带张紧度是否适中（按压皮带中点，挠度8-12mm）；阀门状态是否正确（废气进口阀关闭，新风阀打开，排放阀打开）；管道有无泄漏（目视检查法兰连接处，无明显缝隙）。</w:t>
      </w:r>
    </w:p>
    <w:p w14:paraId="5A18561B">
      <w:pPr>
        <w:numPr>
          <w:ilvl w:val="0"/>
          <w:numId w:val="27"/>
        </w:numPr>
        <w:spacing w:before="0" w:beforeAutospacing="1" w:after="0" w:afterAutospacing="1"/>
        <w:ind w:left="720" w:hanging="360"/>
      </w:pPr>
      <w:r>
        <w:rPr>
          <w:b/>
        </w:rPr>
        <w:t>公用工程检查</w:t>
      </w:r>
      <w:r>
        <w:t>：压缩空气系统压力是否达到0.7-0.8MPa，储气罐排水阀是否关闭；冷却水路（如换热器、冷凝器）进出口阀门是否打开，流量是否正常（通过流量计观察，达到设计值的90%以上）；药剂储罐液位是否充足（≥1/2容积），计量泵管路有无堵塞。</w:t>
      </w:r>
    </w:p>
    <w:p w14:paraId="4AD50250">
      <w:pPr>
        <w:numPr>
          <w:ilvl w:val="0"/>
          <w:numId w:val="27"/>
        </w:numPr>
        <w:spacing w:before="0" w:beforeAutospacing="1" w:after="0" w:afterAutospacing="1"/>
        <w:ind w:left="720" w:hanging="360"/>
      </w:pPr>
      <w:r>
        <w:rPr>
          <w:b/>
        </w:rPr>
        <w:t>预处理检查</w:t>
      </w:r>
      <w:r>
        <w:t>：过滤器滤料是否清洁（压差＜800Pa），若为新更换滤料需记录初始压差；活性炭吸附塔吸附剂是否处于备用状态（若刚完成脱附，需确认床层温度＜40℃）；RTO/RCO蓄热体/催化剂是否完好，无明显堵塞或破损。</w:t>
      </w:r>
    </w:p>
    <w:p w14:paraId="043F8470">
      <w:r>
        <w:t>检查完成后，确认无异常，方可进入下一步操作。</w:t>
      </w:r>
    </w:p>
    <w:p w14:paraId="3A51A8BA">
      <w:r>
        <w:rPr>
          <w:b/>
        </w:rPr>
        <w:t>参数设置</w:t>
      </w:r>
      <w:r>
        <w:t>：根据固化炉型号和废气特性，在触摸屏上选择或修改工艺参数（首次运行需新建参数组，后续可调用存储的参数组）：</w:t>
      </w:r>
    </w:p>
    <w:p w14:paraId="50044C5B">
      <w:pPr>
        <w:numPr>
          <w:ilvl w:val="0"/>
          <w:numId w:val="28"/>
        </w:numPr>
        <w:spacing w:before="0" w:beforeAutospacing="1" w:after="0" w:afterAutospacing="1"/>
        <w:ind w:left="720" w:hanging="360"/>
      </w:pPr>
      <w:r>
        <w:rPr>
          <w:b/>
        </w:rPr>
        <w:t>基本参数</w:t>
      </w:r>
      <w:r>
        <w:t>：处理风量（根据固化炉数量和大小设定，如2台2500kVA固化炉对应15000m³/h）、进口VOCs浓度（根据历史数据设定，如800mg/m³）、出口浓度限值（如30mg/m³，重点区域标准）。</w:t>
      </w:r>
    </w:p>
    <w:p w14:paraId="4D86E3D5">
      <w:pPr>
        <w:numPr>
          <w:ilvl w:val="0"/>
          <w:numId w:val="28"/>
        </w:numPr>
        <w:spacing w:before="0" w:beforeAutospacing="1" w:after="0" w:afterAutospacing="1"/>
        <w:ind w:left="720" w:hanging="360"/>
      </w:pPr>
      <w:r>
        <w:rPr>
          <w:b/>
        </w:rPr>
        <w:t>设备参数</w:t>
      </w:r>
      <w:r>
        <w:t>：</w:t>
      </w:r>
    </w:p>
    <w:p w14:paraId="01FC7BA4">
      <w:pPr>
        <w:numPr>
          <w:ilvl w:val="1"/>
          <w:numId w:val="28"/>
        </w:numPr>
        <w:spacing w:before="0" w:beforeAutospacing="1" w:after="0" w:afterAutospacing="1"/>
        <w:ind w:left="1440" w:hanging="360"/>
      </w:pPr>
      <w:r>
        <w:t>吸附塔：吸附温度（≤40℃）、脱附温度（根据VOCs类型设定，如甲苯150℃）、脱附周期（8小时）；</w:t>
      </w:r>
    </w:p>
    <w:p w14:paraId="59ACA194">
      <w:pPr>
        <w:numPr>
          <w:ilvl w:val="1"/>
          <w:numId w:val="28"/>
        </w:numPr>
        <w:spacing w:before="0" w:beforeAutospacing="1" w:after="0" w:afterAutospacing="1"/>
        <w:ind w:left="1440" w:hanging="360"/>
      </w:pPr>
      <w:r>
        <w:t>RCO：预热温度（250℃）、催化床温度（300℃）、空速（10000h⁻¹）；</w:t>
      </w:r>
    </w:p>
    <w:p w14:paraId="29794E98">
      <w:pPr>
        <w:numPr>
          <w:ilvl w:val="1"/>
          <w:numId w:val="28"/>
        </w:numPr>
        <w:spacing w:before="0" w:beforeAutospacing="1" w:after="0" w:afterAutospacing="1"/>
        <w:ind w:left="1440" w:hanging="360"/>
      </w:pPr>
      <w:r>
        <w:t>RTO：燃烧室温度（800℃）、切换周期（60秒）、吹扫时间（5秒）；</w:t>
      </w:r>
    </w:p>
    <w:p w14:paraId="33DC5562">
      <w:pPr>
        <w:numPr>
          <w:ilvl w:val="1"/>
          <w:numId w:val="28"/>
        </w:numPr>
        <w:spacing w:before="0" w:beforeAutospacing="1" w:after="0" w:afterAutospacing="1"/>
        <w:ind w:left="1440" w:hanging="360"/>
      </w:pPr>
      <w:r>
        <w:t>风机：运行频率（50Hz，固化初期）、最低频率（30Hz，节能模式）。</w:t>
      </w:r>
    </w:p>
    <w:p w14:paraId="318BA6A6">
      <w:pPr>
        <w:numPr>
          <w:ilvl w:val="0"/>
          <w:numId w:val="28"/>
        </w:numPr>
        <w:spacing w:before="0" w:beforeAutospacing="1" w:after="0" w:afterAutospacing="1"/>
        <w:ind w:left="720" w:hanging="360"/>
      </w:pPr>
      <w:r>
        <w:rPr>
          <w:b/>
        </w:rPr>
        <w:t>安全参数</w:t>
      </w:r>
      <w:r>
        <w:t>：LEL报警值（25%LEL）、超温报警值（RTO 900℃，RCO 450℃）、压差上限（过滤器1500Pa，吸附塔2000Pa）。</w:t>
      </w:r>
    </w:p>
    <w:p w14:paraId="07C6C2C7">
      <w:r>
        <w:t>参数设置完成后，需进行“参数校验”，系统自动检查参数合理性（如温度设定是否超过设备耐温极限），提示修改不合理参数。</w:t>
      </w:r>
    </w:p>
    <w:p w14:paraId="17AF48B6">
      <w:r>
        <w:rPr>
          <w:b/>
        </w:rPr>
        <w:t>试运行</w:t>
      </w:r>
      <w:r>
        <w:t>：参数设置完成后，进行空载试运行（不接入废气），检查设备各部件运行是否正常：</w:t>
      </w:r>
    </w:p>
    <w:p w14:paraId="21C04B7B">
      <w:pPr>
        <w:numPr>
          <w:ilvl w:val="0"/>
          <w:numId w:val="29"/>
        </w:numPr>
        <w:spacing w:before="0" w:beforeAutospacing="1" w:after="0" w:afterAutospacing="1"/>
        <w:ind w:left="720" w:hanging="360"/>
      </w:pPr>
      <w:r>
        <w:rPr>
          <w:b/>
        </w:rPr>
        <w:t>分步启动</w:t>
      </w:r>
      <w:r>
        <w:t>：按“辅助系统→预处理→净化单元→引风机”顺序启动：先启动压缩空气、冷却水泵、药剂泵等辅助系统；再启动预处理单元（过滤器、换热器）；然后启动净化单元（如RCO的电加热或RTO的燃烧器）；最后启动引风机（先低速运行30秒，再升至设定频率）。</w:t>
      </w:r>
    </w:p>
    <w:p w14:paraId="263E8ED8">
      <w:pPr>
        <w:numPr>
          <w:ilvl w:val="0"/>
          <w:numId w:val="29"/>
        </w:numPr>
        <w:spacing w:before="0" w:beforeAutospacing="1" w:after="0" w:afterAutospacing="1"/>
        <w:ind w:left="720" w:hanging="360"/>
      </w:pPr>
      <w:r>
        <w:rPr>
          <w:b/>
        </w:rPr>
        <w:t>状态监测</w:t>
      </w:r>
      <w:r>
        <w:t>：观察触摸屏显示的各参数是否正常：RCO预热阶段温度是否均匀上升（升温速率5-10℃/min），无局部过热；RTO切换阀动作是否顺畅（无卡顿，切换时间≤10秒）；风机电流是否在额定值范围内（如15kW电机电流≤30A）；系统压力是否稳定（风机出口压力-500±50Pa）。</w:t>
      </w:r>
    </w:p>
    <w:p w14:paraId="2A3AE27D">
      <w:pPr>
        <w:numPr>
          <w:ilvl w:val="0"/>
          <w:numId w:val="29"/>
        </w:numPr>
        <w:spacing w:before="0" w:beforeAutospacing="1" w:after="0" w:afterAutospacing="1"/>
        <w:ind w:left="720" w:hanging="360"/>
      </w:pPr>
      <w:r>
        <w:rPr>
          <w:b/>
        </w:rPr>
        <w:t>泄漏检测</w:t>
      </w:r>
      <w:r>
        <w:t>：在设备各连接处（法兰、阀门、人孔）用便携式VOCs检测仪（检测下限≤1mg/m³）进行泄漏检测，浓度应≤25%LEL，无明显异味。</w:t>
      </w:r>
    </w:p>
    <w:p w14:paraId="3B7AEAF0">
      <w:r>
        <w:t>试运行30分钟，确认设备无异常（无异响、无泄漏、参数稳定）后，方可接入废气进行负载运行。</w:t>
      </w:r>
    </w:p>
    <w:p w14:paraId="19CB5436">
      <w:r>
        <w:rPr>
          <w:b/>
        </w:rPr>
        <w:t>正常运行</w:t>
      </w:r>
      <w:r>
        <w:t>：将固化炉废气接入处理系统，进入正常运行阶段，操作人员需进行以下工作：</w:t>
      </w:r>
    </w:p>
    <w:p w14:paraId="17ACCE9F">
      <w:pPr>
        <w:numPr>
          <w:ilvl w:val="0"/>
          <w:numId w:val="30"/>
        </w:numPr>
        <w:spacing w:before="0" w:beforeAutospacing="1" w:after="0" w:afterAutospacing="1"/>
        <w:ind w:left="720" w:hanging="360"/>
      </w:pPr>
      <w:r>
        <w:rPr>
          <w:b/>
        </w:rPr>
        <w:t>实时监控</w:t>
      </w:r>
      <w:r>
        <w:t>：每小时记录关键运行参数（进口/出口VOCs浓度、温度、压力、风机电流、处理效率），填写运行日志。重点关注：出口VOCs浓度是否≤限值（如30mg/m³）；RTO/RCO温度是否稳定（波动≤±50℃）；过滤器压差是否缓慢上升（正常现象，表明滤料截留粉尘）。</w:t>
      </w:r>
    </w:p>
    <w:p w14:paraId="73BD14EE">
      <w:pPr>
        <w:numPr>
          <w:ilvl w:val="0"/>
          <w:numId w:val="30"/>
        </w:numPr>
        <w:spacing w:before="0" w:beforeAutospacing="1" w:after="0" w:afterAutospacing="1"/>
        <w:ind w:left="720" w:hanging="360"/>
      </w:pPr>
      <w:r>
        <w:rPr>
          <w:b/>
        </w:rPr>
        <w:t>故障处理</w:t>
      </w:r>
      <w:r>
        <w:t>：出现轻微报警（如“过滤器压差高”）时，及时处理（如准备更换滤料）；出现严重报警（如“LEL超标”）时，立即按下急停按钮，启动应急预案（切断废气源，打开新风稀释，疏散人员），待故障排除后重新启动。</w:t>
      </w:r>
    </w:p>
    <w:p w14:paraId="13979FFB">
      <w:pPr>
        <w:numPr>
          <w:ilvl w:val="0"/>
          <w:numId w:val="30"/>
        </w:numPr>
        <w:spacing w:before="0" w:beforeAutospacing="1" w:after="0" w:afterAutospacing="1"/>
        <w:ind w:left="720" w:hanging="360"/>
      </w:pPr>
      <w:r>
        <w:rPr>
          <w:b/>
        </w:rPr>
        <w:t>参数调整</w:t>
      </w:r>
      <w:r>
        <w:t>：根据实际运行情况动态调整参数，如固化后期废气浓度降低（＜500mg/m³）时，降低风机频率至30-40Hz，节约能耗；夏季环境温度高时，适当提高冷却水量，确保吸附塔温度≤40℃。</w:t>
      </w:r>
    </w:p>
    <w:p w14:paraId="11F83510">
      <w:r>
        <w:t>正常运行期间，禁止擅自修改关键参数（如安全联锁值）或拆除安全装置。</w:t>
      </w:r>
    </w:p>
    <w:p w14:paraId="0C405E5C">
      <w:r>
        <w:rPr>
          <w:b/>
        </w:rPr>
        <w:t>停机清理</w:t>
      </w:r>
      <w:r>
        <w:t>：固化炉批次生产结束后，按以下步骤停机并清理：</w:t>
      </w:r>
    </w:p>
    <w:p w14:paraId="01C73276">
      <w:pPr>
        <w:numPr>
          <w:ilvl w:val="0"/>
          <w:numId w:val="31"/>
        </w:numPr>
        <w:spacing w:before="0" w:beforeAutospacing="1" w:after="0" w:afterAutospacing="1"/>
        <w:ind w:left="720" w:hanging="360"/>
      </w:pPr>
      <w:r>
        <w:rPr>
          <w:b/>
        </w:rPr>
        <w:t>分步停机</w:t>
      </w:r>
      <w:r>
        <w:t>：先关闭固化炉废气进口阀，打开新风阀（保持风机运行）吹扫系统10-15分钟，清除残留废气；然后依次关闭净化单元（停止加热）、预处理单元、辅助系统；最后关闭引风机（待系统温度降至60℃以下）。</w:t>
      </w:r>
    </w:p>
    <w:p w14:paraId="1CEA84B5">
      <w:pPr>
        <w:numPr>
          <w:ilvl w:val="0"/>
          <w:numId w:val="31"/>
        </w:numPr>
        <w:spacing w:before="0" w:beforeAutospacing="1" w:after="0" w:afterAutospacing="1"/>
        <w:ind w:left="720" w:hanging="360"/>
      </w:pPr>
      <w:r>
        <w:rPr>
          <w:b/>
        </w:rPr>
        <w:t>设备清理</w:t>
      </w:r>
      <w:r>
        <w:t>：清理过滤器表面粉尘（用压缩空气反吹，压力0.5MPa），记录滤料压差（作为下次更换依据）；清理集尘桶（如布袋除尘器灰斗），废粉尘按危废处理；检查吸附塔、RTO/RCO内部有无积垢或异物（每周一次，需停机进入）。</w:t>
      </w:r>
    </w:p>
    <w:p w14:paraId="0DCBC858">
      <w:pPr>
        <w:numPr>
          <w:ilvl w:val="0"/>
          <w:numId w:val="31"/>
        </w:numPr>
        <w:spacing w:before="0" w:beforeAutospacing="1" w:after="0" w:afterAutospacing="1"/>
        <w:ind w:left="720" w:hanging="360"/>
      </w:pPr>
      <w:r>
        <w:rPr>
          <w:b/>
        </w:rPr>
        <w:t>数据归档</w:t>
      </w:r>
      <w:r>
        <w:t>：将当班运行数据（处理风量、VOCs去除量、能耗）上传至云端平台，生成运行报表；整理故障记录和处理情况，为维护保养提供依据。</w:t>
      </w:r>
    </w:p>
    <w:p w14:paraId="6C195D4A">
      <w:r>
        <w:t>停机后需关闭主电源，关闭压缩空气、冷却水总阀，确保设备处于安全状态。</w:t>
      </w:r>
    </w:p>
    <w:p w14:paraId="4C88D961">
      <w:pPr>
        <w:pStyle w:val="4"/>
      </w:pPr>
      <w:r>
        <w:t>6.2 日常维护保养规范</w:t>
      </w:r>
    </w:p>
    <w:p w14:paraId="43A9DEB3">
      <w:r>
        <w:t>为确保废气处理设备长期稳定运行，延长使用寿命，需制定严格的日常维护保养计划，按周期执行检查、清洁、润滑、更换等维护工作。维护保养分为每日、每周、每月、每季度及年度维护，各周期维护项目及要求如下。</w:t>
      </w:r>
    </w:p>
    <w:p w14:paraId="69992D8C">
      <w:r>
        <w:rPr>
          <w:b/>
        </w:rPr>
        <w:t>每日维护（班前10分钟，班后15分钟）</w:t>
      </w:r>
      <w:r>
        <w:t>：</w:t>
      </w:r>
    </w:p>
    <w:p w14:paraId="4123B0FB">
      <w:pPr>
        <w:numPr>
          <w:ilvl w:val="0"/>
          <w:numId w:val="32"/>
        </w:numPr>
        <w:spacing w:before="0" w:beforeAutospacing="1" w:after="0" w:afterAutospacing="1"/>
        <w:ind w:left="720" w:hanging="360"/>
      </w:pPr>
      <w:r>
        <w:rPr>
          <w:b/>
        </w:rPr>
        <w:t>班前检查</w:t>
      </w:r>
      <w:r>
        <w:t>：</w:t>
      </w:r>
    </w:p>
    <w:p w14:paraId="7A46A295">
      <w:pPr>
        <w:numPr>
          <w:ilvl w:val="1"/>
          <w:numId w:val="32"/>
        </w:numPr>
        <w:spacing w:before="0" w:beforeAutospacing="1" w:after="0" w:afterAutospacing="1"/>
        <w:ind w:left="1440" w:hanging="360"/>
      </w:pPr>
      <w:r>
        <w:t>电源电压：用万用表测量三相电压，确保380V±5%（波动范围361-399V），三相不平衡度≤2%。</w:t>
      </w:r>
    </w:p>
    <w:p w14:paraId="2794500F">
      <w:pPr>
        <w:numPr>
          <w:ilvl w:val="1"/>
          <w:numId w:val="32"/>
        </w:numPr>
        <w:spacing w:before="0" w:beforeAutospacing="1" w:after="0" w:afterAutospacing="1"/>
        <w:ind w:left="1440" w:hanging="360"/>
      </w:pPr>
      <w:r>
        <w:t>润滑系统：检查自动润滑泵油位（≥1/2油箱高度），启动设备后观察各润滑点出油情况（每个润滑点1-2滴/分钟），确保导轨、丝杠等运动部件润滑良好。</w:t>
      </w:r>
    </w:p>
    <w:p w14:paraId="13E9EBE7">
      <w:pPr>
        <w:numPr>
          <w:ilvl w:val="1"/>
          <w:numId w:val="32"/>
        </w:numPr>
        <w:spacing w:before="0" w:beforeAutospacing="1" w:after="0" w:afterAutospacing="1"/>
        <w:ind w:left="1440" w:hanging="360"/>
      </w:pPr>
      <w:r>
        <w:t>安全装置：测试急停按钮（按下后设备立即停机，复位后正常启动）、安全门联锁（打开安全门，设备无法启动），确保功能正常。</w:t>
      </w:r>
    </w:p>
    <w:p w14:paraId="1B4A16EF">
      <w:pPr>
        <w:numPr>
          <w:ilvl w:val="1"/>
          <w:numId w:val="32"/>
        </w:numPr>
        <w:spacing w:before="0" w:beforeAutospacing="1" w:after="0" w:afterAutospacing="1"/>
        <w:ind w:left="1440" w:hanging="360"/>
      </w:pPr>
      <w:r>
        <w:t>关键参数：查看触摸屏显示的历史数据，确认上一班次设备运行正常（出口浓度、温度、压力无异常波动）。</w:t>
      </w:r>
    </w:p>
    <w:p w14:paraId="421D8EC9">
      <w:pPr>
        <w:numPr>
          <w:ilvl w:val="0"/>
          <w:numId w:val="32"/>
        </w:numPr>
        <w:spacing w:before="0" w:beforeAutospacing="1" w:after="0" w:afterAutospacing="1"/>
        <w:ind w:left="720" w:hanging="360"/>
      </w:pPr>
      <w:r>
        <w:rPr>
          <w:b/>
        </w:rPr>
        <w:t>班后保养</w:t>
      </w:r>
      <w:r>
        <w:t>：</w:t>
      </w:r>
    </w:p>
    <w:p w14:paraId="79AC9773">
      <w:pPr>
        <w:numPr>
          <w:ilvl w:val="1"/>
          <w:numId w:val="32"/>
        </w:numPr>
        <w:spacing w:before="0" w:beforeAutospacing="1" w:after="0" w:afterAutospacing="1"/>
        <w:ind w:left="1440" w:hanging="360"/>
      </w:pPr>
      <w:r>
        <w:t>清洁：用吸尘器清理控制柜散热孔、设备表面及操作平台的粉尘（防止粉尘堆积导致散热不良）；用抹布擦拭触摸屏和仪表盘，保持清洁。</w:t>
      </w:r>
    </w:p>
    <w:p w14:paraId="4B1D1DAB">
      <w:pPr>
        <w:numPr>
          <w:ilvl w:val="1"/>
          <w:numId w:val="32"/>
        </w:numPr>
        <w:spacing w:before="0" w:beforeAutospacing="1" w:after="0" w:afterAutospacing="1"/>
        <w:ind w:left="1440" w:hanging="360"/>
      </w:pPr>
      <w:r>
        <w:t>过滤器检查：记录过滤器压差（与初始压差对比，计算压差增量，增量＞500Pa时需关注），若为湿式过滤器（如喷淋塔），清理喷嘴和除雾器表面的水垢（用软毛刷或5%柠檬酸溶液清洗）。</w:t>
      </w:r>
    </w:p>
    <w:p w14:paraId="1F56F3AE">
      <w:pPr>
        <w:numPr>
          <w:ilvl w:val="1"/>
          <w:numId w:val="32"/>
        </w:numPr>
        <w:spacing w:before="0" w:beforeAutospacing="1" w:after="0" w:afterAutospacing="1"/>
        <w:ind w:left="1440" w:hanging="360"/>
      </w:pPr>
      <w:r>
        <w:t>阀门状态：将所有阀门恢复至停机位置（废气进口阀关闭，新风阀打开），检查气动阀门气缸有无漏气（听有无嘶嘶声，活塞杆有无锈蚀）。</w:t>
      </w:r>
    </w:p>
    <w:p w14:paraId="24901976">
      <w:pPr>
        <w:numPr>
          <w:ilvl w:val="1"/>
          <w:numId w:val="32"/>
        </w:numPr>
        <w:spacing w:before="0" w:beforeAutospacing="1" w:after="0" w:afterAutospacing="1"/>
        <w:ind w:left="1440" w:hanging="360"/>
      </w:pPr>
      <w:r>
        <w:t>数据备份：将当日运行数据（参数、报警、趋势曲线）备份至U盘或云端，防止数据丢失。</w:t>
      </w:r>
    </w:p>
    <w:p w14:paraId="498EF501">
      <w:r>
        <w:rPr>
          <w:b/>
        </w:rPr>
        <w:t>每周维护（周末白班结束后，约1小时）</w:t>
      </w:r>
      <w:r>
        <w:t>：</w:t>
      </w:r>
    </w:p>
    <w:p w14:paraId="7A08D743">
      <w:pPr>
        <w:numPr>
          <w:ilvl w:val="0"/>
          <w:numId w:val="33"/>
        </w:numPr>
        <w:spacing w:before="0" w:beforeAutospacing="1" w:after="0" w:afterAutospacing="1"/>
        <w:ind w:left="720" w:hanging="360"/>
      </w:pPr>
      <w:r>
        <w:rPr>
          <w:b/>
        </w:rPr>
        <w:t>机械系统维护</w:t>
      </w:r>
      <w:r>
        <w:t>：</w:t>
      </w:r>
    </w:p>
    <w:p w14:paraId="6C3A028F">
      <w:pPr>
        <w:numPr>
          <w:ilvl w:val="1"/>
          <w:numId w:val="33"/>
        </w:numPr>
        <w:spacing w:before="0" w:beforeAutospacing="1" w:after="0" w:afterAutospacing="1"/>
        <w:ind w:left="1440" w:hanging="360"/>
      </w:pPr>
      <w:r>
        <w:t>风机：检查风机轴承温度（运行时≤70℃，用红外测温仪检测）、振动（振幅≤0.1mm，用测振仪检测），皮带张紧度（挠度8-12mm/100N力），必要时调整或更换皮带（皮带表面裂纹深度＞1mm时更换）。</w:t>
      </w:r>
    </w:p>
    <w:p w14:paraId="05533E60">
      <w:pPr>
        <w:numPr>
          <w:ilvl w:val="1"/>
          <w:numId w:val="33"/>
        </w:numPr>
        <w:spacing w:before="0" w:beforeAutospacing="1" w:after="0" w:afterAutospacing="1"/>
        <w:ind w:left="1440" w:hanging="360"/>
      </w:pPr>
      <w:r>
        <w:t>泵类：检查循环水泵、药剂泵的进出口压力（与额定值偏差≤10%），轴承有无异响，机械密封有无泄漏（滴漏量≤5滴/分钟），清理泵入口过滤器（去除杂物）。</w:t>
      </w:r>
    </w:p>
    <w:p w14:paraId="012150A1">
      <w:pPr>
        <w:numPr>
          <w:ilvl w:val="1"/>
          <w:numId w:val="33"/>
        </w:numPr>
        <w:spacing w:before="0" w:beforeAutospacing="1" w:after="0" w:afterAutospacing="1"/>
        <w:ind w:left="1440" w:hanging="360"/>
      </w:pPr>
      <w:r>
        <w:t>管道与阀门：检查管道支架有无松动（螺栓扭矩20-30N·m），法兰密封垫有无老化（硬度＞90 Shore A时更换），阀门执行器连杆有无变形，手动操作阀门确认灵活性（无卡滞）。</w:t>
      </w:r>
    </w:p>
    <w:p w14:paraId="5EE94478">
      <w:pPr>
        <w:numPr>
          <w:ilvl w:val="0"/>
          <w:numId w:val="33"/>
        </w:numPr>
        <w:spacing w:before="0" w:beforeAutospacing="1" w:after="0" w:afterAutospacing="1"/>
        <w:ind w:left="720" w:hanging="360"/>
      </w:pPr>
      <w:r>
        <w:rPr>
          <w:b/>
        </w:rPr>
        <w:t>电气系统维护</w:t>
      </w:r>
      <w:r>
        <w:t>：</w:t>
      </w:r>
    </w:p>
    <w:p w14:paraId="25CBC5D8">
      <w:pPr>
        <w:numPr>
          <w:ilvl w:val="1"/>
          <w:numId w:val="33"/>
        </w:numPr>
        <w:spacing w:before="0" w:beforeAutospacing="1" w:after="0" w:afterAutospacing="1"/>
        <w:ind w:left="1440" w:hanging="360"/>
      </w:pPr>
      <w:r>
        <w:t>控制柜：打开控制柜柜门，用毛刷清理内部灰尘（避开PLC、驱动器等敏感元件），检查接线端子有无松动（用螺丝刀轻拧，无明显晃动），导线有无过热变色（绝缘层无发黄、变硬）。</w:t>
      </w:r>
    </w:p>
    <w:p w14:paraId="1F64A4E5">
      <w:pPr>
        <w:numPr>
          <w:ilvl w:val="1"/>
          <w:numId w:val="33"/>
        </w:numPr>
        <w:spacing w:before="0" w:beforeAutospacing="1" w:after="0" w:afterAutospacing="1"/>
        <w:ind w:left="1440" w:hanging="360"/>
      </w:pPr>
      <w:r>
        <w:t>传感器：清洁VOCs传感器、温度传感器探头（用软布蘸无水乙醇擦拭，去除表面油污和粉尘），检查传感器线缆有无破损或挤压。</w:t>
      </w:r>
    </w:p>
    <w:p w14:paraId="648AA86B">
      <w:pPr>
        <w:numPr>
          <w:ilvl w:val="0"/>
          <w:numId w:val="33"/>
        </w:numPr>
        <w:spacing w:before="0" w:beforeAutospacing="1" w:after="0" w:afterAutospacing="1"/>
        <w:ind w:left="720" w:hanging="360"/>
      </w:pPr>
      <w:r>
        <w:rPr>
          <w:b/>
        </w:rPr>
        <w:t>辅助系统维护</w:t>
      </w:r>
      <w:r>
        <w:t>：</w:t>
      </w:r>
    </w:p>
    <w:p w14:paraId="79483EA9">
      <w:pPr>
        <w:numPr>
          <w:ilvl w:val="1"/>
          <w:numId w:val="33"/>
        </w:numPr>
        <w:spacing w:before="0" w:beforeAutospacing="1" w:after="0" w:afterAutospacing="1"/>
        <w:ind w:left="1440" w:hanging="360"/>
      </w:pPr>
      <w:r>
        <w:t>压缩空气系统：打开储气罐底部排水阀排水（直至无油水混合物排出），检查干燥机出口露点（≤-40℃，用露点仪检测），更换精密过滤器滤芯（压差＞0.1MPa时）。</w:t>
      </w:r>
    </w:p>
    <w:p w14:paraId="2C1AFBEE">
      <w:pPr>
        <w:numPr>
          <w:ilvl w:val="1"/>
          <w:numId w:val="33"/>
        </w:numPr>
        <w:spacing w:before="0" w:beforeAutospacing="1" w:after="0" w:afterAutospacing="1"/>
        <w:ind w:left="1440" w:hanging="360"/>
      </w:pPr>
      <w:r>
        <w:t>冷却系统：检查冷却塔水位（≥1/2），补充冷却水（用软化水，硬度≤0.03mmol/L），清理冷却塔填料表面的藻类（用低压水枪冲洗）。</w:t>
      </w:r>
    </w:p>
    <w:p w14:paraId="16FEA84B">
      <w:r>
        <w:rPr>
          <w:b/>
        </w:rPr>
        <w:t>每月维护（月底最后一个工作日，约2小时）</w:t>
      </w:r>
      <w:r>
        <w:t>：</w:t>
      </w:r>
    </w:p>
    <w:p w14:paraId="5ADB30C2">
      <w:pPr>
        <w:numPr>
          <w:ilvl w:val="0"/>
          <w:numId w:val="34"/>
        </w:numPr>
        <w:spacing w:before="0" w:beforeAutospacing="1" w:after="0" w:afterAutospacing="1"/>
        <w:ind w:left="720" w:hanging="360"/>
      </w:pPr>
      <w:r>
        <w:rPr>
          <w:b/>
        </w:rPr>
        <w:t>预处理单元维护</w:t>
      </w:r>
      <w:r>
        <w:t>：</w:t>
      </w:r>
    </w:p>
    <w:p w14:paraId="04B658CB">
      <w:pPr>
        <w:numPr>
          <w:ilvl w:val="1"/>
          <w:numId w:val="34"/>
        </w:numPr>
        <w:spacing w:before="0" w:beforeAutospacing="1" w:after="0" w:afterAutospacing="1"/>
        <w:ind w:left="1440" w:hanging="360"/>
      </w:pPr>
      <w:r>
        <w:t>过滤器：更换初效/中效滤料（压差＞1500Pa或使用满1个月），记录更换日期和压差；检查滤料框架有无变形，密封胶条是否完好（无缺口、压缩量均匀）。</w:t>
      </w:r>
    </w:p>
    <w:p w14:paraId="02B52DCA">
      <w:pPr>
        <w:numPr>
          <w:ilvl w:val="1"/>
          <w:numId w:val="34"/>
        </w:numPr>
        <w:spacing w:before="0" w:beforeAutospacing="1" w:after="0" w:afterAutospacing="1"/>
        <w:ind w:left="1440" w:hanging="360"/>
      </w:pPr>
      <w:r>
        <w:t>换热器：检查换热器进出口温差（应≥50℃，如150℃废气降温至60℃以下），若温差减小（＜40℃），需进行化学清洗（循环泵打入2%柠檬酸溶液，浸泡2小时后冲洗），去除管程水垢。</w:t>
      </w:r>
    </w:p>
    <w:p w14:paraId="559E516E">
      <w:pPr>
        <w:numPr>
          <w:ilvl w:val="0"/>
          <w:numId w:val="34"/>
        </w:numPr>
        <w:spacing w:before="0" w:beforeAutospacing="1" w:after="0" w:afterAutospacing="1"/>
        <w:ind w:left="720" w:hanging="360"/>
      </w:pPr>
      <w:r>
        <w:rPr>
          <w:b/>
        </w:rPr>
        <w:t>净化单元维护</w:t>
      </w:r>
      <w:r>
        <w:t>：</w:t>
      </w:r>
    </w:p>
    <w:p w14:paraId="5C282F52">
      <w:pPr>
        <w:numPr>
          <w:ilvl w:val="1"/>
          <w:numId w:val="34"/>
        </w:numPr>
        <w:spacing w:before="0" w:beforeAutospacing="1" w:after="0" w:afterAutospacing="1"/>
        <w:ind w:left="1440" w:hanging="360"/>
      </w:pPr>
      <w:r>
        <w:t>活性炭吸附塔：采样分析活性炭碘值（按GB/T 7702.7-2008方法），碘值＜600mg/g时需部分或全部更换活性炭；检查吸附塔内部气流分布板有无堵塞，支撑格栅有无腐蚀（厚度＜2mm时修补）。</w:t>
      </w:r>
    </w:p>
    <w:p w14:paraId="6B3536B2">
      <w:pPr>
        <w:numPr>
          <w:ilvl w:val="1"/>
          <w:numId w:val="34"/>
        </w:numPr>
        <w:spacing w:before="0" w:beforeAutospacing="1" w:after="0" w:afterAutospacing="1"/>
        <w:ind w:left="1440" w:hanging="360"/>
      </w:pPr>
      <w:r>
        <w:t>RCO/RTO：检查催化剂/蓄热体表面有无积碳或结焦（用内窥镜观察），轻微结焦可通过提高温度（RCO 400℃，RTO 900℃）热解清除；检查燃烧器火焰状态（应为蓝色火焰，无黄焰、脱火），清理火焰传感器表面积碳。</w:t>
      </w:r>
    </w:p>
    <w:p w14:paraId="594502A2">
      <w:pPr>
        <w:numPr>
          <w:ilvl w:val="0"/>
          <w:numId w:val="34"/>
        </w:numPr>
        <w:spacing w:before="0" w:beforeAutospacing="1" w:after="0" w:afterAutospacing="1"/>
        <w:ind w:left="720" w:hanging="360"/>
      </w:pPr>
      <w:r>
        <w:rPr>
          <w:b/>
        </w:rPr>
        <w:t>控制系统维护</w:t>
      </w:r>
      <w:r>
        <w:t>：</w:t>
      </w:r>
    </w:p>
    <w:p w14:paraId="345F8B88">
      <w:pPr>
        <w:numPr>
          <w:ilvl w:val="1"/>
          <w:numId w:val="34"/>
        </w:numPr>
        <w:spacing w:before="0" w:beforeAutospacing="1" w:after="0" w:afterAutospacing="1"/>
        <w:ind w:left="1440" w:hanging="360"/>
      </w:pPr>
      <w:r>
        <w:t>PLC与触摸屏：备份PLC程序（保存至U盘和云端），检查触摸屏触摸精度（用校准工具测试，偏差≤1mm），清理触摸屏内部散热风扇灰尘（防止过热死机）。</w:t>
      </w:r>
    </w:p>
    <w:p w14:paraId="2DE8E1C7">
      <w:pPr>
        <w:numPr>
          <w:ilvl w:val="1"/>
          <w:numId w:val="34"/>
        </w:numPr>
        <w:spacing w:before="0" w:beforeAutospacing="1" w:after="0" w:afterAutospacing="1"/>
        <w:ind w:left="1440" w:hanging="360"/>
      </w:pPr>
      <w:r>
        <w:t>传感器校准：对关键传感器（VOCs浓度、温度、压力）进行校准，零点校准用洁净空气，量程校准用标准物质，记录校准结果（误差应≤±2%FS）。</w:t>
      </w:r>
    </w:p>
    <w:p w14:paraId="19F535B3">
      <w:pPr>
        <w:numPr>
          <w:ilvl w:val="0"/>
          <w:numId w:val="34"/>
        </w:numPr>
        <w:spacing w:before="0" w:beforeAutospacing="1" w:after="0" w:afterAutospacing="1"/>
        <w:ind w:left="720" w:hanging="360"/>
      </w:pPr>
      <w:r>
        <w:rPr>
          <w:b/>
        </w:rPr>
        <w:t>安全系统测试</w:t>
      </w:r>
      <w:r>
        <w:t>：模拟故障测试安全联锁功能：短接LEL传感器信号至50%LEL，确认系统是否触发急停；断开RTO温度传感器信号，确认是否发出超温报警；测试消防联动功能（触发消防信号，设备是否自动停机并打开应急排放阀）。</w:t>
      </w:r>
    </w:p>
    <w:p w14:paraId="463DCD0E">
      <w:r>
        <w:rPr>
          <w:b/>
        </w:rPr>
        <w:t>每季度维护（每3个月，约4小时）</w:t>
      </w:r>
      <w:r>
        <w:t>：</w:t>
      </w:r>
    </w:p>
    <w:p w14:paraId="7E041290">
      <w:pPr>
        <w:numPr>
          <w:ilvl w:val="0"/>
          <w:numId w:val="35"/>
        </w:numPr>
        <w:spacing w:before="0" w:beforeAutospacing="1" w:after="0" w:afterAutospacing="1"/>
        <w:ind w:left="720" w:hanging="360"/>
      </w:pPr>
      <w:r>
        <w:rPr>
          <w:b/>
        </w:rPr>
        <w:t>机械部件更换</w:t>
      </w:r>
      <w:r>
        <w:t>：</w:t>
      </w:r>
    </w:p>
    <w:p w14:paraId="6C893B9A">
      <w:pPr>
        <w:numPr>
          <w:ilvl w:val="1"/>
          <w:numId w:val="35"/>
        </w:numPr>
        <w:spacing w:before="0" w:beforeAutospacing="1" w:after="0" w:afterAutospacing="1"/>
        <w:ind w:left="1440" w:hanging="360"/>
      </w:pPr>
      <w:r>
        <w:t>轴承：更换风机、泵类的轴承（运行满3000小时或振动超标时），轴承型号需与原型号一致（如风机轴承为6312深沟球轴承），安装时加热至80-100℃（油浴加热），避免硬敲硬打。</w:t>
      </w:r>
    </w:p>
    <w:p w14:paraId="2453000A">
      <w:pPr>
        <w:numPr>
          <w:ilvl w:val="1"/>
          <w:numId w:val="35"/>
        </w:numPr>
        <w:spacing w:before="0" w:beforeAutospacing="1" w:after="0" w:afterAutospacing="1"/>
        <w:ind w:left="1440" w:hanging="360"/>
      </w:pPr>
      <w:r>
        <w:t>密封件：更换气动阀门的O型圈（氟橡胶材质，耐温≥200℃）、液压缸密封件（聚氨酯材质），防止泄漏。</w:t>
      </w:r>
    </w:p>
    <w:p w14:paraId="152D46CB">
      <w:pPr>
        <w:numPr>
          <w:ilvl w:val="0"/>
          <w:numId w:val="35"/>
        </w:numPr>
        <w:spacing w:before="0" w:beforeAutospacing="1" w:after="0" w:afterAutospacing="1"/>
        <w:ind w:left="720" w:hanging="360"/>
      </w:pPr>
      <w:r>
        <w:rPr>
          <w:b/>
        </w:rPr>
        <w:t>结构检查</w:t>
      </w:r>
      <w:r>
        <w:t>：</w:t>
      </w:r>
    </w:p>
    <w:p w14:paraId="35E11518">
      <w:pPr>
        <w:numPr>
          <w:ilvl w:val="1"/>
          <w:numId w:val="35"/>
        </w:numPr>
        <w:spacing w:before="0" w:beforeAutospacing="1" w:after="0" w:afterAutospacing="1"/>
        <w:ind w:left="1440" w:hanging="360"/>
      </w:pPr>
      <w:r>
        <w:t>设备本体：检查吸附塔、RTO/RCO壳体有无腐蚀（测厚仪检测壁厚，腐蚀深度＞10%原始厚度时修补），保温层有无破损（缺失面积＞5%时修复）。</w:t>
      </w:r>
    </w:p>
    <w:p w14:paraId="75C3DB9F">
      <w:pPr>
        <w:numPr>
          <w:ilvl w:val="1"/>
          <w:numId w:val="35"/>
        </w:numPr>
        <w:spacing w:before="0" w:beforeAutospacing="1" w:after="0" w:afterAutospacing="1"/>
        <w:ind w:left="1440" w:hanging="360"/>
      </w:pPr>
      <w:r>
        <w:t>管道系统：进行水压试验（试验压力0.6MPa，保压30分钟，压降≤0.05MPa），检查有无泄漏；对高温管道进行热膨胀量测量（与设计值偏差≤10%），调整滑动支架位置。</w:t>
      </w:r>
    </w:p>
    <w:p w14:paraId="23FFB72D">
      <w:pPr>
        <w:numPr>
          <w:ilvl w:val="0"/>
          <w:numId w:val="35"/>
        </w:numPr>
        <w:spacing w:before="0" w:beforeAutospacing="1" w:after="0" w:afterAutospacing="1"/>
        <w:ind w:left="720" w:hanging="360"/>
      </w:pPr>
      <w:r>
        <w:rPr>
          <w:b/>
        </w:rPr>
        <w:t>电气性能测试</w:t>
      </w:r>
      <w:r>
        <w:t>：</w:t>
      </w:r>
    </w:p>
    <w:p w14:paraId="0951CD42">
      <w:pPr>
        <w:numPr>
          <w:ilvl w:val="1"/>
          <w:numId w:val="35"/>
        </w:numPr>
        <w:spacing w:before="0" w:beforeAutospacing="1" w:after="0" w:afterAutospacing="1"/>
        <w:ind w:left="1440" w:hanging="360"/>
      </w:pPr>
      <w:r>
        <w:t>绝缘电阻测试：用500V兆欧表测量电机绕组绝缘电阻（≥100MΩ）、电缆绝缘电阻（≥10MΩ），接地电阻测试（≤4Ω，用接地电阻测试仪）。</w:t>
      </w:r>
    </w:p>
    <w:p w14:paraId="448B3609">
      <w:pPr>
        <w:numPr>
          <w:ilvl w:val="1"/>
          <w:numId w:val="35"/>
        </w:numPr>
        <w:spacing w:before="0" w:beforeAutospacing="1" w:after="0" w:afterAutospacing="1"/>
        <w:ind w:left="1440" w:hanging="360"/>
      </w:pPr>
      <w:r>
        <w:t>变频器测试：检查变频器参数设置是否正确，进行过载保护测试（模拟过载150%额定电流，确认是否跳闸），清理变频器散热片灰尘。</w:t>
      </w:r>
    </w:p>
    <w:p w14:paraId="12CF290D">
      <w:r>
        <w:rPr>
          <w:b/>
        </w:rPr>
        <w:t>年度维护（每年停机大修，约8小时）</w:t>
      </w:r>
      <w:r>
        <w:t>：</w:t>
      </w:r>
    </w:p>
    <w:p w14:paraId="378968AC">
      <w:pPr>
        <w:numPr>
          <w:ilvl w:val="0"/>
          <w:numId w:val="36"/>
        </w:numPr>
        <w:spacing w:before="0" w:beforeAutospacing="1" w:after="0" w:afterAutospacing="1"/>
        <w:ind w:left="720" w:hanging="360"/>
      </w:pPr>
      <w:r>
        <w:rPr>
          <w:b/>
        </w:rPr>
        <w:t>全面解体检查</w:t>
      </w:r>
      <w:r>
        <w:t>：打开吸附塔、RTO/RCO的人孔门，检查内部构件（吸附剂、催化剂、蓄热体）的磨损、腐蚀、堵塞情况，必要时全部更换（如活性炭使用满1年，催化剂使用满3年）。</w:t>
      </w:r>
    </w:p>
    <w:p w14:paraId="5BC48405">
      <w:pPr>
        <w:numPr>
          <w:ilvl w:val="0"/>
          <w:numId w:val="36"/>
        </w:numPr>
        <w:spacing w:before="0" w:beforeAutospacing="1" w:after="0" w:afterAutospacing="1"/>
        <w:ind w:left="720" w:hanging="360"/>
      </w:pPr>
      <w:r>
        <w:rPr>
          <w:b/>
        </w:rPr>
        <w:t>性能标定</w:t>
      </w:r>
      <w:r>
        <w:t>：通过第三方检测机构对设备处理效率进行标定（通入已知浓度标准气体，测量出口浓度，计算去除率应≥设计值的95%），对流量计、压力表等计量器具进行强制检定（取得检定证书）。</w:t>
      </w:r>
    </w:p>
    <w:p w14:paraId="5A311BE8">
      <w:pPr>
        <w:numPr>
          <w:ilvl w:val="0"/>
          <w:numId w:val="36"/>
        </w:numPr>
        <w:spacing w:before="0" w:beforeAutospacing="1" w:after="0" w:afterAutospacing="1"/>
        <w:ind w:left="720" w:hanging="360"/>
      </w:pPr>
      <w:r>
        <w:rPr>
          <w:b/>
        </w:rPr>
        <w:t>结构防腐</w:t>
      </w:r>
      <w:r>
        <w:t>：对设备内外表面进行除锈防腐处理（喷砂除锈达Sa2.5级，涂刷耐高温防腐涂料，干膜厚度≥100μm），重点部位（如喷淋塔底部、RTO燃烧室）增加防腐层厚度。</w:t>
      </w:r>
    </w:p>
    <w:p w14:paraId="1F0F305E">
      <w:r>
        <w:t>维护保养完成后，需填写《维护保养记录表》，记录维护项目、更换部件型号及数量、测试数据等，并存档备查。</w:t>
      </w:r>
    </w:p>
    <w:p w14:paraId="7280BD35">
      <w:pPr>
        <w:pStyle w:val="4"/>
      </w:pPr>
      <w:r>
        <w:t>6.3 关键部件维护要点</w:t>
      </w:r>
    </w:p>
    <w:p w14:paraId="3DAA26E7">
      <w:r>
        <w:t>废气处理设备的关键部件（如吸附剂、催化剂、滤料、传感器）直接影响处理效率和设备寿命，需制定专项维护要点，确保其性能符合设计要求。</w:t>
      </w:r>
    </w:p>
    <w:p w14:paraId="7B2B25EF">
      <w:r>
        <w:rPr>
          <w:b/>
        </w:rPr>
        <w:t>吸附剂维护（活性炭/沸石）</w:t>
      </w:r>
      <w:r>
        <w:t>：</w:t>
      </w:r>
    </w:p>
    <w:p w14:paraId="6ED4A485">
      <w:pPr>
        <w:numPr>
          <w:ilvl w:val="0"/>
          <w:numId w:val="37"/>
        </w:numPr>
        <w:spacing w:before="0" w:beforeAutospacing="1" w:after="0" w:afterAutospacing="1"/>
        <w:ind w:left="720" w:hanging="360"/>
      </w:pPr>
      <w:r>
        <w:rPr>
          <w:b/>
        </w:rPr>
        <w:t>活性炭</w:t>
      </w:r>
      <w:r>
        <w:t>：</w:t>
      </w:r>
    </w:p>
    <w:p w14:paraId="575B19BB">
      <w:pPr>
        <w:numPr>
          <w:ilvl w:val="1"/>
          <w:numId w:val="37"/>
        </w:numPr>
        <w:spacing w:before="0" w:beforeAutospacing="1" w:after="0" w:afterAutospacing="1"/>
        <w:ind w:left="1440" w:hanging="360"/>
      </w:pPr>
      <w:r>
        <w:rPr>
          <w:b/>
        </w:rPr>
        <w:t>性能监测</w:t>
      </w:r>
      <w:r>
        <w:t>：每周采样检测活性炭碘值（GB/T 7702.7-2008），新活性炭碘值≥800mg/g，使用过程中当碘值＜600mg/g时需更换；每月测量吸附塔进出口浓度差，当浓度差＜80%（即出口浓度＞20%进口浓度）时，判定为吸附饱和，需进行脱附再生。</w:t>
      </w:r>
    </w:p>
    <w:p w14:paraId="45E2EC9D">
      <w:pPr>
        <w:numPr>
          <w:ilvl w:val="1"/>
          <w:numId w:val="37"/>
        </w:numPr>
        <w:spacing w:before="0" w:beforeAutospacing="1" w:after="0" w:afterAutospacing="1"/>
        <w:ind w:left="1440" w:hanging="360"/>
      </w:pPr>
      <w:r>
        <w:rPr>
          <w:b/>
        </w:rPr>
        <w:t>脱附再生</w:t>
      </w:r>
      <w:r>
        <w:t>：脱附周期8-12小时（根据吸附量调整），严格控制脱附温度（煤质活性炭≤180℃，木质活性炭≤200℃）和升温速率（5-10℃/min），防止活性炭炭化。脱附后用常温氮气降温至40℃以下，避免高温下活性炭吸附空气中的水分和杂质。</w:t>
      </w:r>
    </w:p>
    <w:p w14:paraId="289AF59E">
      <w:pPr>
        <w:numPr>
          <w:ilvl w:val="1"/>
          <w:numId w:val="37"/>
        </w:numPr>
        <w:spacing w:before="0" w:beforeAutospacing="1" w:after="0" w:afterAutospacing="1"/>
        <w:ind w:left="1440" w:hanging="360"/>
      </w:pPr>
      <w:r>
        <w:rPr>
          <w:b/>
        </w:rPr>
        <w:t>更换方法</w:t>
      </w:r>
      <w:r>
        <w:t>：更换前需清空塔内旧活性炭（通过底部卸料口排出，注意防尘），清理塔内支撑格栅和气流分布板（去除积垢），新活性炭需过筛去除粉末（粒径＜2mm的粉末含量≤5%），分层装填（每层500mm，装填后平整表面，防止气流短路），装填量误差≤±2%设计值。</w:t>
      </w:r>
    </w:p>
    <w:p w14:paraId="0A0ACBE1">
      <w:pPr>
        <w:numPr>
          <w:ilvl w:val="0"/>
          <w:numId w:val="37"/>
        </w:numPr>
        <w:spacing w:before="0" w:beforeAutospacing="1" w:after="0" w:afterAutospacing="1"/>
        <w:ind w:left="720" w:hanging="360"/>
      </w:pPr>
      <w:r>
        <w:rPr>
          <w:b/>
        </w:rPr>
        <w:t>沸石分子筛</w:t>
      </w:r>
      <w:r>
        <w:t>：</w:t>
      </w:r>
    </w:p>
    <w:p w14:paraId="08DBE489">
      <w:pPr>
        <w:numPr>
          <w:ilvl w:val="1"/>
          <w:numId w:val="37"/>
        </w:numPr>
        <w:spacing w:before="0" w:beforeAutospacing="1" w:after="0" w:afterAutospacing="1"/>
        <w:ind w:left="1440" w:hanging="360"/>
      </w:pPr>
      <w:r>
        <w:rPr>
          <w:b/>
        </w:rPr>
        <w:t>性能监测</w:t>
      </w:r>
      <w:r>
        <w:t>：每月检查沸石转轮进出口压差（正常运行压差＜1000Pa，压差增大表明转轮堵塞），通过称重法测量吸附容量（新转轮吸附容量≥0.15g/g，下降至0.08g/g时需更换）。</w:t>
      </w:r>
    </w:p>
    <w:p w14:paraId="3908B9EB">
      <w:pPr>
        <w:numPr>
          <w:ilvl w:val="1"/>
          <w:numId w:val="37"/>
        </w:numPr>
        <w:spacing w:before="0" w:beforeAutospacing="1" w:after="0" w:afterAutospacing="1"/>
        <w:ind w:left="1440" w:hanging="360"/>
      </w:pPr>
      <w:r>
        <w:rPr>
          <w:b/>
        </w:rPr>
        <w:t>清洗再生</w:t>
      </w:r>
      <w:r>
        <w:t>：当转轮吸附性能下降（出口浓度升高）时，可用热空气（180-200℃）吹扫4-6小时，去除表面附着物；若因硅烷类物质中毒，可用稀酸溶液（5%硝酸）循环清洗（需咨询厂家，避免损坏结构）。</w:t>
      </w:r>
    </w:p>
    <w:p w14:paraId="054328D9">
      <w:pPr>
        <w:numPr>
          <w:ilvl w:val="1"/>
          <w:numId w:val="37"/>
        </w:numPr>
        <w:spacing w:before="0" w:beforeAutospacing="1" w:after="0" w:afterAutospacing="1"/>
        <w:ind w:left="1440" w:hanging="360"/>
      </w:pPr>
      <w:r>
        <w:rPr>
          <w:b/>
        </w:rPr>
        <w:t>更换注意事项</w:t>
      </w:r>
      <w:r>
        <w:t>：更换转轮时需确保新转轮与原型号一致（尺寸、孔径、比表面积），安装时调整转轮与密封件的间隙（≤0.5mm），防止漏气影响效率。</w:t>
      </w:r>
    </w:p>
    <w:p w14:paraId="1BAD485C">
      <w:r>
        <w:rPr>
          <w:b/>
        </w:rPr>
        <w:t>催化剂维护（RCO/RTO催化剂）</w:t>
      </w:r>
      <w:r>
        <w:t>：</w:t>
      </w:r>
    </w:p>
    <w:p w14:paraId="34B4687A">
      <w:pPr>
        <w:numPr>
          <w:ilvl w:val="0"/>
          <w:numId w:val="38"/>
        </w:numPr>
        <w:spacing w:before="0" w:beforeAutospacing="1" w:after="0" w:afterAutospacing="1"/>
        <w:ind w:left="720" w:hanging="360"/>
      </w:pPr>
      <w:r>
        <w:rPr>
          <w:b/>
        </w:rPr>
        <w:t>性能监测</w:t>
      </w:r>
      <w:r>
        <w:t>：每月监测RCO出口CO浓度（应≤50ppm，O₂含量8-10%工况下），当CO浓度持续升高（＞100ppm）且进口VOCs浓度稳定时，表明催化剂活性下降；每季度进行活性测试（通入500mg/m³甲苯标准气，转化率应≥95%，＜90%时需再生或更换）。</w:t>
      </w:r>
    </w:p>
    <w:p w14:paraId="2B43A1DD">
      <w:pPr>
        <w:numPr>
          <w:ilvl w:val="0"/>
          <w:numId w:val="38"/>
        </w:numPr>
        <w:spacing w:before="0" w:beforeAutospacing="1" w:after="0" w:afterAutospacing="1"/>
        <w:ind w:left="720" w:hanging="360"/>
      </w:pPr>
      <w:r>
        <w:rPr>
          <w:b/>
        </w:rPr>
        <w:t>中毒与再生</w:t>
      </w:r>
      <w:r>
        <w:t>：催化剂暂时中毒（如吸附硫化物）时，可通入400-450℃热空气（风量为处理风量的20%）吹扫4-6小时，恢复活性；永久中毒（重金属污染）或烧结（活性组分晶粒长大）时需更换催化剂，更换周期通常2-3年（处理气量约800-1000万m³）。</w:t>
      </w:r>
    </w:p>
    <w:p w14:paraId="4ADCAD7C">
      <w:pPr>
        <w:numPr>
          <w:ilvl w:val="0"/>
          <w:numId w:val="38"/>
        </w:numPr>
        <w:spacing w:before="0" w:beforeAutospacing="1" w:after="0" w:afterAutospacing="1"/>
        <w:ind w:left="720" w:hanging="360"/>
      </w:pPr>
      <w:r>
        <w:rPr>
          <w:b/>
        </w:rPr>
        <w:t>安装与更换</w:t>
      </w:r>
      <w:r>
        <w:t>：催化剂安装前需检查反应器内部是否清洁（无粉尘、杂物），催化剂模块需整齐排列（间隙≤2mm），用压条固定防止松动；更换时避免催化剂破碎（陶瓷载体易碎），废催化剂按危废处理，交由有资质单位处置。</w:t>
      </w:r>
    </w:p>
    <w:p w14:paraId="62CC95B1">
      <w:r>
        <w:rPr>
          <w:b/>
        </w:rPr>
        <w:t>滤料维护（过滤器/布袋除尘器）</w:t>
      </w:r>
      <w:r>
        <w:t>：</w:t>
      </w:r>
    </w:p>
    <w:p w14:paraId="6DA7A6D2">
      <w:pPr>
        <w:numPr>
          <w:ilvl w:val="0"/>
          <w:numId w:val="39"/>
        </w:numPr>
        <w:spacing w:before="0" w:beforeAutospacing="1" w:after="0" w:afterAutospacing="1"/>
        <w:ind w:left="720" w:hanging="360"/>
      </w:pPr>
      <w:r>
        <w:rPr>
          <w:b/>
        </w:rPr>
        <w:t>性能监测</w:t>
      </w:r>
      <w:r>
        <w:t>：每日记录过滤器压差（初始压差300-500Pa，终压差1500Pa），当压差达到终压差或使用满1个月时更换滤料；用激光粒子计数器检测过滤器出口粉尘浓度（应≤10mg/m³），超标时检查是否有滤料破损。</w:t>
      </w:r>
    </w:p>
    <w:p w14:paraId="6BBB0870">
      <w:pPr>
        <w:numPr>
          <w:ilvl w:val="0"/>
          <w:numId w:val="39"/>
        </w:numPr>
        <w:spacing w:before="0" w:beforeAutospacing="1" w:after="0" w:afterAutospacing="1"/>
        <w:ind w:left="720" w:hanging="360"/>
      </w:pPr>
      <w:r>
        <w:rPr>
          <w:b/>
        </w:rPr>
        <w:t>滤料选择</w:t>
      </w:r>
      <w:r>
        <w:t>：根据废气特性选择滤料材质：常温低湿废气用涤纶针刺毡（耐温≤130℃）；高温废气（150-200℃）用PPS针刺毡（耐温≤190℃）；酸性废气用PTFE覆膜滤料（耐酸腐蚀）。滤料精度根据下游设备要求选择（保护活性炭吸附塔用5μm滤料，保护催化剂用1μm滤料）。</w:t>
      </w:r>
    </w:p>
    <w:p w14:paraId="2E30EA4A">
      <w:pPr>
        <w:numPr>
          <w:ilvl w:val="0"/>
          <w:numId w:val="39"/>
        </w:numPr>
        <w:spacing w:before="0" w:beforeAutospacing="1" w:after="0" w:afterAutospacing="1"/>
        <w:ind w:left="720" w:hanging="360"/>
      </w:pPr>
      <w:r>
        <w:rPr>
          <w:b/>
        </w:rPr>
        <w:t>更换方法</w:t>
      </w:r>
      <w:r>
        <w:t>：更换滤料时需关闭对应过滤器的进出口风阀，打开检修门，取出旧滤料（避免粉尘散落），清理滤料框架（用压缩空气吹扫），安装新滤料（确保密封良好，无褶皱），更换后进行检漏（用强光手电照射滤料，无漏光点）。</w:t>
      </w:r>
    </w:p>
    <w:p w14:paraId="6E730A6E">
      <w:r>
        <w:rPr>
          <w:b/>
        </w:rPr>
        <w:t>传感器维护（VOCs、温度、压力传感器）</w:t>
      </w:r>
      <w:r>
        <w:t>：</w:t>
      </w:r>
    </w:p>
    <w:p w14:paraId="00B33E14">
      <w:pPr>
        <w:numPr>
          <w:ilvl w:val="0"/>
          <w:numId w:val="40"/>
        </w:numPr>
        <w:spacing w:before="0" w:beforeAutospacing="1" w:after="0" w:afterAutospacing="1"/>
        <w:ind w:left="720" w:hanging="360"/>
      </w:pPr>
      <w:r>
        <w:rPr>
          <w:b/>
        </w:rPr>
        <w:t>VOCs传感器</w:t>
      </w:r>
      <w:r>
        <w:t>：每半年进行一次标定（零点+量程标定），使用经计量部门认证的标准气体（如1000mg/m³甲苯），标定后记录修正系数；传感器寿命通常2-3年（PID灯寿命5000小时），到期需整体更换。</w:t>
      </w:r>
    </w:p>
    <w:p w14:paraId="3949744F">
      <w:pPr>
        <w:numPr>
          <w:ilvl w:val="0"/>
          <w:numId w:val="40"/>
        </w:numPr>
        <w:spacing w:before="0" w:beforeAutospacing="1" w:after="0" w:afterAutospacing="1"/>
        <w:ind w:left="720" w:hanging="360"/>
      </w:pPr>
      <w:r>
        <w:rPr>
          <w:b/>
        </w:rPr>
        <w:t>温度传感器</w:t>
      </w:r>
      <w:r>
        <w:t>：每年用标准温度计（精度±0.1℃）在恒温槽中校准，误差＞±0.5℃时需更换；安装在高温区的传感器（如RTO燃烧室）每半年检查一次保护套管腐蚀情况（壁厚减少＞1mm时更换）。</w:t>
      </w:r>
    </w:p>
    <w:p w14:paraId="197D8761">
      <w:pPr>
        <w:numPr>
          <w:ilvl w:val="0"/>
          <w:numId w:val="40"/>
        </w:numPr>
        <w:spacing w:before="0" w:beforeAutospacing="1" w:after="0" w:afterAutospacing="1"/>
        <w:ind w:left="720" w:hanging="360"/>
      </w:pPr>
      <w:r>
        <w:rPr>
          <w:b/>
        </w:rPr>
        <w:t>压力传感器</w:t>
      </w:r>
      <w:r>
        <w:t>：每季度用标准压力源校准，零点漂移＞±0.5%FS时需调整；测量粘性或腐蚀性介质的传感器，每月检查隔离膜片有无破损或堵塞，必要时更换传感器。</w:t>
      </w:r>
    </w:p>
    <w:p w14:paraId="7A0537D0">
      <w:r>
        <w:rPr>
          <w:b/>
        </w:rPr>
        <w:t>蓄热体维护（RTO）</w:t>
      </w:r>
      <w:r>
        <w:t>：</w:t>
      </w:r>
    </w:p>
    <w:p w14:paraId="2FB65128">
      <w:pPr>
        <w:numPr>
          <w:ilvl w:val="0"/>
          <w:numId w:val="41"/>
        </w:numPr>
        <w:spacing w:before="0" w:beforeAutospacing="1" w:after="0" w:afterAutospacing="1"/>
        <w:ind w:left="720" w:hanging="360"/>
      </w:pPr>
      <w:r>
        <w:rPr>
          <w:b/>
        </w:rPr>
        <w:t>性能监测</w:t>
      </w:r>
      <w:r>
        <w:t>：每月检查RTO进出口温差（热效率=（进口温度-出口温度）/（进口温度-环境温度）×100%，应＞95%），热效率下降表明蓄热体堵塞或破损；每季度用内窥镜检查蓄热体孔道有无结焦（孔径缩小＞30%时需清理）。</w:t>
      </w:r>
    </w:p>
    <w:p w14:paraId="1B3DB4C4">
      <w:pPr>
        <w:numPr>
          <w:ilvl w:val="0"/>
          <w:numId w:val="41"/>
        </w:numPr>
        <w:spacing w:before="0" w:beforeAutospacing="1" w:after="0" w:afterAutospacing="1"/>
        <w:ind w:left="720" w:hanging="360"/>
      </w:pPr>
      <w:r>
        <w:rPr>
          <w:b/>
        </w:rPr>
        <w:t>清理与再生</w:t>
      </w:r>
      <w:r>
        <w:t>：轻微结焦可通过提高燃烧室温度（900-950℃）并延长停留时间（3-5秒）实现热解清除；严重堵塞时需取出蓄热体，用高压水枪（压力5-10MPa）冲洗或超声波清洗（频率40kHz）。</w:t>
      </w:r>
    </w:p>
    <w:p w14:paraId="51473015">
      <w:pPr>
        <w:numPr>
          <w:ilvl w:val="0"/>
          <w:numId w:val="41"/>
        </w:numPr>
        <w:spacing w:before="0" w:beforeAutospacing="1" w:after="0" w:afterAutospacing="1"/>
        <w:ind w:left="720" w:hanging="360"/>
      </w:pPr>
      <w:r>
        <w:rPr>
          <w:b/>
        </w:rPr>
        <w:t>更换标准</w:t>
      </w:r>
      <w:r>
        <w:t>：蓄热体出现裂纹（长度＞50mm）、碎裂（破损率＞5%）或热容量下降（＜800kJ/m³·K）时需更换，更换时确保新蓄热体与原规格一致（材质、孔密度、尺寸），装填时整齐排列，避免间隙过大。</w:t>
      </w:r>
    </w:p>
    <w:p w14:paraId="5B110B9E">
      <w:pPr>
        <w:pStyle w:val="3"/>
      </w:pPr>
      <w:r>
        <w:t>七、常见故障诊断与处理</w:t>
      </w:r>
    </w:p>
    <w:p w14:paraId="22C39C5F">
      <w:pPr>
        <w:pStyle w:val="4"/>
      </w:pPr>
      <w:r>
        <w:t>7.1 机械系统故障</w:t>
      </w:r>
    </w:p>
    <w:p w14:paraId="56DC67B0">
      <w:r>
        <w:t>机械系统故障主要涉及风机、泵类、管道及阀门等运动部件，表现为振动、异响、泄漏或堵塞，若不及时处理可能导致设备损坏或系统停机。以下是常见机械故障的现象、成因及处理对策。</w:t>
      </w:r>
    </w:p>
    <w:p w14:paraId="0CD19403">
      <w:r>
        <w:rPr>
          <w:b/>
        </w:rPr>
        <w:t>风机异常振动与异响</w:t>
      </w:r>
      <w:r>
        <w:t>：</w:t>
      </w:r>
    </w:p>
    <w:p w14:paraId="264A9069">
      <w:pPr>
        <w:numPr>
          <w:ilvl w:val="0"/>
          <w:numId w:val="42"/>
        </w:numPr>
        <w:spacing w:before="0" w:beforeAutospacing="1" w:after="0" w:afterAutospacing="1"/>
        <w:ind w:left="720" w:hanging="360"/>
      </w:pPr>
      <w:r>
        <w:rPr>
          <w:b/>
        </w:rPr>
        <w:t>故障现象</w:t>
      </w:r>
      <w:r>
        <w:t>：风机运行时振动幅度超过0.1mm（位移量），轴承座温度＞70℃，伴随高频尖锐噪音（＞85dB）或周期性“嗡嗡”声，严重时导致底座螺栓松动或设备停机。</w:t>
      </w:r>
    </w:p>
    <w:p w14:paraId="3B5DCFE7">
      <w:pPr>
        <w:numPr>
          <w:ilvl w:val="0"/>
          <w:numId w:val="42"/>
        </w:numPr>
        <w:spacing w:before="0" w:beforeAutospacing="1" w:after="0" w:afterAutospacing="1"/>
        <w:ind w:left="720" w:hanging="360"/>
      </w:pPr>
      <w:r>
        <w:rPr>
          <w:b/>
        </w:rPr>
        <w:t>成因分析</w:t>
      </w:r>
      <w:r>
        <w:t>：</w:t>
      </w:r>
    </w:p>
    <w:p w14:paraId="3B652534">
      <w:pPr>
        <w:numPr>
          <w:ilvl w:val="1"/>
          <w:numId w:val="42"/>
        </w:numPr>
        <w:spacing w:before="0" w:beforeAutospacing="1" w:after="0" w:afterAutospacing="1"/>
        <w:ind w:left="1440" w:hanging="360"/>
      </w:pPr>
      <w:r>
        <w:t>叶轮不平衡：叶轮积灰（如环氧粉尘沉积，不平衡量＞5g·mm）或叶片磨损（局部厚度减少＞10%）导致动平衡失调。</w:t>
      </w:r>
    </w:p>
    <w:p w14:paraId="528A03E0">
      <w:pPr>
        <w:numPr>
          <w:ilvl w:val="1"/>
          <w:numId w:val="42"/>
        </w:numPr>
        <w:spacing w:before="0" w:beforeAutospacing="1" w:after="0" w:afterAutospacing="1"/>
        <w:ind w:left="1440" w:hanging="360"/>
      </w:pPr>
      <w:r>
        <w:t>轴承故障：轴承润滑不足（油脂量＜轴承腔容积的1/3）、油脂变质（颜色发黑、有异味）或轴承磨损（游隙＞0.03mm，滚道出现点蚀）。</w:t>
      </w:r>
    </w:p>
    <w:p w14:paraId="7A295A53">
      <w:pPr>
        <w:numPr>
          <w:ilvl w:val="1"/>
          <w:numId w:val="42"/>
        </w:numPr>
        <w:spacing w:before="0" w:beforeAutospacing="1" w:after="0" w:afterAutospacing="1"/>
        <w:ind w:left="1440" w:hanging="360"/>
      </w:pPr>
      <w:r>
        <w:t>对中不良：电机与风机轴同轴度偏差＞0.1mm/m（径向）或＞0.2mm/m（轴向），导致联轴器偏磨或皮带轮跑偏。</w:t>
      </w:r>
    </w:p>
    <w:p w14:paraId="69110A15">
      <w:pPr>
        <w:numPr>
          <w:ilvl w:val="1"/>
          <w:numId w:val="42"/>
        </w:numPr>
        <w:spacing w:before="0" w:beforeAutospacing="1" w:after="0" w:afterAutospacing="1"/>
        <w:ind w:left="1440" w:hanging="360"/>
      </w:pPr>
      <w:r>
        <w:t>基础松动：底座螺栓扭矩＜20N·m，或减震垫老化（硬度＞90 Shore A，失去弹性）。</w:t>
      </w:r>
    </w:p>
    <w:p w14:paraId="2BD04562">
      <w:pPr>
        <w:numPr>
          <w:ilvl w:val="0"/>
          <w:numId w:val="42"/>
        </w:numPr>
        <w:spacing w:before="0" w:beforeAutospacing="1" w:after="0" w:afterAutospacing="1"/>
        <w:ind w:left="720" w:hanging="360"/>
      </w:pPr>
      <w:r>
        <w:rPr>
          <w:b/>
        </w:rPr>
        <w:t>处理对策</w:t>
      </w:r>
      <w:r>
        <w:t>：</w:t>
      </w:r>
    </w:p>
    <w:p w14:paraId="63F65223">
      <w:pPr>
        <w:numPr>
          <w:ilvl w:val="1"/>
          <w:numId w:val="42"/>
        </w:numPr>
        <w:spacing w:before="0" w:beforeAutospacing="1" w:after="0" w:afterAutospacing="1"/>
        <w:ind w:left="1440" w:hanging="360"/>
      </w:pPr>
      <w:r>
        <w:t>叶轮校准：拆卸叶轮，用动平衡仪（精度±0.1g·mm）进行动平衡校准，清除积灰或更换磨损叶片（叶片裂纹深度＞1mm时必须更换）。</w:t>
      </w:r>
    </w:p>
    <w:p w14:paraId="72C3CC76">
      <w:pPr>
        <w:numPr>
          <w:ilvl w:val="1"/>
          <w:numId w:val="42"/>
        </w:numPr>
        <w:spacing w:before="0" w:beforeAutospacing="1" w:after="0" w:afterAutospacing="1"/>
        <w:ind w:left="1440" w:hanging="360"/>
      </w:pPr>
      <w:r>
        <w:t>轴承更换：拆除电机和风机端盖，取出旧轴承（型号需匹配，如6312），用煤油清洗轴承座，新轴承加热至80-100℃后安装，加注30%-50%轴承腔容积的锂基润滑脂（NLGI 2级）。</w:t>
      </w:r>
    </w:p>
    <w:p w14:paraId="2A841D0A">
      <w:pPr>
        <w:numPr>
          <w:ilvl w:val="1"/>
          <w:numId w:val="42"/>
        </w:numPr>
        <w:spacing w:before="0" w:beforeAutospacing="1" w:after="0" w:afterAutospacing="1"/>
        <w:ind w:left="1440" w:hanging="360"/>
      </w:pPr>
      <w:r>
        <w:t>对中调整：采用百分表对中法调整电机与风机轴的同轴度（径向偏差≤0.05mm/m，轴向偏差≤0.1mm/m），皮带传动时调整皮带轮平行度（偏差≤0.5mm）。</w:t>
      </w:r>
    </w:p>
    <w:p w14:paraId="18E3F052">
      <w:pPr>
        <w:numPr>
          <w:ilvl w:val="1"/>
          <w:numId w:val="42"/>
        </w:numPr>
        <w:spacing w:before="0" w:beforeAutospacing="1" w:after="0" w:afterAutospacing="1"/>
        <w:ind w:left="1440" w:hanging="360"/>
      </w:pPr>
      <w:r>
        <w:t>基础加固：重新紧固底座螺栓（扭矩30-35N·m，对角均匀拧紧），更换老化减震垫（选用硬度60-70 Shore A的橡胶垫），必要时增加配重块（减少共振）。</w:t>
      </w:r>
    </w:p>
    <w:p w14:paraId="1ACE5E43">
      <w:r>
        <w:rPr>
          <w:b/>
        </w:rPr>
        <w:t>管道堵塞与泄漏</w:t>
      </w:r>
      <w:r>
        <w:t>：</w:t>
      </w:r>
    </w:p>
    <w:p w14:paraId="27DBDD00">
      <w:pPr>
        <w:numPr>
          <w:ilvl w:val="0"/>
          <w:numId w:val="43"/>
        </w:numPr>
        <w:spacing w:before="0" w:beforeAutospacing="1" w:after="0" w:afterAutospacing="1"/>
        <w:ind w:left="720" w:hanging="360"/>
      </w:pPr>
      <w:r>
        <w:rPr>
          <w:b/>
        </w:rPr>
        <w:t>故障现象</w:t>
      </w:r>
      <w:r>
        <w:t>：系统压差突然增大（超过设计值50%，如从1000Pa升至1500Pa），风机电流升高（超过额定值10%），或管道连接处有刺激性气味逸出，局部检测VOCs浓度＞25%LEL。</w:t>
      </w:r>
    </w:p>
    <w:p w14:paraId="4AD1CA2B">
      <w:pPr>
        <w:numPr>
          <w:ilvl w:val="0"/>
          <w:numId w:val="43"/>
        </w:numPr>
        <w:spacing w:before="0" w:beforeAutospacing="1" w:after="0" w:afterAutospacing="1"/>
        <w:ind w:left="720" w:hanging="360"/>
      </w:pPr>
      <w:r>
        <w:rPr>
          <w:b/>
        </w:rPr>
        <w:t>成因分析</w:t>
      </w:r>
      <w:r>
        <w:t>：</w:t>
      </w:r>
    </w:p>
    <w:p w14:paraId="2B3682DF">
      <w:pPr>
        <w:numPr>
          <w:ilvl w:val="1"/>
          <w:numId w:val="43"/>
        </w:numPr>
        <w:spacing w:before="0" w:beforeAutospacing="1" w:after="0" w:afterAutospacing="1"/>
        <w:ind w:left="1440" w:hanging="360"/>
      </w:pPr>
      <w:r>
        <w:t>粉尘沉积：废气中环氧粉尘（粒径0.1-10μm）在管道弯头、阀门或水平段沉积，形成厚度＞5mm的积垢，尤其在风速＜10m/s的低流速区域。</w:t>
      </w:r>
    </w:p>
    <w:p w14:paraId="296DEB95">
      <w:pPr>
        <w:numPr>
          <w:ilvl w:val="1"/>
          <w:numId w:val="43"/>
        </w:numPr>
        <w:spacing w:before="0" w:beforeAutospacing="1" w:after="0" w:afterAutospacing="1"/>
        <w:ind w:left="1440" w:hanging="360"/>
      </w:pPr>
      <w:r>
        <w:t>管道腐蚀：酸性废气（如含HCl）导致管道内壁腐蚀（壁厚减少＞0.5mm/年），形成孔洞或裂缝（宽度＞0.2mm）。</w:t>
      </w:r>
    </w:p>
    <w:p w14:paraId="65D4D593">
      <w:pPr>
        <w:numPr>
          <w:ilvl w:val="1"/>
          <w:numId w:val="43"/>
        </w:numPr>
        <w:spacing w:before="0" w:beforeAutospacing="1" w:after="0" w:afterAutospacing="1"/>
        <w:ind w:left="1440" w:hanging="360"/>
      </w:pPr>
      <w:r>
        <w:t>密封失效：法兰密封垫老化（使用超过1年）、螺栓松动（扭矩＜15N·m）或焊接缺陷（未焊透、气孔）导致泄漏。</w:t>
      </w:r>
    </w:p>
    <w:p w14:paraId="13AB1008">
      <w:pPr>
        <w:numPr>
          <w:ilvl w:val="0"/>
          <w:numId w:val="43"/>
        </w:numPr>
        <w:spacing w:before="0" w:beforeAutospacing="1" w:after="0" w:afterAutospacing="1"/>
        <w:ind w:left="720" w:hanging="360"/>
      </w:pPr>
      <w:r>
        <w:rPr>
          <w:b/>
        </w:rPr>
        <w:t>处理对策</w:t>
      </w:r>
      <w:r>
        <w:t>：</w:t>
      </w:r>
    </w:p>
    <w:p w14:paraId="5D22AD78">
      <w:pPr>
        <w:numPr>
          <w:ilvl w:val="1"/>
          <w:numId w:val="43"/>
        </w:numPr>
        <w:spacing w:before="0" w:beforeAutospacing="1" w:after="0" w:afterAutospacing="1"/>
        <w:ind w:left="1440" w:hanging="360"/>
      </w:pPr>
      <w:r>
        <w:t>清除积垢：拆卸管道检查孔，用高压空气（0.6-0.8MPa）吹扫或机械清理（长杆刷）积垢；严重堵塞时需切割管道，清理后重新焊接（采用氩弧焊，确保内壁光滑）。</w:t>
      </w:r>
    </w:p>
    <w:p w14:paraId="4ED2E1B1">
      <w:pPr>
        <w:numPr>
          <w:ilvl w:val="1"/>
          <w:numId w:val="43"/>
        </w:numPr>
        <w:spacing w:before="0" w:beforeAutospacing="1" w:after="0" w:afterAutospacing="1"/>
        <w:ind w:left="1440" w:hanging="360"/>
      </w:pPr>
      <w:r>
        <w:t>修改管道设计：低流速区域增加导流板或提高风速至12-15m/s，水平管道坡度增大至2°，在低点增设排灰阀（DN50，每周排放一次）。</w:t>
      </w:r>
    </w:p>
    <w:p w14:paraId="43E6C3C1">
      <w:pPr>
        <w:numPr>
          <w:ilvl w:val="1"/>
          <w:numId w:val="43"/>
        </w:numPr>
        <w:spacing w:before="0" w:beforeAutospacing="1" w:after="0" w:afterAutospacing="1"/>
        <w:ind w:left="1440" w:hanging="360"/>
      </w:pPr>
      <w:r>
        <w:t>泄漏修复：腐蚀孔洞可用补焊（不锈钢管道用308焊条）或环氧树脂修补；更换老化密封垫（选用氟橡胶垫，耐温≥200℃），法兰螺栓按对角顺序拧紧（扭矩25-30N·m），泄漏点用密封胶（聚四氟乙烯胶带+密封胶）加强密封。</w:t>
      </w:r>
    </w:p>
    <w:p w14:paraId="08767A8D">
      <w:r>
        <w:rPr>
          <w:b/>
        </w:rPr>
        <w:t>阀门失灵</w:t>
      </w:r>
      <w:r>
        <w:t>：</w:t>
      </w:r>
    </w:p>
    <w:p w14:paraId="41CC1C00">
      <w:pPr>
        <w:numPr>
          <w:ilvl w:val="0"/>
          <w:numId w:val="44"/>
        </w:numPr>
        <w:spacing w:before="0" w:beforeAutospacing="1" w:after="0" w:afterAutospacing="1"/>
        <w:ind w:left="720" w:hanging="360"/>
      </w:pPr>
      <w:r>
        <w:rPr>
          <w:b/>
        </w:rPr>
        <w:t>故障现象</w:t>
      </w:r>
      <w:r>
        <w:t>：电动/气动阀门无法全开/全关，动作迟缓（响应时间＞10秒），或阀位反馈与实际位置偏差＞5%，导致风量调节失控或系统压力波动。</w:t>
      </w:r>
    </w:p>
    <w:p w14:paraId="703011DA">
      <w:pPr>
        <w:numPr>
          <w:ilvl w:val="0"/>
          <w:numId w:val="44"/>
        </w:numPr>
        <w:spacing w:before="0" w:beforeAutospacing="1" w:after="0" w:afterAutospacing="1"/>
        <w:ind w:left="720" w:hanging="360"/>
      </w:pPr>
      <w:r>
        <w:rPr>
          <w:b/>
        </w:rPr>
        <w:t>成因分析</w:t>
      </w:r>
      <w:r>
        <w:t>：</w:t>
      </w:r>
    </w:p>
    <w:p w14:paraId="683CB295">
      <w:pPr>
        <w:numPr>
          <w:ilvl w:val="1"/>
          <w:numId w:val="44"/>
        </w:numPr>
        <w:spacing w:before="0" w:beforeAutospacing="1" w:after="0" w:afterAutospacing="1"/>
        <w:ind w:left="1440" w:hanging="360"/>
      </w:pPr>
      <w:r>
        <w:t>执行器故障：电动阀门电机烧毁（过载或缺相）、减速器齿轮磨损（齿厚减少＞10%）；气动阀门气缸漏气（活塞密封圈破损）、电磁阀卡滞（阀芯有异物）。</w:t>
      </w:r>
    </w:p>
    <w:p w14:paraId="16078FCE">
      <w:pPr>
        <w:numPr>
          <w:ilvl w:val="1"/>
          <w:numId w:val="44"/>
        </w:numPr>
        <w:spacing w:before="0" w:beforeAutospacing="1" w:after="0" w:afterAutospacing="1"/>
        <w:ind w:left="1440" w:hanging="360"/>
      </w:pPr>
      <w:r>
        <w:t>阀板卡滞：阀板与阀体间有异物（如螺栓、焊渣）卡住，或阀板变形（挠度＞2mm）导致无法密封。</w:t>
      </w:r>
    </w:p>
    <w:p w14:paraId="6ABB7176">
      <w:pPr>
        <w:numPr>
          <w:ilvl w:val="1"/>
          <w:numId w:val="44"/>
        </w:numPr>
        <w:spacing w:before="0" w:beforeAutospacing="1" w:after="0" w:afterAutospacing="1"/>
        <w:ind w:left="1440" w:hanging="360"/>
      </w:pPr>
      <w:r>
        <w:t>反馈故障：位置传感器（如电位器、编码器）损坏或接线松动，导致阀位信号错误。</w:t>
      </w:r>
    </w:p>
    <w:p w14:paraId="0423736D">
      <w:pPr>
        <w:numPr>
          <w:ilvl w:val="0"/>
          <w:numId w:val="44"/>
        </w:numPr>
        <w:spacing w:before="0" w:beforeAutospacing="1" w:after="0" w:afterAutospacing="1"/>
        <w:ind w:left="720" w:hanging="360"/>
      </w:pPr>
      <w:r>
        <w:rPr>
          <w:b/>
        </w:rPr>
        <w:t>处理对策</w:t>
      </w:r>
      <w:r>
        <w:t>：</w:t>
      </w:r>
    </w:p>
    <w:p w14:paraId="14C41C18">
      <w:pPr>
        <w:numPr>
          <w:ilvl w:val="1"/>
          <w:numId w:val="44"/>
        </w:numPr>
        <w:spacing w:before="0" w:beforeAutospacing="1" w:after="0" w:afterAutospacing="1"/>
        <w:ind w:left="1440" w:hanging="360"/>
      </w:pPr>
      <w:r>
        <w:t>执行器维修：电动阀门更换烧毁电机（需与原功率、转速一致）或减速器齿轮；气动阀门更换气缸密封圈（氟橡胶材质）或电磁阀（型号需匹配），清理气源处理元件（过滤器、减压阀）。</w:t>
      </w:r>
    </w:p>
    <w:p w14:paraId="476549FB">
      <w:pPr>
        <w:numPr>
          <w:ilvl w:val="1"/>
          <w:numId w:val="44"/>
        </w:numPr>
        <w:spacing w:before="0" w:beforeAutospacing="1" w:after="0" w:afterAutospacing="1"/>
        <w:ind w:left="1440" w:hanging="360"/>
      </w:pPr>
      <w:r>
        <w:t>阀板清理与修复：拆卸阀门，清除异物，校直变形阀板（平整度偏差≤0.5mm/m），研磨密封面（粗糙度Ra≤1.6μm）。</w:t>
      </w:r>
    </w:p>
    <w:p w14:paraId="232005DB">
      <w:pPr>
        <w:numPr>
          <w:ilvl w:val="1"/>
          <w:numId w:val="44"/>
        </w:numPr>
        <w:spacing w:before="0" w:beforeAutospacing="1" w:after="0" w:afterAutospacing="1"/>
        <w:ind w:left="1440" w:hanging="360"/>
      </w:pPr>
      <w:r>
        <w:t>反馈校准：更换损坏的位置传感器，重新校准阀位（全开时输出20mA，全关时4mA），调整反馈杆与阀轴的连接（确保同步运动，无空程）。</w:t>
      </w:r>
    </w:p>
    <w:p w14:paraId="203199CD">
      <w:pPr>
        <w:pStyle w:val="4"/>
      </w:pPr>
      <w:r>
        <w:t>7.2 过滤与吸附系统故障</w:t>
      </w:r>
    </w:p>
    <w:p w14:paraId="02A8EA4C">
      <w:r>
        <w:t>过滤与吸附系统是去除粉尘和VOCs的关键环节，常见故障包括滤料堵塞/破损、活性炭吸附效率下降等，直接影响后续净化设备的安全和效率。</w:t>
      </w:r>
    </w:p>
    <w:p w14:paraId="627B8FB3">
      <w:r>
        <w:rPr>
          <w:b/>
        </w:rPr>
        <w:t>滤袋/滤料堵塞与破损</w:t>
      </w:r>
      <w:r>
        <w:t>：</w:t>
      </w:r>
    </w:p>
    <w:p w14:paraId="2BBFBDB4">
      <w:pPr>
        <w:numPr>
          <w:ilvl w:val="0"/>
          <w:numId w:val="45"/>
        </w:numPr>
        <w:spacing w:before="0" w:beforeAutospacing="1" w:after="0" w:afterAutospacing="1"/>
        <w:ind w:left="720" w:hanging="360"/>
      </w:pPr>
      <w:r>
        <w:rPr>
          <w:b/>
        </w:rPr>
        <w:t>故障现象</w:t>
      </w:r>
      <w:r>
        <w:t>：过滤器进出口压差持续升高（超过1500Pa），风机电流增大（超过额定值15%），或出口粉尘浓度超标（＞10mg/m³），净气室观察到明显漏光点（滤袋破损时）。</w:t>
      </w:r>
    </w:p>
    <w:p w14:paraId="0D2765A2">
      <w:pPr>
        <w:numPr>
          <w:ilvl w:val="0"/>
          <w:numId w:val="45"/>
        </w:numPr>
        <w:spacing w:before="0" w:beforeAutospacing="1" w:after="0" w:afterAutospacing="1"/>
        <w:ind w:left="720" w:hanging="360"/>
      </w:pPr>
      <w:r>
        <w:rPr>
          <w:b/>
        </w:rPr>
        <w:t>成因分析</w:t>
      </w:r>
      <w:r>
        <w:t>：</w:t>
      </w:r>
    </w:p>
    <w:p w14:paraId="6D711599">
      <w:pPr>
        <w:numPr>
          <w:ilvl w:val="1"/>
          <w:numId w:val="45"/>
        </w:numPr>
        <w:spacing w:before="0" w:beforeAutospacing="1" w:after="0" w:afterAutospacing="1"/>
        <w:ind w:left="1440" w:hanging="360"/>
      </w:pPr>
      <w:r>
        <w:t>滤料堵塞：废气湿度＞70%导致粉尘黏结滤料（形成“糊袋”，滤料表面形成连续粉尘层）；滤料精度过高（如用1μm滤料过滤50mg/m³粉尘），或反吹清灰不彻底（压缩空气压力＜0.5MPa，喷吹时间＜0.1秒）。</w:t>
      </w:r>
    </w:p>
    <w:p w14:paraId="7327FB0B">
      <w:pPr>
        <w:numPr>
          <w:ilvl w:val="1"/>
          <w:numId w:val="45"/>
        </w:numPr>
        <w:spacing w:before="0" w:beforeAutospacing="1" w:after="0" w:afterAutospacing="1"/>
        <w:ind w:left="1440" w:hanging="360"/>
      </w:pPr>
      <w:r>
        <w:t>滤料破损：滤料材质与工况不匹配（如用常温滤料处理150℃高温废气导致熔融破损）；滤料老化（使用超过6个月，纤维强度下降至＜10MPa）；反吹压力过高（＞0.7MPa）导致滤料撕裂。</w:t>
      </w:r>
    </w:p>
    <w:p w14:paraId="0F00BE44">
      <w:pPr>
        <w:numPr>
          <w:ilvl w:val="0"/>
          <w:numId w:val="45"/>
        </w:numPr>
        <w:spacing w:before="0" w:beforeAutospacing="1" w:after="0" w:afterAutospacing="1"/>
        <w:ind w:left="720" w:hanging="360"/>
      </w:pPr>
      <w:r>
        <w:rPr>
          <w:b/>
        </w:rPr>
        <w:t>处理对策</w:t>
      </w:r>
      <w:r>
        <w:t>：</w:t>
      </w:r>
    </w:p>
    <w:p w14:paraId="7409C610">
      <w:pPr>
        <w:numPr>
          <w:ilvl w:val="1"/>
          <w:numId w:val="45"/>
        </w:numPr>
        <w:spacing w:before="0" w:beforeAutospacing="1" w:after="0" w:afterAutospacing="1"/>
        <w:ind w:left="1440" w:hanging="360"/>
      </w:pPr>
      <w:r>
        <w:t>堵塞处理：若为湿度高导致，前置除湿装置（如转轮除湿机，将湿度降至60%以下）；若为反吹不足，调整反吹参数（压力0.6-0.7MPa，喷吹周期30秒，喷吹时间0.15-0.2秒），或更换为高透气度滤料（透气量＞1.0m³/m²·min）。严重堵塞时需更换滤料，用压缩空气反向吹扫旧滤料（回收粉尘）后按危废处理。</w:t>
      </w:r>
    </w:p>
    <w:p w14:paraId="401B05D5">
      <w:pPr>
        <w:numPr>
          <w:ilvl w:val="1"/>
          <w:numId w:val="45"/>
        </w:numPr>
        <w:spacing w:before="0" w:beforeAutospacing="1" w:after="0" w:afterAutospacing="1"/>
        <w:ind w:left="1440" w:hanging="360"/>
      </w:pPr>
      <w:r>
        <w:t>破损处理：单个滤袋破损时，用专用胶条（耐温≥180℃）临时封堵漏点，停机后更换；批量破损（破损率＞5%）时，检查笼骨垂直度（偏差＞2mm/m时校直），更换滤料并选用合适材质（高温用PPS滤料，酸性用PTFE滤料）。</w:t>
      </w:r>
    </w:p>
    <w:p w14:paraId="3342E369">
      <w:r>
        <w:rPr>
          <w:b/>
        </w:rPr>
        <w:t>活性炭吸附效率下降</w:t>
      </w:r>
      <w:r>
        <w:t>：</w:t>
      </w:r>
    </w:p>
    <w:p w14:paraId="636F8771">
      <w:pPr>
        <w:numPr>
          <w:ilvl w:val="0"/>
          <w:numId w:val="46"/>
        </w:numPr>
        <w:spacing w:before="0" w:beforeAutospacing="1" w:after="0" w:afterAutospacing="1"/>
        <w:ind w:left="720" w:hanging="360"/>
      </w:pPr>
      <w:r>
        <w:rPr>
          <w:b/>
        </w:rPr>
        <w:t>故障现象</w:t>
      </w:r>
      <w:r>
        <w:t>：吸附塔出口VOCs浓度逐渐升高（从20mg/m³升至100mg/m³以上），现场闻到明显异味（如苯系物刺激性气味），碘值检测显示活性炭吸附能力＜600mg/g（新炭碘值≥800mg/g）。</w:t>
      </w:r>
    </w:p>
    <w:p w14:paraId="5BB489E4">
      <w:pPr>
        <w:numPr>
          <w:ilvl w:val="0"/>
          <w:numId w:val="46"/>
        </w:numPr>
        <w:spacing w:before="0" w:beforeAutospacing="1" w:after="0" w:afterAutospacing="1"/>
        <w:ind w:left="720" w:hanging="360"/>
      </w:pPr>
      <w:r>
        <w:rPr>
          <w:b/>
        </w:rPr>
        <w:t>成因分析</w:t>
      </w:r>
      <w:r>
        <w:t>：</w:t>
      </w:r>
    </w:p>
    <w:p w14:paraId="6C088AFC">
      <w:pPr>
        <w:numPr>
          <w:ilvl w:val="1"/>
          <w:numId w:val="46"/>
        </w:numPr>
        <w:spacing w:before="0" w:beforeAutospacing="1" w:after="0" w:afterAutospacing="1"/>
        <w:ind w:left="1440" w:hanging="360"/>
      </w:pPr>
      <w:r>
        <w:t>吸附饱和：活性炭使用时间过长（超过3个月未脱附），吸附量达到饱和（吸附量＞0.3g/g），无法继续吸附VOCs。</w:t>
      </w:r>
    </w:p>
    <w:p w14:paraId="4B801AD7">
      <w:pPr>
        <w:numPr>
          <w:ilvl w:val="1"/>
          <w:numId w:val="46"/>
        </w:numPr>
        <w:spacing w:before="0" w:beforeAutospacing="1" w:after="0" w:afterAutospacing="1"/>
        <w:ind w:left="1440" w:hanging="360"/>
      </w:pPr>
      <w:r>
        <w:t>湿度影响：废气湿度＞70%，活性炭受潮（含水率＞15%），微孔被水分占据，有效比表面积减少30%以上。</w:t>
      </w:r>
    </w:p>
    <w:p w14:paraId="062F1397">
      <w:pPr>
        <w:numPr>
          <w:ilvl w:val="1"/>
          <w:numId w:val="46"/>
        </w:numPr>
        <w:spacing w:before="0" w:beforeAutospacing="1" w:after="0" w:afterAutospacing="1"/>
        <w:ind w:left="1440" w:hanging="360"/>
      </w:pPr>
      <w:r>
        <w:t>气流分布不均：吸附塔内气流分布板开孔率不均（偏差＞10%），导致局部气流速度过高（＞1.5m/s），活性炭床层出现“沟流”（部分区域未充分利用）。</w:t>
      </w:r>
    </w:p>
    <w:p w14:paraId="6E41CFC2">
      <w:pPr>
        <w:numPr>
          <w:ilvl w:val="1"/>
          <w:numId w:val="46"/>
        </w:numPr>
        <w:spacing w:before="0" w:beforeAutospacing="1" w:after="0" w:afterAutospacing="1"/>
        <w:ind w:left="1440" w:hanging="360"/>
      </w:pPr>
      <w:r>
        <w:t>吸附剂中毒：废气中含有高沸点物质（如树脂单体，沸点＞200℃）或重金属化合物，在活性炭微孔内发生不可逆吸附（“中毒”），无法通过脱附再生恢复活性。</w:t>
      </w:r>
    </w:p>
    <w:p w14:paraId="1458CF59">
      <w:pPr>
        <w:numPr>
          <w:ilvl w:val="0"/>
          <w:numId w:val="46"/>
        </w:numPr>
        <w:spacing w:before="0" w:beforeAutospacing="1" w:after="0" w:afterAutospacing="1"/>
        <w:ind w:left="720" w:hanging="360"/>
      </w:pPr>
      <w:r>
        <w:rPr>
          <w:b/>
        </w:rPr>
        <w:t>处理对策</w:t>
      </w:r>
      <w:r>
        <w:t>：</w:t>
      </w:r>
    </w:p>
    <w:p w14:paraId="1A018102">
      <w:pPr>
        <w:numPr>
          <w:ilvl w:val="1"/>
          <w:numId w:val="46"/>
        </w:numPr>
        <w:spacing w:before="0" w:beforeAutospacing="1" w:after="0" w:afterAutospacing="1"/>
        <w:ind w:left="1440" w:hanging="360"/>
      </w:pPr>
      <w:r>
        <w:t>脱附再生：启动脱附程序，严格控制脱附温度（根据VOCs沸点设定，如甲苯150℃，二甲苯180℃）和时间（恒温2-4小时），确保活性炭充分再生（脱附后碘值恢复至＞700mg/g）。</w:t>
      </w:r>
    </w:p>
    <w:p w14:paraId="02D5C3E2">
      <w:pPr>
        <w:numPr>
          <w:ilvl w:val="1"/>
          <w:numId w:val="46"/>
        </w:numPr>
        <w:spacing w:before="0" w:beforeAutospacing="1" w:after="0" w:afterAutospacing="1"/>
        <w:ind w:left="1440" w:hanging="360"/>
      </w:pPr>
      <w:r>
        <w:t>除湿预处理：在吸附塔前增设冷却器（将废气温度降至40℃以下）和转轮除湿机（露点≤-40℃），降低废气湿度至60%以下。</w:t>
      </w:r>
    </w:p>
    <w:p w14:paraId="101ED57A">
      <w:pPr>
        <w:numPr>
          <w:ilvl w:val="1"/>
          <w:numId w:val="46"/>
        </w:numPr>
        <w:spacing w:before="0" w:beforeAutospacing="1" w:after="0" w:afterAutospacing="1"/>
        <w:ind w:left="1440" w:hanging="360"/>
      </w:pPr>
      <w:r>
        <w:t>气流调整：检查气流分布板开孔情况，堵塞孔道用钻头疏通，必要时更换分布板（开孔率30%-40%，均匀分布），在床层上部铺设50mm厚石英砂（粒径5-10mm），改善气流均匀性。</w:t>
      </w:r>
    </w:p>
    <w:p w14:paraId="32395EAB">
      <w:pPr>
        <w:numPr>
          <w:ilvl w:val="1"/>
          <w:numId w:val="46"/>
        </w:numPr>
        <w:spacing w:before="0" w:beforeAutospacing="1" w:after="0" w:afterAutospacing="1"/>
        <w:ind w:left="1440" w:hanging="360"/>
      </w:pPr>
      <w:r>
        <w:t>更换吸附剂：若活性炭中毒或碘值＜600mg/g，需全部更换活性炭，选用煤质柱状活性炭（碘值≥800mg/g，耐磨强度≥95%），装填时分层夯实（每层高度500mm，装填密度0.45-0.55g/cm³）。</w:t>
      </w:r>
    </w:p>
    <w:p w14:paraId="551F1B20">
      <w:pPr>
        <w:pStyle w:val="4"/>
      </w:pPr>
      <w:r>
        <w:t>7.3 催化燃烧与RTO系统故障</w:t>
      </w:r>
    </w:p>
    <w:p w14:paraId="2CB96227">
      <w:r>
        <w:t>催化燃烧（RCO）和蓄热焚烧（RTO）是处理中高浓度VOCs的核心设备，常见故障包括催化剂失活、RTO温度异常波动等，直接影响VOCs去除效率和系统安全。</w:t>
      </w:r>
    </w:p>
    <w:p w14:paraId="6EFBA2EB">
      <w:r>
        <w:rPr>
          <w:b/>
        </w:rPr>
        <w:t>RCO催化剂失活</w:t>
      </w:r>
      <w:r>
        <w:t>：</w:t>
      </w:r>
    </w:p>
    <w:p w14:paraId="2D6A452F">
      <w:pPr>
        <w:numPr>
          <w:ilvl w:val="0"/>
          <w:numId w:val="47"/>
        </w:numPr>
        <w:spacing w:before="0" w:beforeAutospacing="1" w:after="0" w:afterAutospacing="1"/>
        <w:ind w:left="720" w:hanging="360"/>
      </w:pPr>
      <w:r>
        <w:rPr>
          <w:b/>
        </w:rPr>
        <w:t>故障现象</w:t>
      </w:r>
      <w:r>
        <w:t>：RCO出口VOCs浓度超标（＞50mg/m³），CO浓度升高（＞100ppm），燃烧室温度低于设定值（如从300℃降至220℃），且辅助燃料消耗增加（如天然气用量增加50%）。</w:t>
      </w:r>
    </w:p>
    <w:p w14:paraId="00DC7309">
      <w:pPr>
        <w:numPr>
          <w:ilvl w:val="0"/>
          <w:numId w:val="47"/>
        </w:numPr>
        <w:spacing w:before="0" w:beforeAutospacing="1" w:after="0" w:afterAutospacing="1"/>
        <w:ind w:left="720" w:hanging="360"/>
      </w:pPr>
      <w:r>
        <w:rPr>
          <w:b/>
        </w:rPr>
        <w:t>成因分析</w:t>
      </w:r>
      <w:r>
        <w:t>：</w:t>
      </w:r>
    </w:p>
    <w:p w14:paraId="5F25B39D">
      <w:pPr>
        <w:numPr>
          <w:ilvl w:val="1"/>
          <w:numId w:val="47"/>
        </w:numPr>
        <w:spacing w:before="0" w:beforeAutospacing="1" w:after="0" w:afterAutospacing="1"/>
        <w:ind w:left="1440" w:hanging="360"/>
      </w:pPr>
      <w:r>
        <w:t>催化剂中毒：废气中硫化物（如H₂S＞1mg/m³）、氮氧化物（NOx＞50mg/m³）或重金属（如Pb、Hg）吸附在催化剂活性位点，导致活性组分（Pt/Pd）被覆盖或化学结合。</w:t>
      </w:r>
    </w:p>
    <w:p w14:paraId="0928539F">
      <w:pPr>
        <w:numPr>
          <w:ilvl w:val="1"/>
          <w:numId w:val="47"/>
        </w:numPr>
        <w:spacing w:before="0" w:beforeAutospacing="1" w:after="0" w:afterAutospacing="1"/>
        <w:ind w:left="1440" w:hanging="360"/>
      </w:pPr>
      <w:r>
        <w:t>催化剂烧结：长期超温（＞450℃）导致活性组分晶粒长大（粒径从2nm增至10nm以上），比表面积减少（＜50m²/g）。</w:t>
      </w:r>
    </w:p>
    <w:p w14:paraId="47BE3210">
      <w:pPr>
        <w:numPr>
          <w:ilvl w:val="1"/>
          <w:numId w:val="47"/>
        </w:numPr>
        <w:spacing w:before="0" w:beforeAutospacing="1" w:after="0" w:afterAutospacing="1"/>
        <w:ind w:left="1440" w:hanging="360"/>
      </w:pPr>
      <w:r>
        <w:t>积碳堵塞：废气中高沸点VOCs（如焦油、树脂）在催化剂表面不完全燃烧，形成积碳（厚度＞0.5mm），堵塞催化剂孔道。</w:t>
      </w:r>
    </w:p>
    <w:p w14:paraId="661CF4AD">
      <w:pPr>
        <w:numPr>
          <w:ilvl w:val="1"/>
          <w:numId w:val="47"/>
        </w:numPr>
        <w:spacing w:before="0" w:beforeAutospacing="1" w:after="0" w:afterAutospacing="1"/>
        <w:ind w:left="1440" w:hanging="360"/>
      </w:pPr>
      <w:r>
        <w:t>预处理失效：粉尘浓度＞10mg/m³，催化剂表面被粉尘覆盖，无法与VOCs接触。</w:t>
      </w:r>
    </w:p>
    <w:p w14:paraId="71C58CAA">
      <w:pPr>
        <w:numPr>
          <w:ilvl w:val="0"/>
          <w:numId w:val="47"/>
        </w:numPr>
        <w:spacing w:before="0" w:beforeAutospacing="1" w:after="0" w:afterAutospacing="1"/>
        <w:ind w:left="720" w:hanging="360"/>
      </w:pPr>
      <w:r>
        <w:rPr>
          <w:b/>
        </w:rPr>
        <w:t>处理对策</w:t>
      </w:r>
      <w:r>
        <w:t>：</w:t>
      </w:r>
    </w:p>
    <w:p w14:paraId="3DA8241B">
      <w:pPr>
        <w:numPr>
          <w:ilvl w:val="1"/>
          <w:numId w:val="47"/>
        </w:numPr>
        <w:spacing w:before="0" w:beforeAutospacing="1" w:after="0" w:afterAutospacing="1"/>
        <w:ind w:left="1440" w:hanging="360"/>
      </w:pPr>
      <w:r>
        <w:t>中毒再生：对于暂时中毒（硫化物中毒），通入400-450℃热空气（风量为处理风量的20%）吹扫4-6小时，使硫氧化物分解脱附；对于碱性中毒（胺类物质），可用5%稀硫酸溶液循环清洗催化剂（需咨询厂家，避免损坏载体）。</w:t>
      </w:r>
    </w:p>
    <w:p w14:paraId="4EFDE790">
      <w:pPr>
        <w:numPr>
          <w:ilvl w:val="1"/>
          <w:numId w:val="47"/>
        </w:numPr>
        <w:spacing w:before="0" w:beforeAutospacing="1" w:after="0" w:afterAutospacing="1"/>
        <w:ind w:left="1440" w:hanging="360"/>
      </w:pPr>
      <w:r>
        <w:t>积碳清除：提高燃烧室温度至400-450℃，通入富氧空气（O₂含量15%-20%），使积碳氧化分解（C+O₂→CO₂），持续2-4小时，期间密切监控温度，防止超温烧结。</w:t>
      </w:r>
    </w:p>
    <w:p w14:paraId="40ACB550">
      <w:pPr>
        <w:numPr>
          <w:ilvl w:val="1"/>
          <w:numId w:val="47"/>
        </w:numPr>
        <w:spacing w:before="0" w:beforeAutospacing="1" w:after="0" w:afterAutospacing="1"/>
        <w:ind w:left="1440" w:hanging="360"/>
      </w:pPr>
      <w:r>
        <w:t>更换催化剂：若催化剂烧结（活性组分晶粒长大）或永久中毒，需更换催化剂模块，新催化剂需与原型号一致（贵金属负载量0.3%-0.5%，载体为蜂窝陶瓷），安装时确保与反应器壁无间隙（用耐高温密封胶填充）。</w:t>
      </w:r>
    </w:p>
    <w:p w14:paraId="5013BE41">
      <w:pPr>
        <w:numPr>
          <w:ilvl w:val="1"/>
          <w:numId w:val="47"/>
        </w:numPr>
        <w:spacing w:before="0" w:beforeAutospacing="1" w:after="0" w:afterAutospacing="1"/>
        <w:ind w:left="1440" w:hanging="360"/>
      </w:pPr>
      <w:r>
        <w:t>加强预处理：检查预处理单元过滤器，更换滤料（精度≤1μm），确保粉尘浓度＜5mg/m³；若废气含硫、氮化合物，增设脱硫脱硝装置（如碱洗塔脱硫，选择性催化还原脱硝）。</w:t>
      </w:r>
    </w:p>
    <w:p w14:paraId="40599B56">
      <w:r>
        <w:rPr>
          <w:b/>
        </w:rPr>
        <w:t>RTO温度异常波动</w:t>
      </w:r>
      <w:r>
        <w:t>：</w:t>
      </w:r>
    </w:p>
    <w:p w14:paraId="38100098">
      <w:pPr>
        <w:numPr>
          <w:ilvl w:val="0"/>
          <w:numId w:val="48"/>
        </w:numPr>
        <w:spacing w:before="0" w:beforeAutospacing="1" w:after="0" w:afterAutospacing="1"/>
        <w:ind w:left="720" w:hanging="360"/>
      </w:pPr>
      <w:r>
        <w:rPr>
          <w:b/>
        </w:rPr>
        <w:t>故障现象</w:t>
      </w:r>
      <w:r>
        <w:t>：RTO燃烧室温度波动超过±100℃（设定800℃，实际在700-900℃间剧烈波动），导致VOCs去除率下降（＜95%），甚至触发超温报警（＞950℃）或熄火。</w:t>
      </w:r>
    </w:p>
    <w:p w14:paraId="64FCCA70">
      <w:pPr>
        <w:numPr>
          <w:ilvl w:val="0"/>
          <w:numId w:val="48"/>
        </w:numPr>
        <w:spacing w:before="0" w:beforeAutospacing="1" w:after="0" w:afterAutospacing="1"/>
        <w:ind w:left="720" w:hanging="360"/>
      </w:pPr>
      <w:r>
        <w:rPr>
          <w:b/>
        </w:rPr>
        <w:t>成因分析</w:t>
      </w:r>
      <w:r>
        <w:t>：</w:t>
      </w:r>
    </w:p>
    <w:p w14:paraId="5386EC79">
      <w:pPr>
        <w:numPr>
          <w:ilvl w:val="1"/>
          <w:numId w:val="48"/>
        </w:numPr>
        <w:spacing w:before="0" w:beforeAutospacing="1" w:after="0" w:afterAutospacing="1"/>
        <w:ind w:left="1440" w:hanging="360"/>
      </w:pPr>
      <w:r>
        <w:t>废气浓度波动：固化炉间歇运行导致VOCs浓度剧烈变化（如从500mg/m³骤升至3000mg/m³），氧化热量不稳定。</w:t>
      </w:r>
    </w:p>
    <w:p w14:paraId="68C13B50">
      <w:pPr>
        <w:numPr>
          <w:ilvl w:val="1"/>
          <w:numId w:val="48"/>
        </w:numPr>
        <w:spacing w:before="0" w:beforeAutospacing="1" w:after="0" w:afterAutospacing="1"/>
        <w:ind w:left="1440" w:hanging="360"/>
      </w:pPr>
      <w:r>
        <w:t>燃烧器故障：燃气阀开度失控（阀门卡滞或伺服电机故障），导致燃气流量波动（偏差＞10%）；火焰检测器故障（光电管污染或线路接触不良），误判熄火并反复点火。</w:t>
      </w:r>
    </w:p>
    <w:p w14:paraId="0731604E">
      <w:pPr>
        <w:numPr>
          <w:ilvl w:val="1"/>
          <w:numId w:val="48"/>
        </w:numPr>
        <w:spacing w:before="0" w:beforeAutospacing="1" w:after="0" w:afterAutospacing="1"/>
        <w:ind w:left="1440" w:hanging="360"/>
      </w:pPr>
      <w:r>
        <w:t>切换阀问题：切换阀动作不同步（延迟＞0.5秒），导致废气短路或热量回收不充分；阀板密封不良（泄漏率＞5%），高温气体泄漏至低温区。</w:t>
      </w:r>
    </w:p>
    <w:p w14:paraId="7A7F5F51">
      <w:pPr>
        <w:numPr>
          <w:ilvl w:val="1"/>
          <w:numId w:val="48"/>
        </w:numPr>
        <w:spacing w:before="0" w:beforeAutospacing="1" w:after="0" w:afterAutospacing="1"/>
        <w:ind w:left="1440" w:hanging="360"/>
      </w:pPr>
      <w:r>
        <w:t>蓄热体堵塞：蓄热体孔道积碳或粉尘堵塞（孔径缩小＞30%），热交换效率下降（＜90%），无法稳定维持燃烧室温度。</w:t>
      </w:r>
    </w:p>
    <w:p w14:paraId="6F56E8A2">
      <w:pPr>
        <w:numPr>
          <w:ilvl w:val="0"/>
          <w:numId w:val="48"/>
        </w:numPr>
        <w:spacing w:before="0" w:beforeAutospacing="1" w:after="0" w:afterAutospacing="1"/>
        <w:ind w:left="720" w:hanging="360"/>
      </w:pPr>
      <w:r>
        <w:rPr>
          <w:b/>
        </w:rPr>
        <w:t>处理对策</w:t>
      </w:r>
      <w:r>
        <w:t>：</w:t>
      </w:r>
    </w:p>
    <w:p w14:paraId="78905CE6">
      <w:pPr>
        <w:numPr>
          <w:ilvl w:val="1"/>
          <w:numId w:val="48"/>
        </w:numPr>
        <w:spacing w:before="0" w:beforeAutospacing="1" w:after="0" w:afterAutospacing="1"/>
        <w:ind w:left="1440" w:hanging="360"/>
      </w:pPr>
      <w:r>
        <w:t>浓度控制：在RTO入口设置缓冲罐（容积≥10m³），稳定废气流量和浓度；安装LEL检测仪（量程0-100%LEL），当浓度＞25%LEL时打开新风阀稀释，＜10%LEL时减少新风，维持浓度稳定在15%-20%LEL。</w:t>
      </w:r>
    </w:p>
    <w:p w14:paraId="645B5BDB">
      <w:pPr>
        <w:numPr>
          <w:ilvl w:val="1"/>
          <w:numId w:val="48"/>
        </w:numPr>
        <w:spacing w:before="0" w:beforeAutospacing="1" w:after="0" w:afterAutospacing="1"/>
        <w:ind w:left="1440" w:hanging="360"/>
      </w:pPr>
      <w:r>
        <w:t>燃烧器维修：校准燃气阀（用标准流量计标定，确保流量偏差≤5%），更换故障伺服电机；清洁火焰检测器探头（用无水乙醇擦拭），检查线路连接（端子紧固，无松动），调整检测角度（对准火焰核心区）。</w:t>
      </w:r>
    </w:p>
    <w:p w14:paraId="4386D979">
      <w:pPr>
        <w:numPr>
          <w:ilvl w:val="1"/>
          <w:numId w:val="48"/>
        </w:numPr>
        <w:spacing w:before="0" w:beforeAutospacing="1" w:after="0" w:afterAutospacing="1"/>
        <w:ind w:left="1440" w:hanging="360"/>
      </w:pPr>
      <w:r>
        <w:t>切换阀调整：校准切换阀位置（全开/全关位置偏差≤1°），更换磨损的密封件（如高温硅胶垫），调整切换时间（根据浓度波动情况延长至60-120秒），确保同步动作。</w:t>
      </w:r>
    </w:p>
    <w:p w14:paraId="7E75DE46">
      <w:pPr>
        <w:numPr>
          <w:ilvl w:val="1"/>
          <w:numId w:val="48"/>
        </w:numPr>
        <w:spacing w:before="0" w:beforeAutospacing="1" w:after="0" w:afterAutospacing="1"/>
        <w:ind w:left="1440" w:hanging="360"/>
      </w:pPr>
      <w:r>
        <w:t>蓄热体清理：取出蓄热体，用高压水枪（5-10MPa）冲洗孔道积碳，或用超声波清洗机（频率40kHz）清洗；堵塞严重时更换蓄热体（选用孔密度400cpsi的蜂窝陶瓷），装填时确保整齐排列（间隙≤2mm）。</w:t>
      </w:r>
    </w:p>
    <w:p w14:paraId="7062961E">
      <w:pPr>
        <w:pStyle w:val="4"/>
      </w:pPr>
      <w:r>
        <w:t>7.4 电气与控制系统故障</w:t>
      </w:r>
    </w:p>
    <w:p w14:paraId="59FB3FB7">
      <w:r>
        <w:t>电气与控制系统故障表现为传感器数据异常、PLC无响应、电机过载等，导致设备无法正常调节或停机，需结合电路原理和控制逻辑进行诊断。</w:t>
      </w:r>
    </w:p>
    <w:p w14:paraId="0BAA6058">
      <w:r>
        <w:rPr>
          <w:b/>
        </w:rPr>
        <w:t>传感器与仪表故障</w:t>
      </w:r>
      <w:r>
        <w:t>：</w:t>
      </w:r>
    </w:p>
    <w:p w14:paraId="601392CB">
      <w:pPr>
        <w:numPr>
          <w:ilvl w:val="0"/>
          <w:numId w:val="49"/>
        </w:numPr>
        <w:spacing w:before="0" w:beforeAutospacing="1" w:after="0" w:afterAutospacing="1"/>
        <w:ind w:left="720" w:hanging="360"/>
      </w:pPr>
      <w:r>
        <w:rPr>
          <w:b/>
        </w:rPr>
        <w:t>故障现象</w:t>
      </w:r>
      <w:r>
        <w:t>：触摸屏显示传感器数据异常，如温度显示“----”（断路）或“999℃”（短路），压力/浓度数据波动剧烈（偏差＞±10%FS），导致控制系统误判或调节失灵。</w:t>
      </w:r>
    </w:p>
    <w:p w14:paraId="34DEA41A">
      <w:pPr>
        <w:numPr>
          <w:ilvl w:val="0"/>
          <w:numId w:val="49"/>
        </w:numPr>
        <w:spacing w:before="0" w:beforeAutospacing="1" w:after="0" w:afterAutospacing="1"/>
        <w:ind w:left="720" w:hanging="360"/>
      </w:pPr>
      <w:r>
        <w:rPr>
          <w:b/>
        </w:rPr>
        <w:t>成因分析</w:t>
      </w:r>
      <w:r>
        <w:t>：</w:t>
      </w:r>
    </w:p>
    <w:p w14:paraId="40C4539B">
      <w:pPr>
        <w:numPr>
          <w:ilvl w:val="1"/>
          <w:numId w:val="49"/>
        </w:numPr>
        <w:spacing w:before="0" w:beforeAutospacing="1" w:after="0" w:afterAutospacing="1"/>
        <w:ind w:left="1440" w:hanging="360"/>
      </w:pPr>
      <w:r>
        <w:t>传感器损坏：VOCs传感器PID灯烧毁（寿命5000小时），温度传感器铂电阻断线（导线断裂或焊点脱落），压力传感器膜片破损（超压或腐蚀）。</w:t>
      </w:r>
    </w:p>
    <w:p w14:paraId="27547CCE">
      <w:pPr>
        <w:numPr>
          <w:ilvl w:val="1"/>
          <w:numId w:val="49"/>
        </w:numPr>
        <w:spacing w:before="0" w:beforeAutospacing="1" w:after="0" w:afterAutospacing="1"/>
        <w:ind w:left="1440" w:hanging="360"/>
      </w:pPr>
      <w:r>
        <w:t>信号干扰：传感器线缆未屏蔽（或屏蔽层未接地），受变频器、电机等强电磁干扰，信号线上叠加高频噪声（幅度＞500mV）。</w:t>
      </w:r>
    </w:p>
    <w:p w14:paraId="688F4BE6">
      <w:pPr>
        <w:numPr>
          <w:ilvl w:val="1"/>
          <w:numId w:val="49"/>
        </w:numPr>
        <w:spacing w:before="0" w:beforeAutospacing="1" w:after="0" w:afterAutospacing="1"/>
        <w:ind w:left="1440" w:hanging="360"/>
      </w:pPr>
      <w:r>
        <w:t>校准失效：传感器长期未校准（超过6个月），零点漂移（如温度传感器零点偏移＞2℃）或量程错误（如4-20mA对应0-2000mg/m³误设为0-1000mg/m³）。</w:t>
      </w:r>
    </w:p>
    <w:p w14:paraId="046F41EE">
      <w:pPr>
        <w:numPr>
          <w:ilvl w:val="0"/>
          <w:numId w:val="49"/>
        </w:numPr>
        <w:spacing w:before="0" w:beforeAutospacing="1" w:after="0" w:afterAutospacing="1"/>
        <w:ind w:left="720" w:hanging="360"/>
      </w:pPr>
      <w:r>
        <w:rPr>
          <w:b/>
        </w:rPr>
        <w:t>处理对策</w:t>
      </w:r>
      <w:r>
        <w:t>：</w:t>
      </w:r>
    </w:p>
    <w:p w14:paraId="2CC45511">
      <w:pPr>
        <w:numPr>
          <w:ilvl w:val="1"/>
          <w:numId w:val="49"/>
        </w:numPr>
        <w:spacing w:before="0" w:beforeAutospacing="1" w:after="0" w:afterAutospacing="1"/>
        <w:ind w:left="1440" w:hanging="360"/>
      </w:pPr>
      <w:r>
        <w:t>传感器更换：用万用表检测传感器输出信号（如PT100温度传感器，0℃时电阻100Ω，100℃时138.5Ω，断路时电阻无穷大，短路时电阻＜10Ω），确认损坏后更换同型号传感器（需匹配量程、精度），安装时注意极性（如4-20mA传感器“+”“-”极）。</w:t>
      </w:r>
    </w:p>
    <w:p w14:paraId="7C56AE98">
      <w:pPr>
        <w:numPr>
          <w:ilvl w:val="1"/>
          <w:numId w:val="49"/>
        </w:numPr>
        <w:spacing w:before="0" w:beforeAutospacing="1" w:after="0" w:afterAutospacing="1"/>
        <w:ind w:left="1440" w:hanging="360"/>
      </w:pPr>
      <w:r>
        <w:t>抗干扰处理：传感器线缆更换为双绞屏蔽电缆（屏蔽层单端接地，接地电阻≤1Ω），远离强电电缆（间距≥300mm），信号线上加装浪涌保护器（SPD，Imax≥10kA）；PLC模拟量模块端并联100nF电容（滤除高频噪声）。</w:t>
      </w:r>
    </w:p>
    <w:p w14:paraId="156DF08C">
      <w:pPr>
        <w:numPr>
          <w:ilvl w:val="1"/>
          <w:numId w:val="49"/>
        </w:numPr>
        <w:spacing w:before="0" w:beforeAutospacing="1" w:after="0" w:afterAutospacing="1"/>
        <w:ind w:left="1440" w:hanging="360"/>
      </w:pPr>
      <w:r>
        <w:t>校准恢复：对传感器进行零点和量程校准（用标准气体或标准电阻箱），如VOCs传感器通入0mg/m³洁净空气调零（输出4mA），通入1000mg/m³标准气调量程（输出12mA），校准后记录校准日期和修正系数。</w:t>
      </w:r>
    </w:p>
    <w:p w14:paraId="2B460F8F">
      <w:r>
        <w:rPr>
          <w:b/>
        </w:rPr>
        <w:t>PLC通讯故障</w:t>
      </w:r>
      <w:r>
        <w:t>：</w:t>
      </w:r>
    </w:p>
    <w:p w14:paraId="12972ABF">
      <w:pPr>
        <w:numPr>
          <w:ilvl w:val="0"/>
          <w:numId w:val="50"/>
        </w:numPr>
        <w:spacing w:before="0" w:beforeAutospacing="1" w:after="0" w:afterAutospacing="1"/>
        <w:ind w:left="720" w:hanging="360"/>
      </w:pPr>
      <w:r>
        <w:rPr>
          <w:b/>
        </w:rPr>
        <w:t>故障现象</w:t>
      </w:r>
      <w:r>
        <w:t>：触摸屏与PLC无法通讯（显示“通讯失败”），或数据刷新缓慢（周期＞10秒），无法监控实时参数或修改设定值。</w:t>
      </w:r>
    </w:p>
    <w:p w14:paraId="48649B07">
      <w:pPr>
        <w:numPr>
          <w:ilvl w:val="0"/>
          <w:numId w:val="50"/>
        </w:numPr>
        <w:spacing w:before="0" w:beforeAutospacing="1" w:after="0" w:afterAutospacing="1"/>
        <w:ind w:left="720" w:hanging="360"/>
      </w:pPr>
      <w:r>
        <w:rPr>
          <w:b/>
        </w:rPr>
        <w:t>成因分析</w:t>
      </w:r>
      <w:r>
        <w:t>：</w:t>
      </w:r>
    </w:p>
    <w:p w14:paraId="68B79758">
      <w:pPr>
        <w:numPr>
          <w:ilvl w:val="1"/>
          <w:numId w:val="50"/>
        </w:numPr>
        <w:spacing w:before="0" w:beforeAutospacing="1" w:after="0" w:afterAutospacing="1"/>
        <w:ind w:left="1440" w:hanging="360"/>
      </w:pPr>
      <w:r>
        <w:t>硬件故障：PLC电源模块故障（输出电压偏差＞5%），通讯模块（如PROFINET模块）损坏，或网线/接头故障（网线断裂、水晶头接触不良）。</w:t>
      </w:r>
    </w:p>
    <w:p w14:paraId="0EB19B68">
      <w:pPr>
        <w:numPr>
          <w:ilvl w:val="1"/>
          <w:numId w:val="50"/>
        </w:numPr>
        <w:spacing w:before="0" w:beforeAutospacing="1" w:after="0" w:afterAutospacing="1"/>
        <w:ind w:left="1440" w:hanging="360"/>
      </w:pPr>
      <w:r>
        <w:t>软件故障：PLC程序丢失（锂电池电压＜3V，数据保持失效），通讯参数设置错误（IP地址冲突、端口号错误），或触摸屏组态软件版本不兼容。</w:t>
      </w:r>
    </w:p>
    <w:p w14:paraId="28FEADF2">
      <w:pPr>
        <w:numPr>
          <w:ilvl w:val="1"/>
          <w:numId w:val="50"/>
        </w:numPr>
        <w:spacing w:before="0" w:beforeAutospacing="1" w:after="0" w:afterAutospacing="1"/>
        <w:ind w:left="1440" w:hanging="360"/>
      </w:pPr>
      <w:r>
        <w:t>网络干扰：工业以太网受到强电磁干扰（如附近有电焊机、变频器），数据包丢失率＞10%。</w:t>
      </w:r>
    </w:p>
    <w:p w14:paraId="18C05192">
      <w:pPr>
        <w:numPr>
          <w:ilvl w:val="0"/>
          <w:numId w:val="50"/>
        </w:numPr>
        <w:spacing w:before="0" w:beforeAutospacing="1" w:after="0" w:afterAutospacing="1"/>
        <w:ind w:left="720" w:hanging="360"/>
      </w:pPr>
      <w:r>
        <w:rPr>
          <w:b/>
        </w:rPr>
        <w:t>处理对策</w:t>
      </w:r>
      <w:r>
        <w:t>：</w:t>
      </w:r>
    </w:p>
    <w:p w14:paraId="3FA12432">
      <w:pPr>
        <w:numPr>
          <w:ilvl w:val="1"/>
          <w:numId w:val="50"/>
        </w:numPr>
        <w:spacing w:before="0" w:beforeAutospacing="1" w:after="0" w:afterAutospacing="1"/>
        <w:ind w:left="1440" w:hanging="360"/>
      </w:pPr>
      <w:r>
        <w:t>硬件排查：检查PLC电源指示灯是否正常（PWR灯亮），通讯模块指示灯（LINK灯闪烁表示通讯正常，常灭表示故障）；更换网线（用测线仪检测通断）和水晶头（按T568B标准压线），用ping命令测试网络连通性（PLC IP地址是否可达）。</w:t>
      </w:r>
    </w:p>
    <w:p w14:paraId="75418703">
      <w:pPr>
        <w:numPr>
          <w:ilvl w:val="1"/>
          <w:numId w:val="50"/>
        </w:numPr>
        <w:spacing w:before="0" w:beforeAutospacing="1" w:after="0" w:afterAutospacing="1"/>
        <w:ind w:left="1440" w:hanging="360"/>
      </w:pPr>
      <w:r>
        <w:t>软件恢复：更换PLC锂电池（电压≥3V），从备份文件（U盘或云端）恢复程序；检查通讯参数（PLC与触摸屏IP地址在同一网段，如PLC 192.168.0.10，触摸屏192.168.0.20，子网掩码255.255.255.0），重新下载触摸屏组态画面（确保与PLC程序版本匹配）。</w:t>
      </w:r>
    </w:p>
    <w:p w14:paraId="3ED1BCFF">
      <w:pPr>
        <w:numPr>
          <w:ilvl w:val="1"/>
          <w:numId w:val="50"/>
        </w:numPr>
        <w:spacing w:before="0" w:beforeAutospacing="1" w:after="0" w:afterAutospacing="1"/>
        <w:ind w:left="1440" w:hanging="360"/>
      </w:pPr>
      <w:r>
        <w:t>抗干扰措施：以太网电缆采用屏蔽双绞线（STP），屏蔽层两端接地；在网络交换机端口加装网络隔离器（抗干扰等级≥4kV），减少电磁干扰影响。</w:t>
      </w:r>
    </w:p>
    <w:p w14:paraId="14CCA06D">
      <w:r>
        <w:rPr>
          <w:b/>
        </w:rPr>
        <w:t>电机过载跳闸</w:t>
      </w:r>
      <w:r>
        <w:t>：</w:t>
      </w:r>
    </w:p>
    <w:p w14:paraId="67D0AC40">
      <w:pPr>
        <w:numPr>
          <w:ilvl w:val="0"/>
          <w:numId w:val="51"/>
        </w:numPr>
        <w:spacing w:before="0" w:beforeAutospacing="1" w:after="0" w:afterAutospacing="1"/>
        <w:ind w:left="720" w:hanging="360"/>
      </w:pPr>
      <w:r>
        <w:rPr>
          <w:b/>
        </w:rPr>
        <w:t>故障现象</w:t>
      </w:r>
      <w:r>
        <w:t>：风机、泵类电机运行时电流超过额定值（如15kW电机电流＞30A），热继电器动作或断路器跳闸，电机外壳温度＞80℃，伴有异味或冒烟。</w:t>
      </w:r>
    </w:p>
    <w:p w14:paraId="5CD51F70">
      <w:pPr>
        <w:numPr>
          <w:ilvl w:val="0"/>
          <w:numId w:val="51"/>
        </w:numPr>
        <w:spacing w:before="0" w:beforeAutospacing="1" w:after="0" w:afterAutospacing="1"/>
        <w:ind w:left="720" w:hanging="360"/>
      </w:pPr>
      <w:r>
        <w:rPr>
          <w:b/>
        </w:rPr>
        <w:t>成因分析</w:t>
      </w:r>
      <w:r>
        <w:t>：</w:t>
      </w:r>
    </w:p>
    <w:p w14:paraId="2782BC7F">
      <w:pPr>
        <w:numPr>
          <w:ilvl w:val="1"/>
          <w:numId w:val="51"/>
        </w:numPr>
        <w:spacing w:before="0" w:beforeAutospacing="1" w:after="0" w:afterAutospacing="1"/>
        <w:ind w:left="1440" w:hanging="360"/>
      </w:pPr>
      <w:r>
        <w:t>机械负载过大：风机叶轮积灰（阻力增加30%）或管道堵塞（压差＞2000Pa），泵叶轮缠绕杂物（如塑料袋），导致电机输出扭矩超过额定值（150%额定扭矩持续30秒以上）。</w:t>
      </w:r>
    </w:p>
    <w:p w14:paraId="2DB32DD7">
      <w:pPr>
        <w:numPr>
          <w:ilvl w:val="1"/>
          <w:numId w:val="51"/>
        </w:numPr>
        <w:spacing w:before="0" w:beforeAutospacing="1" w:after="0" w:afterAutospacing="1"/>
        <w:ind w:left="1440" w:hanging="360"/>
      </w:pPr>
      <w:r>
        <w:t>电气故障：电机绕组匝间短路（绝缘电阻＜1MΩ）或缺相（某相电流为零），导致电流不平衡（三相电流偏差＞10%）；变频器故障（输出电压不平衡或过流保护误动作）。</w:t>
      </w:r>
    </w:p>
    <w:p w14:paraId="239D87B2">
      <w:pPr>
        <w:numPr>
          <w:ilvl w:val="1"/>
          <w:numId w:val="51"/>
        </w:numPr>
        <w:spacing w:before="0" w:beforeAutospacing="1" w:after="0" w:afterAutospacing="1"/>
        <w:ind w:left="1440" w:hanging="360"/>
      </w:pPr>
      <w:r>
        <w:t>电源问题：电网电压过低（＜342V）或波动过大（±10%以上），导致电机效率下降，电流升高。</w:t>
      </w:r>
    </w:p>
    <w:p w14:paraId="15DBDED3">
      <w:pPr>
        <w:numPr>
          <w:ilvl w:val="0"/>
          <w:numId w:val="51"/>
        </w:numPr>
        <w:spacing w:before="0" w:beforeAutospacing="1" w:after="0" w:afterAutospacing="1"/>
        <w:ind w:left="720" w:hanging="360"/>
      </w:pPr>
      <w:r>
        <w:rPr>
          <w:b/>
        </w:rPr>
        <w:t>处理对策</w:t>
      </w:r>
      <w:r>
        <w:t>：</w:t>
      </w:r>
    </w:p>
    <w:p w14:paraId="21B9E75D">
      <w:pPr>
        <w:numPr>
          <w:ilvl w:val="1"/>
          <w:numId w:val="51"/>
        </w:numPr>
        <w:spacing w:before="0" w:beforeAutospacing="1" w:after="0" w:afterAutospacing="1"/>
        <w:ind w:left="1440" w:hanging="360"/>
      </w:pPr>
      <w:r>
        <w:t>减轻负载：清理风机叶轮积灰和管道堵塞物，检查泵入口过滤器并清除杂物，确保系统阻力恢复至设计值（＜1500Pa）；若负载持续过大，需评估是否需要更换大功率电机。</w:t>
      </w:r>
    </w:p>
    <w:p w14:paraId="2DB8B35D">
      <w:pPr>
        <w:numPr>
          <w:ilvl w:val="1"/>
          <w:numId w:val="51"/>
        </w:numPr>
        <w:spacing w:before="0" w:beforeAutospacing="1" w:after="0" w:afterAutospacing="1"/>
        <w:ind w:left="1440" w:hanging="360"/>
      </w:pPr>
      <w:r>
        <w:t>电机维修：用兆欧表检测电机绕组绝缘电阻（≥100MΩ为正常，＜1MΩ需烘干或重绕），用钳形表测量三相电流（不平衡度≤5%），缺相时检查电源线路（断路器、接触器触点是否烧蚀），更换损坏的接触器（触点烧蚀深度＞0.5mm时）。</w:t>
      </w:r>
    </w:p>
    <w:p w14:paraId="42540C70">
      <w:pPr>
        <w:numPr>
          <w:ilvl w:val="1"/>
          <w:numId w:val="51"/>
        </w:numPr>
        <w:spacing w:before="0" w:beforeAutospacing="1" w:after="0" w:afterAutospacing="1"/>
        <w:ind w:left="1440" w:hanging="360"/>
      </w:pPr>
      <w:r>
        <w:t>电源稳定：安装稳压器（容量为电机功率的2-3倍），稳定电网电压（380V±5%）；检查变频器参数，重新整定过载保护值（150%额定电流持续30秒），清理变频器散热片灰尘（防止过热保护）。</w:t>
      </w:r>
    </w:p>
    <w:p w14:paraId="7E664CBC">
      <w:pPr>
        <w:pStyle w:val="3"/>
      </w:pPr>
      <w:r>
        <w:t>八、附录</w:t>
      </w:r>
    </w:p>
    <w:p w14:paraId="566DFA2F">
      <w:pPr>
        <w:pStyle w:val="4"/>
      </w:pPr>
      <w:r>
        <w:t>8.1 技术参数汇总表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06236803">
        <w:tblPrEx>
          <w:tblCellMar>
            <w:top w:w="0" w:type="dxa"/>
            <w:left w:w="0" w:type="dxa"/>
            <w:bottom w:w="0" w:type="dxa"/>
            <w:right w:w="0" w:type="dxa"/>
          </w:tblCellMar>
        </w:tblPrEx>
        <w:tc>
          <w:tcPr>
            <w:tcW w:w="0" w:type="auto"/>
            <w:vAlign w:val="center"/>
          </w:tcPr>
          <w:p w14:paraId="23FB7AA0">
            <w:pPr>
              <w:jc w:val="center"/>
              <w:rPr>
                <w:b/>
              </w:rPr>
            </w:pPr>
            <w:r>
              <w:rPr>
                <w:b/>
              </w:rPr>
              <w:t>参数类别</w:t>
            </w:r>
          </w:p>
        </w:tc>
        <w:tc>
          <w:tcPr>
            <w:tcW w:w="0" w:type="auto"/>
            <w:vAlign w:val="center"/>
          </w:tcPr>
          <w:p w14:paraId="53A52589">
            <w:pPr>
              <w:jc w:val="center"/>
              <w:rPr>
                <w:b/>
              </w:rPr>
            </w:pPr>
            <w:r>
              <w:rPr>
                <w:b/>
              </w:rPr>
              <w:t>活性炭吸附设备（15000m³/h）</w:t>
            </w:r>
          </w:p>
        </w:tc>
        <w:tc>
          <w:tcPr>
            <w:tcW w:w="0" w:type="auto"/>
            <w:vAlign w:val="center"/>
          </w:tcPr>
          <w:p w14:paraId="7FD94DA1">
            <w:pPr>
              <w:jc w:val="center"/>
              <w:rPr>
                <w:b/>
              </w:rPr>
            </w:pPr>
            <w:r>
              <w:rPr>
                <w:b/>
              </w:rPr>
              <w:t>RCO催化燃烧设备（20000m³/h）</w:t>
            </w:r>
          </w:p>
        </w:tc>
        <w:tc>
          <w:tcPr>
            <w:tcW w:w="0" w:type="auto"/>
            <w:vAlign w:val="center"/>
          </w:tcPr>
          <w:p w14:paraId="571667DC">
            <w:pPr>
              <w:jc w:val="center"/>
              <w:rPr>
                <w:b/>
              </w:rPr>
            </w:pPr>
            <w:r>
              <w:rPr>
                <w:b/>
              </w:rPr>
              <w:t>RTO蓄热焚烧设备（30000m³/h）</w:t>
            </w:r>
          </w:p>
        </w:tc>
      </w:tr>
      <w:tr w14:paraId="1D1BB928">
        <w:tblPrEx>
          <w:tblCellMar>
            <w:top w:w="0" w:type="dxa"/>
            <w:left w:w="0" w:type="dxa"/>
            <w:bottom w:w="0" w:type="dxa"/>
            <w:right w:w="0" w:type="dxa"/>
          </w:tblCellMar>
        </w:tblPrEx>
        <w:tc>
          <w:tcPr>
            <w:tcW w:w="0" w:type="auto"/>
            <w:vAlign w:val="center"/>
          </w:tcPr>
          <w:p w14:paraId="745FA288">
            <w:r>
              <w:rPr>
                <w:b/>
              </w:rPr>
              <w:t>处理能力</w:t>
            </w:r>
          </w:p>
        </w:tc>
        <w:tc>
          <w:tcPr>
            <w:tcW w:w="0" w:type="auto"/>
            <w:vAlign w:val="center"/>
          </w:tcPr>
          <w:p w14:paraId="174BBB54"/>
        </w:tc>
        <w:tc>
          <w:tcPr>
            <w:tcW w:w="0" w:type="auto"/>
            <w:vAlign w:val="center"/>
          </w:tcPr>
          <w:p w14:paraId="00F9193D"/>
        </w:tc>
        <w:tc>
          <w:tcPr>
            <w:tcW w:w="0" w:type="auto"/>
            <w:vAlign w:val="center"/>
          </w:tcPr>
          <w:p w14:paraId="72C7DDCB"/>
        </w:tc>
      </w:tr>
      <w:tr w14:paraId="26D92282">
        <w:tblPrEx>
          <w:tblCellMar>
            <w:top w:w="0" w:type="dxa"/>
            <w:left w:w="0" w:type="dxa"/>
            <w:bottom w:w="0" w:type="dxa"/>
            <w:right w:w="0" w:type="dxa"/>
          </w:tblCellMar>
        </w:tblPrEx>
        <w:tc>
          <w:tcPr>
            <w:tcW w:w="0" w:type="auto"/>
            <w:vAlign w:val="center"/>
          </w:tcPr>
          <w:p w14:paraId="07DB779A">
            <w:r>
              <w:t>处理风量</w:t>
            </w:r>
          </w:p>
        </w:tc>
        <w:tc>
          <w:tcPr>
            <w:tcW w:w="0" w:type="auto"/>
            <w:vAlign w:val="center"/>
          </w:tcPr>
          <w:p w14:paraId="6E4C69D0">
            <w:r>
              <w:t>15000m³/h（±5%）</w:t>
            </w:r>
          </w:p>
        </w:tc>
        <w:tc>
          <w:tcPr>
            <w:tcW w:w="0" w:type="auto"/>
            <w:vAlign w:val="center"/>
          </w:tcPr>
          <w:p w14:paraId="0D6DA8FC">
            <w:r>
              <w:t>20000m³/h（±5%）</w:t>
            </w:r>
          </w:p>
        </w:tc>
        <w:tc>
          <w:tcPr>
            <w:tcW w:w="0" w:type="auto"/>
            <w:vAlign w:val="center"/>
          </w:tcPr>
          <w:p w14:paraId="01AF1E72">
            <w:r>
              <w:t>30000m³/h（±5%）</w:t>
            </w:r>
          </w:p>
        </w:tc>
      </w:tr>
      <w:tr w14:paraId="61ED31CC">
        <w:tc>
          <w:tcPr>
            <w:tcW w:w="0" w:type="auto"/>
            <w:vAlign w:val="center"/>
          </w:tcPr>
          <w:p w14:paraId="658EFDA3">
            <w:r>
              <w:t>进口VOCs浓度</w:t>
            </w:r>
          </w:p>
        </w:tc>
        <w:tc>
          <w:tcPr>
            <w:tcW w:w="0" w:type="auto"/>
            <w:vAlign w:val="center"/>
          </w:tcPr>
          <w:p w14:paraId="0D9FDF74">
            <w:r>
              <w:t>≤1000mg/m³</w:t>
            </w:r>
          </w:p>
        </w:tc>
        <w:tc>
          <w:tcPr>
            <w:tcW w:w="0" w:type="auto"/>
            <w:vAlign w:val="center"/>
          </w:tcPr>
          <w:p w14:paraId="1C8ED446">
            <w:r>
              <w:t>1000-5000mg/m³</w:t>
            </w:r>
          </w:p>
        </w:tc>
        <w:tc>
          <w:tcPr>
            <w:tcW w:w="0" w:type="auto"/>
            <w:vAlign w:val="center"/>
          </w:tcPr>
          <w:p w14:paraId="1B675A92">
            <w:r>
              <w:t>＞2000mg/m³</w:t>
            </w:r>
          </w:p>
        </w:tc>
      </w:tr>
      <w:tr w14:paraId="1EE9A895">
        <w:tblPrEx>
          <w:tblCellMar>
            <w:top w:w="0" w:type="dxa"/>
            <w:left w:w="0" w:type="dxa"/>
            <w:bottom w:w="0" w:type="dxa"/>
            <w:right w:w="0" w:type="dxa"/>
          </w:tblCellMar>
        </w:tblPrEx>
        <w:tc>
          <w:tcPr>
            <w:tcW w:w="0" w:type="auto"/>
            <w:vAlign w:val="center"/>
          </w:tcPr>
          <w:p w14:paraId="298DF56A">
            <w:r>
              <w:t>进口温度</w:t>
            </w:r>
          </w:p>
        </w:tc>
        <w:tc>
          <w:tcPr>
            <w:tcW w:w="0" w:type="auto"/>
            <w:vAlign w:val="center"/>
          </w:tcPr>
          <w:p w14:paraId="742825C7">
            <w:r>
              <w:t>≤60℃</w:t>
            </w:r>
          </w:p>
        </w:tc>
        <w:tc>
          <w:tcPr>
            <w:tcW w:w="0" w:type="auto"/>
            <w:vAlign w:val="center"/>
          </w:tcPr>
          <w:p w14:paraId="475955E4">
            <w:r>
              <w:t>≤150℃（需预处理降温至60℃）</w:t>
            </w:r>
          </w:p>
        </w:tc>
        <w:tc>
          <w:tcPr>
            <w:tcW w:w="0" w:type="auto"/>
            <w:vAlign w:val="center"/>
          </w:tcPr>
          <w:p w14:paraId="2B1C4BA5">
            <w:r>
              <w:t>≤200℃</w:t>
            </w:r>
          </w:p>
        </w:tc>
      </w:tr>
      <w:tr w14:paraId="5238C20A">
        <w:tblPrEx>
          <w:tblCellMar>
            <w:top w:w="0" w:type="dxa"/>
            <w:left w:w="0" w:type="dxa"/>
            <w:bottom w:w="0" w:type="dxa"/>
            <w:right w:w="0" w:type="dxa"/>
          </w:tblCellMar>
        </w:tblPrEx>
        <w:tc>
          <w:tcPr>
            <w:tcW w:w="0" w:type="auto"/>
            <w:vAlign w:val="center"/>
          </w:tcPr>
          <w:p w14:paraId="4051F115">
            <w:r>
              <w:rPr>
                <w:b/>
              </w:rPr>
              <w:t>净化性能</w:t>
            </w:r>
          </w:p>
        </w:tc>
        <w:tc>
          <w:tcPr>
            <w:tcW w:w="0" w:type="auto"/>
            <w:vAlign w:val="center"/>
          </w:tcPr>
          <w:p w14:paraId="47E96192"/>
        </w:tc>
        <w:tc>
          <w:tcPr>
            <w:tcW w:w="0" w:type="auto"/>
            <w:vAlign w:val="center"/>
          </w:tcPr>
          <w:p w14:paraId="0D75AE89"/>
        </w:tc>
        <w:tc>
          <w:tcPr>
            <w:tcW w:w="0" w:type="auto"/>
            <w:vAlign w:val="center"/>
          </w:tcPr>
          <w:p w14:paraId="23F23366"/>
        </w:tc>
      </w:tr>
      <w:tr w14:paraId="48876C7B">
        <w:tblPrEx>
          <w:tblCellMar>
            <w:top w:w="0" w:type="dxa"/>
            <w:left w:w="0" w:type="dxa"/>
            <w:bottom w:w="0" w:type="dxa"/>
            <w:right w:w="0" w:type="dxa"/>
          </w:tblCellMar>
        </w:tblPrEx>
        <w:tc>
          <w:tcPr>
            <w:tcW w:w="0" w:type="auto"/>
            <w:vAlign w:val="center"/>
          </w:tcPr>
          <w:p w14:paraId="6ED78229">
            <w:r>
              <w:t>VOCs去除率</w:t>
            </w:r>
          </w:p>
        </w:tc>
        <w:tc>
          <w:tcPr>
            <w:tcW w:w="0" w:type="auto"/>
            <w:vAlign w:val="center"/>
          </w:tcPr>
          <w:p w14:paraId="706B0CDF">
            <w:r>
              <w:t>≥95%</w:t>
            </w:r>
          </w:p>
        </w:tc>
        <w:tc>
          <w:tcPr>
            <w:tcW w:w="0" w:type="auto"/>
            <w:vAlign w:val="center"/>
          </w:tcPr>
          <w:p w14:paraId="79066D48">
            <w:r>
              <w:t>≥98%</w:t>
            </w:r>
          </w:p>
        </w:tc>
        <w:tc>
          <w:tcPr>
            <w:tcW w:w="0" w:type="auto"/>
            <w:vAlign w:val="center"/>
          </w:tcPr>
          <w:p w14:paraId="752A787E">
            <w:r>
              <w:t>≥99%</w:t>
            </w:r>
          </w:p>
        </w:tc>
      </w:tr>
      <w:tr w14:paraId="775E52EB">
        <w:tc>
          <w:tcPr>
            <w:tcW w:w="0" w:type="auto"/>
            <w:vAlign w:val="center"/>
          </w:tcPr>
          <w:p w14:paraId="5EABEB5E">
            <w:r>
              <w:t>出口浓度</w:t>
            </w:r>
          </w:p>
        </w:tc>
        <w:tc>
          <w:tcPr>
            <w:tcW w:w="0" w:type="auto"/>
            <w:vAlign w:val="center"/>
          </w:tcPr>
          <w:p w14:paraId="683E086E">
            <w:r>
              <w:t>≤50mg/m³</w:t>
            </w:r>
          </w:p>
        </w:tc>
        <w:tc>
          <w:tcPr>
            <w:tcW w:w="0" w:type="auto"/>
            <w:vAlign w:val="center"/>
          </w:tcPr>
          <w:p w14:paraId="32C75669">
            <w:r>
              <w:t>≤30mg/m³</w:t>
            </w:r>
          </w:p>
        </w:tc>
        <w:tc>
          <w:tcPr>
            <w:tcW w:w="0" w:type="auto"/>
            <w:vAlign w:val="center"/>
          </w:tcPr>
          <w:p w14:paraId="21779097">
            <w:r>
              <w:t>≤20mg/m³</w:t>
            </w:r>
          </w:p>
        </w:tc>
      </w:tr>
      <w:tr w14:paraId="30BCBB87">
        <w:tblPrEx>
          <w:tblCellMar>
            <w:top w:w="0" w:type="dxa"/>
            <w:left w:w="0" w:type="dxa"/>
            <w:bottom w:w="0" w:type="dxa"/>
            <w:right w:w="0" w:type="dxa"/>
          </w:tblCellMar>
        </w:tblPrEx>
        <w:tc>
          <w:tcPr>
            <w:tcW w:w="0" w:type="auto"/>
            <w:vAlign w:val="center"/>
          </w:tcPr>
          <w:p w14:paraId="4EA8272A">
            <w:r>
              <w:t>能耗指标</w:t>
            </w:r>
          </w:p>
        </w:tc>
        <w:tc>
          <w:tcPr>
            <w:tcW w:w="0" w:type="auto"/>
            <w:vAlign w:val="center"/>
          </w:tcPr>
          <w:p w14:paraId="3B020220">
            <w:r>
              <w:t>风机功率15kW</w:t>
            </w:r>
          </w:p>
        </w:tc>
        <w:tc>
          <w:tcPr>
            <w:tcW w:w="0" w:type="auto"/>
            <w:vAlign w:val="center"/>
          </w:tcPr>
          <w:p w14:paraId="46D5EBA4">
            <w:r>
              <w:t>电加热功率50kW（启动），热效率≥90%</w:t>
            </w:r>
          </w:p>
        </w:tc>
        <w:tc>
          <w:tcPr>
            <w:tcW w:w="0" w:type="auto"/>
            <w:vAlign w:val="center"/>
          </w:tcPr>
          <w:p w14:paraId="62A7A25B">
            <w:r>
              <w:t>热效率＞95%，自供热浓度≥2500mg/m³</w:t>
            </w:r>
          </w:p>
        </w:tc>
      </w:tr>
      <w:tr w14:paraId="7B7348E5">
        <w:tblPrEx>
          <w:tblCellMar>
            <w:top w:w="0" w:type="dxa"/>
            <w:left w:w="0" w:type="dxa"/>
            <w:bottom w:w="0" w:type="dxa"/>
            <w:right w:w="0" w:type="dxa"/>
          </w:tblCellMar>
        </w:tblPrEx>
        <w:tc>
          <w:tcPr>
            <w:tcW w:w="0" w:type="auto"/>
            <w:vAlign w:val="center"/>
          </w:tcPr>
          <w:p w14:paraId="4580EEE6">
            <w:r>
              <w:rPr>
                <w:b/>
              </w:rPr>
              <w:t>安全参数</w:t>
            </w:r>
          </w:p>
        </w:tc>
        <w:tc>
          <w:tcPr>
            <w:tcW w:w="0" w:type="auto"/>
            <w:vAlign w:val="center"/>
          </w:tcPr>
          <w:p w14:paraId="286C94CA"/>
        </w:tc>
        <w:tc>
          <w:tcPr>
            <w:tcW w:w="0" w:type="auto"/>
            <w:vAlign w:val="center"/>
          </w:tcPr>
          <w:p w14:paraId="2EBC3616"/>
        </w:tc>
        <w:tc>
          <w:tcPr>
            <w:tcW w:w="0" w:type="auto"/>
            <w:vAlign w:val="center"/>
          </w:tcPr>
          <w:p w14:paraId="64E8ABE2"/>
        </w:tc>
      </w:tr>
      <w:tr w14:paraId="2E06686A">
        <w:tblPrEx>
          <w:tblCellMar>
            <w:top w:w="0" w:type="dxa"/>
            <w:left w:w="0" w:type="dxa"/>
            <w:bottom w:w="0" w:type="dxa"/>
            <w:right w:w="0" w:type="dxa"/>
          </w:tblCellMar>
        </w:tblPrEx>
        <w:tc>
          <w:tcPr>
            <w:tcW w:w="0" w:type="auto"/>
            <w:vAlign w:val="center"/>
          </w:tcPr>
          <w:p w14:paraId="22619BB5">
            <w:r>
              <w:t>防爆等级</w:t>
            </w:r>
          </w:p>
        </w:tc>
        <w:tc>
          <w:tcPr>
            <w:tcW w:w="0" w:type="auto"/>
            <w:vAlign w:val="center"/>
          </w:tcPr>
          <w:p w14:paraId="0F7F0781">
            <w:r>
              <w:t>Ex dⅡBT4</w:t>
            </w:r>
          </w:p>
        </w:tc>
        <w:tc>
          <w:tcPr>
            <w:tcW w:w="0" w:type="auto"/>
            <w:vAlign w:val="center"/>
          </w:tcPr>
          <w:p w14:paraId="498254D8">
            <w:r>
              <w:t>Ex dⅡBT4</w:t>
            </w:r>
          </w:p>
        </w:tc>
        <w:tc>
          <w:tcPr>
            <w:tcW w:w="0" w:type="auto"/>
            <w:vAlign w:val="center"/>
          </w:tcPr>
          <w:p w14:paraId="281EBE19">
            <w:r>
              <w:t>Ex dⅡBT4</w:t>
            </w:r>
          </w:p>
        </w:tc>
      </w:tr>
      <w:tr w14:paraId="3AB80390">
        <w:tc>
          <w:tcPr>
            <w:tcW w:w="0" w:type="auto"/>
            <w:vAlign w:val="center"/>
          </w:tcPr>
          <w:p w14:paraId="389D9DAB">
            <w:r>
              <w:t>泄爆压力</w:t>
            </w:r>
          </w:p>
        </w:tc>
        <w:tc>
          <w:tcPr>
            <w:tcW w:w="0" w:type="auto"/>
            <w:vAlign w:val="center"/>
          </w:tcPr>
          <w:p w14:paraId="034AADB1">
            <w:r>
              <w:t>0.15MPa</w:t>
            </w:r>
          </w:p>
        </w:tc>
        <w:tc>
          <w:tcPr>
            <w:tcW w:w="0" w:type="auto"/>
            <w:vAlign w:val="center"/>
          </w:tcPr>
          <w:p w14:paraId="1B69F540">
            <w:r>
              <w:t>0.15MPa</w:t>
            </w:r>
          </w:p>
        </w:tc>
        <w:tc>
          <w:tcPr>
            <w:tcW w:w="0" w:type="auto"/>
            <w:vAlign w:val="center"/>
          </w:tcPr>
          <w:p w14:paraId="7F3F1B2C">
            <w:r>
              <w:t>0.15MPa</w:t>
            </w:r>
          </w:p>
        </w:tc>
      </w:tr>
      <w:tr w14:paraId="07166E29">
        <w:tblPrEx>
          <w:tblCellMar>
            <w:top w:w="0" w:type="dxa"/>
            <w:left w:w="0" w:type="dxa"/>
            <w:bottom w:w="0" w:type="dxa"/>
            <w:right w:w="0" w:type="dxa"/>
          </w:tblCellMar>
        </w:tblPrEx>
        <w:tc>
          <w:tcPr>
            <w:tcW w:w="0" w:type="auto"/>
            <w:vAlign w:val="center"/>
          </w:tcPr>
          <w:p w14:paraId="2532AFC6">
            <w:r>
              <w:t>噪音</w:t>
            </w:r>
          </w:p>
        </w:tc>
        <w:tc>
          <w:tcPr>
            <w:tcW w:w="0" w:type="auto"/>
            <w:vAlign w:val="center"/>
          </w:tcPr>
          <w:p w14:paraId="279CD7C7">
            <w:r>
              <w:t>≤80dB（距设备1m）</w:t>
            </w:r>
          </w:p>
        </w:tc>
        <w:tc>
          <w:tcPr>
            <w:tcW w:w="0" w:type="auto"/>
            <w:vAlign w:val="center"/>
          </w:tcPr>
          <w:p w14:paraId="2E8ED91D">
            <w:r>
              <w:t>≤85dB（距设备1m）</w:t>
            </w:r>
          </w:p>
        </w:tc>
        <w:tc>
          <w:tcPr>
            <w:tcW w:w="0" w:type="auto"/>
            <w:vAlign w:val="center"/>
          </w:tcPr>
          <w:p w14:paraId="27BD8F7C">
            <w:r>
              <w:t>≤90dB（距设备1m）</w:t>
            </w:r>
          </w:p>
        </w:tc>
      </w:tr>
      <w:tr w14:paraId="7A233673">
        <w:tblPrEx>
          <w:tblCellMar>
            <w:top w:w="0" w:type="dxa"/>
            <w:left w:w="0" w:type="dxa"/>
            <w:bottom w:w="0" w:type="dxa"/>
            <w:right w:w="0" w:type="dxa"/>
          </w:tblCellMar>
        </w:tblPrEx>
        <w:tc>
          <w:tcPr>
            <w:tcW w:w="0" w:type="auto"/>
            <w:vAlign w:val="center"/>
          </w:tcPr>
          <w:p w14:paraId="1003BA55">
            <w:r>
              <w:rPr>
                <w:b/>
              </w:rPr>
              <w:t>物理参数</w:t>
            </w:r>
          </w:p>
        </w:tc>
        <w:tc>
          <w:tcPr>
            <w:tcW w:w="0" w:type="auto"/>
            <w:vAlign w:val="center"/>
          </w:tcPr>
          <w:p w14:paraId="35E3CCD7"/>
        </w:tc>
        <w:tc>
          <w:tcPr>
            <w:tcW w:w="0" w:type="auto"/>
            <w:vAlign w:val="center"/>
          </w:tcPr>
          <w:p w14:paraId="516AC540"/>
        </w:tc>
        <w:tc>
          <w:tcPr>
            <w:tcW w:w="0" w:type="auto"/>
            <w:vAlign w:val="center"/>
          </w:tcPr>
          <w:p w14:paraId="37ED36C1"/>
        </w:tc>
      </w:tr>
      <w:tr w14:paraId="4B65A21C">
        <w:tblPrEx>
          <w:tblCellMar>
            <w:top w:w="0" w:type="dxa"/>
            <w:left w:w="0" w:type="dxa"/>
            <w:bottom w:w="0" w:type="dxa"/>
            <w:right w:w="0" w:type="dxa"/>
          </w:tblCellMar>
        </w:tblPrEx>
        <w:tc>
          <w:tcPr>
            <w:tcW w:w="0" w:type="auto"/>
            <w:vAlign w:val="center"/>
          </w:tcPr>
          <w:p w14:paraId="76C6BC90">
            <w:r>
              <w:t>外形尺寸（长×宽×高）</w:t>
            </w:r>
          </w:p>
        </w:tc>
        <w:tc>
          <w:tcPr>
            <w:tcW w:w="0" w:type="auto"/>
            <w:vAlign w:val="center"/>
          </w:tcPr>
          <w:p w14:paraId="36AA9371">
            <w:r>
              <w:t>4m×2m×5m</w:t>
            </w:r>
          </w:p>
        </w:tc>
        <w:tc>
          <w:tcPr>
            <w:tcW w:w="0" w:type="auto"/>
            <w:vAlign w:val="center"/>
          </w:tcPr>
          <w:p w14:paraId="64A14962">
            <w:r>
              <w:t>6m×3m×4m</w:t>
            </w:r>
          </w:p>
        </w:tc>
        <w:tc>
          <w:tcPr>
            <w:tcW w:w="0" w:type="auto"/>
            <w:vAlign w:val="center"/>
          </w:tcPr>
          <w:p w14:paraId="30ADD1FD">
            <w:r>
              <w:t>8m×4m×5m</w:t>
            </w:r>
          </w:p>
        </w:tc>
      </w:tr>
      <w:tr w14:paraId="0A40FD13">
        <w:tc>
          <w:tcPr>
            <w:tcW w:w="0" w:type="auto"/>
            <w:vAlign w:val="center"/>
          </w:tcPr>
          <w:p w14:paraId="13ABE96D">
            <w:r>
              <w:t>设备重量</w:t>
            </w:r>
          </w:p>
        </w:tc>
        <w:tc>
          <w:tcPr>
            <w:tcW w:w="0" w:type="auto"/>
            <w:vAlign w:val="center"/>
          </w:tcPr>
          <w:p w14:paraId="27DF3270">
            <w:r>
              <w:t>3000kg</w:t>
            </w:r>
          </w:p>
        </w:tc>
        <w:tc>
          <w:tcPr>
            <w:tcW w:w="0" w:type="auto"/>
            <w:vAlign w:val="center"/>
          </w:tcPr>
          <w:p w14:paraId="5DC5FDED">
            <w:r>
              <w:t>8000kg</w:t>
            </w:r>
          </w:p>
        </w:tc>
        <w:tc>
          <w:tcPr>
            <w:tcW w:w="0" w:type="auto"/>
            <w:vAlign w:val="center"/>
          </w:tcPr>
          <w:p w14:paraId="4D1A588F">
            <w:r>
              <w:t>15000kg</w:t>
            </w:r>
          </w:p>
        </w:tc>
      </w:tr>
      <w:tr w14:paraId="609DC5E9">
        <w:tblPrEx>
          <w:tblCellMar>
            <w:top w:w="0" w:type="dxa"/>
            <w:left w:w="0" w:type="dxa"/>
            <w:bottom w:w="0" w:type="dxa"/>
            <w:right w:w="0" w:type="dxa"/>
          </w:tblCellMar>
        </w:tblPrEx>
        <w:tc>
          <w:tcPr>
            <w:tcW w:w="0" w:type="auto"/>
            <w:vAlign w:val="center"/>
          </w:tcPr>
          <w:p w14:paraId="797C1311">
            <w:r>
              <w:t>材质</w:t>
            </w:r>
          </w:p>
        </w:tc>
        <w:tc>
          <w:tcPr>
            <w:tcW w:w="0" w:type="auto"/>
            <w:vAlign w:val="center"/>
          </w:tcPr>
          <w:p w14:paraId="01A0CA58">
            <w:r>
              <w:t>304不锈钢</w:t>
            </w:r>
          </w:p>
        </w:tc>
        <w:tc>
          <w:tcPr>
            <w:tcW w:w="0" w:type="auto"/>
            <w:vAlign w:val="center"/>
          </w:tcPr>
          <w:p w14:paraId="2EAA94D5">
            <w:r>
              <w:t>304/316L不锈钢</w:t>
            </w:r>
          </w:p>
        </w:tc>
        <w:tc>
          <w:tcPr>
            <w:tcW w:w="0" w:type="auto"/>
            <w:vAlign w:val="center"/>
          </w:tcPr>
          <w:p w14:paraId="3354F362">
            <w:r>
              <w:t>310S不锈钢（燃烧室）</w:t>
            </w:r>
          </w:p>
        </w:tc>
      </w:tr>
    </w:tbl>
    <w:p w14:paraId="4A04DC9B">
      <w:pPr>
        <w:pStyle w:val="4"/>
      </w:pPr>
      <w:r>
        <w:t>8.2 常用备件清单与更换指南</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230DF561">
        <w:tblPrEx>
          <w:tblCellMar>
            <w:top w:w="0" w:type="dxa"/>
            <w:left w:w="0" w:type="dxa"/>
            <w:bottom w:w="0" w:type="dxa"/>
            <w:right w:w="0" w:type="dxa"/>
          </w:tblCellMar>
        </w:tblPrEx>
        <w:tc>
          <w:tcPr>
            <w:tcW w:w="0" w:type="auto"/>
            <w:vAlign w:val="center"/>
          </w:tcPr>
          <w:p w14:paraId="50319566">
            <w:pPr>
              <w:jc w:val="center"/>
              <w:rPr>
                <w:b/>
              </w:rPr>
            </w:pPr>
            <w:r>
              <w:rPr>
                <w:b/>
              </w:rPr>
              <w:t>备件类别</w:t>
            </w:r>
          </w:p>
        </w:tc>
        <w:tc>
          <w:tcPr>
            <w:tcW w:w="0" w:type="auto"/>
            <w:vAlign w:val="center"/>
          </w:tcPr>
          <w:p w14:paraId="7E3759DC">
            <w:pPr>
              <w:jc w:val="center"/>
              <w:rPr>
                <w:b/>
              </w:rPr>
            </w:pPr>
            <w:r>
              <w:rPr>
                <w:b/>
              </w:rPr>
              <w:t>名称</w:t>
            </w:r>
          </w:p>
        </w:tc>
        <w:tc>
          <w:tcPr>
            <w:tcW w:w="0" w:type="auto"/>
            <w:vAlign w:val="center"/>
          </w:tcPr>
          <w:p w14:paraId="22769071">
            <w:pPr>
              <w:jc w:val="center"/>
              <w:rPr>
                <w:b/>
              </w:rPr>
            </w:pPr>
            <w:r>
              <w:rPr>
                <w:b/>
              </w:rPr>
              <w:t>型号规格</w:t>
            </w:r>
          </w:p>
        </w:tc>
        <w:tc>
          <w:tcPr>
            <w:tcW w:w="0" w:type="auto"/>
            <w:vAlign w:val="center"/>
          </w:tcPr>
          <w:p w14:paraId="6ABC63A3">
            <w:pPr>
              <w:jc w:val="center"/>
              <w:rPr>
                <w:b/>
              </w:rPr>
            </w:pPr>
            <w:r>
              <w:rPr>
                <w:b/>
              </w:rPr>
              <w:t>更换周期</w:t>
            </w:r>
          </w:p>
        </w:tc>
        <w:tc>
          <w:tcPr>
            <w:tcW w:w="0" w:type="auto"/>
            <w:vAlign w:val="center"/>
          </w:tcPr>
          <w:p w14:paraId="45EB0B8A">
            <w:pPr>
              <w:jc w:val="center"/>
              <w:rPr>
                <w:b/>
              </w:rPr>
            </w:pPr>
            <w:r>
              <w:rPr>
                <w:b/>
              </w:rPr>
              <w:t>更换工具及步骤</w:t>
            </w:r>
          </w:p>
        </w:tc>
      </w:tr>
      <w:tr w14:paraId="6D42635F">
        <w:tblPrEx>
          <w:tblCellMar>
            <w:top w:w="0" w:type="dxa"/>
            <w:left w:w="0" w:type="dxa"/>
            <w:bottom w:w="0" w:type="dxa"/>
            <w:right w:w="0" w:type="dxa"/>
          </w:tblCellMar>
        </w:tblPrEx>
        <w:tc>
          <w:tcPr>
            <w:tcW w:w="0" w:type="auto"/>
            <w:vAlign w:val="center"/>
          </w:tcPr>
          <w:p w14:paraId="16C827F8">
            <w:r>
              <w:t>易损件</w:t>
            </w:r>
          </w:p>
        </w:tc>
        <w:tc>
          <w:tcPr>
            <w:tcW w:w="0" w:type="auto"/>
            <w:vAlign w:val="center"/>
          </w:tcPr>
          <w:p w14:paraId="7D70CBE3">
            <w:r>
              <w:t>过滤器滤料</w:t>
            </w:r>
          </w:p>
        </w:tc>
        <w:tc>
          <w:tcPr>
            <w:tcW w:w="0" w:type="auto"/>
            <w:vAlign w:val="center"/>
          </w:tcPr>
          <w:p w14:paraId="49C6C70D">
            <w:r>
              <w:t>玻璃纤维毡，精度5μm</w:t>
            </w:r>
          </w:p>
        </w:tc>
        <w:tc>
          <w:tcPr>
            <w:tcW w:w="0" w:type="auto"/>
            <w:vAlign w:val="center"/>
          </w:tcPr>
          <w:p w14:paraId="6111AF57">
            <w:r>
              <w:t>200-300小时</w:t>
            </w:r>
          </w:p>
        </w:tc>
        <w:tc>
          <w:tcPr>
            <w:tcW w:w="0" w:type="auto"/>
            <w:vAlign w:val="center"/>
          </w:tcPr>
          <w:p w14:paraId="7445F716">
            <w:r>
              <w:t>螺丝刀、手套；步骤：1.关闭风阀→2.打开检修门→3.取出旧滤料→4.安装新滤料→5.检漏测试</w:t>
            </w:r>
          </w:p>
        </w:tc>
      </w:tr>
      <w:tr w14:paraId="5344E5AC">
        <w:tblPrEx>
          <w:tblCellMar>
            <w:top w:w="0" w:type="dxa"/>
            <w:left w:w="0" w:type="dxa"/>
            <w:bottom w:w="0" w:type="dxa"/>
            <w:right w:w="0" w:type="dxa"/>
          </w:tblCellMar>
        </w:tblPrEx>
        <w:tc>
          <w:tcPr>
            <w:tcW w:w="0" w:type="auto"/>
            <w:vAlign w:val="center"/>
          </w:tcPr>
          <w:p w14:paraId="4DB54C2E"/>
        </w:tc>
        <w:tc>
          <w:tcPr>
            <w:tcW w:w="0" w:type="auto"/>
            <w:vAlign w:val="center"/>
          </w:tcPr>
          <w:p w14:paraId="337A032B">
            <w:r>
              <w:t>活性炭</w:t>
            </w:r>
          </w:p>
        </w:tc>
        <w:tc>
          <w:tcPr>
            <w:tcW w:w="0" w:type="auto"/>
            <w:vAlign w:val="center"/>
          </w:tcPr>
          <w:p w14:paraId="2EC9D4F0">
            <w:r>
              <w:t>柱状，碘值≥800mg/g，φ4mm</w:t>
            </w:r>
          </w:p>
        </w:tc>
        <w:tc>
          <w:tcPr>
            <w:tcW w:w="0" w:type="auto"/>
            <w:vAlign w:val="center"/>
          </w:tcPr>
          <w:p w14:paraId="3F65ADD5">
            <w:r>
              <w:t>1年/3000m³废气</w:t>
            </w:r>
          </w:p>
        </w:tc>
        <w:tc>
          <w:tcPr>
            <w:tcW w:w="0" w:type="auto"/>
            <w:vAlign w:val="center"/>
          </w:tcPr>
          <w:p w14:paraId="7A556696">
            <w:r>
              <w:t>吊装设备、铲车；步骤：1.清空塔内旧炭→2.清理塔体→3.分层装填新炭→4.平整表面→5.密封人孔</w:t>
            </w:r>
          </w:p>
        </w:tc>
      </w:tr>
      <w:tr w14:paraId="528119CD">
        <w:tc>
          <w:tcPr>
            <w:tcW w:w="0" w:type="auto"/>
            <w:vAlign w:val="center"/>
          </w:tcPr>
          <w:p w14:paraId="177F3A03"/>
        </w:tc>
        <w:tc>
          <w:tcPr>
            <w:tcW w:w="0" w:type="auto"/>
            <w:vAlign w:val="center"/>
          </w:tcPr>
          <w:p w14:paraId="431C6AD5">
            <w:r>
              <w:t>催化剂</w:t>
            </w:r>
          </w:p>
        </w:tc>
        <w:tc>
          <w:tcPr>
            <w:tcW w:w="0" w:type="auto"/>
            <w:vAlign w:val="center"/>
          </w:tcPr>
          <w:p w14:paraId="401444F5">
            <w:r>
              <w:t>Pt/Pd蜂窝陶瓷，负载量0.3%</w:t>
            </w:r>
          </w:p>
        </w:tc>
        <w:tc>
          <w:tcPr>
            <w:tcW w:w="0" w:type="auto"/>
            <w:vAlign w:val="center"/>
          </w:tcPr>
          <w:p w14:paraId="50B246C9">
            <w:r>
              <w:t>2-3年</w:t>
            </w:r>
          </w:p>
        </w:tc>
        <w:tc>
          <w:tcPr>
            <w:tcW w:w="0" w:type="auto"/>
            <w:vAlign w:val="center"/>
          </w:tcPr>
          <w:p w14:paraId="08817BDD">
            <w:r>
              <w:t>叉车、扳手；步骤：1.拆除反应器端盖→2.取出旧催化剂→3.安装新催化剂→4.密封间隙→5.活性测试</w:t>
            </w:r>
          </w:p>
        </w:tc>
      </w:tr>
      <w:tr w14:paraId="41B3438D">
        <w:tblPrEx>
          <w:tblCellMar>
            <w:top w:w="0" w:type="dxa"/>
            <w:left w:w="0" w:type="dxa"/>
            <w:bottom w:w="0" w:type="dxa"/>
            <w:right w:w="0" w:type="dxa"/>
          </w:tblCellMar>
        </w:tblPrEx>
        <w:tc>
          <w:tcPr>
            <w:tcW w:w="0" w:type="auto"/>
            <w:vAlign w:val="center"/>
          </w:tcPr>
          <w:p w14:paraId="5C35CE84"/>
        </w:tc>
        <w:tc>
          <w:tcPr>
            <w:tcW w:w="0" w:type="auto"/>
            <w:vAlign w:val="center"/>
          </w:tcPr>
          <w:p w14:paraId="76EF518D">
            <w:r>
              <w:t>电磁阀</w:t>
            </w:r>
          </w:p>
        </w:tc>
        <w:tc>
          <w:tcPr>
            <w:tcW w:w="0" w:type="auto"/>
            <w:vAlign w:val="center"/>
          </w:tcPr>
          <w:p w14:paraId="18999714">
            <w:r>
              <w:t>气动阀用，AC220V，DN20</w:t>
            </w:r>
          </w:p>
        </w:tc>
        <w:tc>
          <w:tcPr>
            <w:tcW w:w="0" w:type="auto"/>
            <w:vAlign w:val="center"/>
          </w:tcPr>
          <w:p w14:paraId="595156AC">
            <w:r>
              <w:t>1年</w:t>
            </w:r>
          </w:p>
        </w:tc>
        <w:tc>
          <w:tcPr>
            <w:tcW w:w="0" w:type="auto"/>
            <w:vAlign w:val="center"/>
          </w:tcPr>
          <w:p w14:paraId="2BC741BB">
            <w:r>
              <w:t>扳手、万用表；步骤：1.断气断电→2.拆卸连接管路→3.更换电磁阀→4.通气测试→5.调整压力</w:t>
            </w:r>
          </w:p>
        </w:tc>
      </w:tr>
      <w:tr w14:paraId="3B68EE1A">
        <w:tblPrEx>
          <w:tblCellMar>
            <w:top w:w="0" w:type="dxa"/>
            <w:left w:w="0" w:type="dxa"/>
            <w:bottom w:w="0" w:type="dxa"/>
            <w:right w:w="0" w:type="dxa"/>
          </w:tblCellMar>
        </w:tblPrEx>
        <w:tc>
          <w:tcPr>
            <w:tcW w:w="0" w:type="auto"/>
            <w:vAlign w:val="center"/>
          </w:tcPr>
          <w:p w14:paraId="7ED86AB7">
            <w:r>
              <w:t>关键备件</w:t>
            </w:r>
          </w:p>
        </w:tc>
        <w:tc>
          <w:tcPr>
            <w:tcW w:w="0" w:type="auto"/>
            <w:vAlign w:val="center"/>
          </w:tcPr>
          <w:p w14:paraId="1A449F3C">
            <w:r>
              <w:t>VOCs传感器</w:t>
            </w:r>
          </w:p>
        </w:tc>
        <w:tc>
          <w:tcPr>
            <w:tcW w:w="0" w:type="auto"/>
            <w:vAlign w:val="center"/>
          </w:tcPr>
          <w:p w14:paraId="21141096">
            <w:r>
              <w:t>PID原理，0-5000mg/m³</w:t>
            </w:r>
          </w:p>
        </w:tc>
        <w:tc>
          <w:tcPr>
            <w:tcW w:w="0" w:type="auto"/>
            <w:vAlign w:val="center"/>
          </w:tcPr>
          <w:p w14:paraId="439C72FC">
            <w:r>
              <w:t>2年</w:t>
            </w:r>
          </w:p>
        </w:tc>
        <w:tc>
          <w:tcPr>
            <w:tcW w:w="0" w:type="auto"/>
            <w:vAlign w:val="center"/>
          </w:tcPr>
          <w:p w14:paraId="5C5E69AB">
            <w:r>
              <w:t>扳手、校准气体；步骤：1.断电→2.拆卸旧传感器→3.安装新传感器→4.接线→5.零点/量程校准</w:t>
            </w:r>
          </w:p>
        </w:tc>
      </w:tr>
      <w:tr w14:paraId="793965CC">
        <w:tblPrEx>
          <w:tblCellMar>
            <w:top w:w="0" w:type="dxa"/>
            <w:left w:w="0" w:type="dxa"/>
            <w:bottom w:w="0" w:type="dxa"/>
            <w:right w:w="0" w:type="dxa"/>
          </w:tblCellMar>
        </w:tblPrEx>
        <w:tc>
          <w:tcPr>
            <w:tcW w:w="0" w:type="auto"/>
            <w:vAlign w:val="center"/>
          </w:tcPr>
          <w:p w14:paraId="69E3E3AA"/>
        </w:tc>
        <w:tc>
          <w:tcPr>
            <w:tcW w:w="0" w:type="auto"/>
            <w:vAlign w:val="center"/>
          </w:tcPr>
          <w:p w14:paraId="26D8B0F0">
            <w:r>
              <w:t>PLC模块</w:t>
            </w:r>
          </w:p>
        </w:tc>
        <w:tc>
          <w:tcPr>
            <w:tcW w:w="0" w:type="auto"/>
            <w:vAlign w:val="center"/>
          </w:tcPr>
          <w:p w14:paraId="117FF51A">
            <w:r>
              <w:t>西门子SM 1231 AI 4×13bit</w:t>
            </w:r>
          </w:p>
        </w:tc>
        <w:tc>
          <w:tcPr>
            <w:tcW w:w="0" w:type="auto"/>
            <w:vAlign w:val="center"/>
          </w:tcPr>
          <w:p w14:paraId="0858435B">
            <w:r>
              <w:t>5年</w:t>
            </w:r>
          </w:p>
        </w:tc>
        <w:tc>
          <w:tcPr>
            <w:tcW w:w="0" w:type="auto"/>
            <w:vAlign w:val="center"/>
          </w:tcPr>
          <w:p w14:paraId="189384F3">
            <w:r>
              <w:t>螺丝刀、编程电缆；步骤：1.断电→2.拔出旧模块→3.插入新模块→4.下载程序→5.测试I/O</w:t>
            </w:r>
          </w:p>
        </w:tc>
      </w:tr>
      <w:tr w14:paraId="04126FB6">
        <w:tc>
          <w:tcPr>
            <w:tcW w:w="0" w:type="auto"/>
            <w:vAlign w:val="center"/>
          </w:tcPr>
          <w:p w14:paraId="36B005BB"/>
        </w:tc>
        <w:tc>
          <w:tcPr>
            <w:tcW w:w="0" w:type="auto"/>
            <w:vAlign w:val="center"/>
          </w:tcPr>
          <w:p w14:paraId="70BCEDCB">
            <w:r>
              <w:t>风机轴承</w:t>
            </w:r>
          </w:p>
        </w:tc>
        <w:tc>
          <w:tcPr>
            <w:tcW w:w="0" w:type="auto"/>
            <w:vAlign w:val="center"/>
          </w:tcPr>
          <w:p w14:paraId="421B7B76">
            <w:r>
              <w:t>6312深沟球轴承</w:t>
            </w:r>
          </w:p>
        </w:tc>
        <w:tc>
          <w:tcPr>
            <w:tcW w:w="0" w:type="auto"/>
            <w:vAlign w:val="center"/>
          </w:tcPr>
          <w:p w14:paraId="64B9ED67">
            <w:r>
              <w:t>3000小时</w:t>
            </w:r>
          </w:p>
        </w:tc>
        <w:tc>
          <w:tcPr>
            <w:tcW w:w="0" w:type="auto"/>
            <w:vAlign w:val="center"/>
          </w:tcPr>
          <w:p w14:paraId="6B185C44">
            <w:r>
              <w:t>拉马、加热套；步骤：1.拆卸叶轮→2.取出旧轴承→3.加热安装新轴承→4.加注润滑脂→5.回装叶轮</w:t>
            </w:r>
          </w:p>
        </w:tc>
      </w:tr>
      <w:tr w14:paraId="1BED2B5D">
        <w:tblPrEx>
          <w:tblCellMar>
            <w:top w:w="0" w:type="dxa"/>
            <w:left w:w="0" w:type="dxa"/>
            <w:bottom w:w="0" w:type="dxa"/>
            <w:right w:w="0" w:type="dxa"/>
          </w:tblCellMar>
        </w:tblPrEx>
        <w:tc>
          <w:tcPr>
            <w:tcW w:w="0" w:type="auto"/>
            <w:vAlign w:val="center"/>
          </w:tcPr>
          <w:p w14:paraId="6DEAF3A6"/>
        </w:tc>
        <w:tc>
          <w:tcPr>
            <w:tcW w:w="0" w:type="auto"/>
            <w:vAlign w:val="center"/>
          </w:tcPr>
          <w:p w14:paraId="290D4491">
            <w:r>
              <w:t>切换阀密封垫</w:t>
            </w:r>
          </w:p>
        </w:tc>
        <w:tc>
          <w:tcPr>
            <w:tcW w:w="0" w:type="auto"/>
            <w:vAlign w:val="center"/>
          </w:tcPr>
          <w:p w14:paraId="24BC8D42">
            <w:r>
              <w:t>氟橡胶，耐温200℃</w:t>
            </w:r>
          </w:p>
        </w:tc>
        <w:tc>
          <w:tcPr>
            <w:tcW w:w="0" w:type="auto"/>
            <w:vAlign w:val="center"/>
          </w:tcPr>
          <w:p w14:paraId="1A97967A">
            <w:r>
              <w:t>6个月</w:t>
            </w:r>
          </w:p>
        </w:tc>
        <w:tc>
          <w:tcPr>
            <w:tcW w:w="0" w:type="auto"/>
            <w:vAlign w:val="center"/>
          </w:tcPr>
          <w:p w14:paraId="5C26AEE3">
            <w:r>
              <w:t>内六角扳手、密封胶；步骤：1.关闭阀门→2.拆卸阀盖→3.更换密封垫→4.均匀拧紧螺栓→5.泄漏测试</w:t>
            </w:r>
          </w:p>
        </w:tc>
      </w:tr>
    </w:tbl>
    <w:p w14:paraId="1D92F554">
      <w:pPr>
        <w:pStyle w:val="4"/>
      </w:pPr>
      <w:r>
        <w:t>8.3 相关技术标准与规范</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60DD5424">
        <w:tblPrEx>
          <w:tblCellMar>
            <w:top w:w="0" w:type="dxa"/>
            <w:left w:w="0" w:type="dxa"/>
            <w:bottom w:w="0" w:type="dxa"/>
            <w:right w:w="0" w:type="dxa"/>
          </w:tblCellMar>
        </w:tblPrEx>
        <w:tc>
          <w:tcPr>
            <w:tcW w:w="0" w:type="auto"/>
            <w:vAlign w:val="center"/>
          </w:tcPr>
          <w:p w14:paraId="6339EB09">
            <w:pPr>
              <w:jc w:val="center"/>
              <w:rPr>
                <w:b/>
              </w:rPr>
            </w:pPr>
            <w:r>
              <w:rPr>
                <w:b/>
              </w:rPr>
              <w:t>标准编号</w:t>
            </w:r>
          </w:p>
        </w:tc>
        <w:tc>
          <w:tcPr>
            <w:tcW w:w="0" w:type="auto"/>
            <w:vAlign w:val="center"/>
          </w:tcPr>
          <w:p w14:paraId="29EA2670">
            <w:pPr>
              <w:jc w:val="center"/>
              <w:rPr>
                <w:b/>
              </w:rPr>
            </w:pPr>
            <w:r>
              <w:rPr>
                <w:b/>
              </w:rPr>
              <w:t>标准名称</w:t>
            </w:r>
          </w:p>
        </w:tc>
        <w:tc>
          <w:tcPr>
            <w:tcW w:w="0" w:type="auto"/>
            <w:vAlign w:val="center"/>
          </w:tcPr>
          <w:p w14:paraId="630D719F">
            <w:pPr>
              <w:jc w:val="center"/>
              <w:rPr>
                <w:b/>
              </w:rPr>
            </w:pPr>
            <w:r>
              <w:rPr>
                <w:b/>
              </w:rPr>
              <w:t>关键条款摘要</w:t>
            </w:r>
          </w:p>
        </w:tc>
      </w:tr>
      <w:tr w14:paraId="28D5D62B">
        <w:tblPrEx>
          <w:tblCellMar>
            <w:top w:w="0" w:type="dxa"/>
            <w:left w:w="0" w:type="dxa"/>
            <w:bottom w:w="0" w:type="dxa"/>
            <w:right w:w="0" w:type="dxa"/>
          </w:tblCellMar>
        </w:tblPrEx>
        <w:tc>
          <w:tcPr>
            <w:tcW w:w="0" w:type="auto"/>
            <w:vAlign w:val="center"/>
          </w:tcPr>
          <w:p w14:paraId="4F43C1C6">
            <w:r>
              <w:t>GB 16297-1996</w:t>
            </w:r>
          </w:p>
        </w:tc>
        <w:tc>
          <w:tcPr>
            <w:tcW w:w="0" w:type="auto"/>
            <w:vAlign w:val="center"/>
          </w:tcPr>
          <w:p w14:paraId="356CB2AE">
            <w:r>
              <w:t>《大气污染物综合排放标准》</w:t>
            </w:r>
          </w:p>
        </w:tc>
        <w:tc>
          <w:tcPr>
            <w:tcW w:w="0" w:type="auto"/>
            <w:vAlign w:val="center"/>
          </w:tcPr>
          <w:p w14:paraId="684C41EB">
            <w:r>
              <w:t>非甲烷总烃（NMHC）最高允许排放浓度：120mg/m³（表2），无组织排放监控浓度限值：4.0mg/m³（周界外浓度最高点）</w:t>
            </w:r>
          </w:p>
        </w:tc>
      </w:tr>
      <w:tr w14:paraId="270BB685">
        <w:tblPrEx>
          <w:tblCellMar>
            <w:top w:w="0" w:type="dxa"/>
            <w:left w:w="0" w:type="dxa"/>
            <w:bottom w:w="0" w:type="dxa"/>
            <w:right w:w="0" w:type="dxa"/>
          </w:tblCellMar>
        </w:tblPrEx>
        <w:tc>
          <w:tcPr>
            <w:tcW w:w="0" w:type="auto"/>
            <w:vAlign w:val="center"/>
          </w:tcPr>
          <w:p w14:paraId="74934719">
            <w:r>
              <w:t>HJ 2026-2013</w:t>
            </w:r>
          </w:p>
        </w:tc>
        <w:tc>
          <w:tcPr>
            <w:tcW w:w="0" w:type="auto"/>
            <w:vAlign w:val="center"/>
          </w:tcPr>
          <w:p w14:paraId="17B07ADF">
            <w:r>
              <w:t>《吸附法工业有机废气治理工程技术规范》</w:t>
            </w:r>
          </w:p>
        </w:tc>
        <w:tc>
          <w:tcPr>
            <w:tcW w:w="0" w:type="auto"/>
            <w:vAlign w:val="center"/>
          </w:tcPr>
          <w:p w14:paraId="08BB69DE">
            <w:r>
              <w:t>活性炭吸附塔空塔气速宜为0.5-1.5m/s，吸附剂更换或再生周期应根据吸附效率确定，废吸附剂应按危险废物管理</w:t>
            </w:r>
          </w:p>
        </w:tc>
      </w:tr>
      <w:tr w14:paraId="22381D33">
        <w:tc>
          <w:tcPr>
            <w:tcW w:w="0" w:type="auto"/>
            <w:vAlign w:val="center"/>
          </w:tcPr>
          <w:p w14:paraId="53C13976">
            <w:r>
              <w:t>HJ 2027-2013</w:t>
            </w:r>
          </w:p>
        </w:tc>
        <w:tc>
          <w:tcPr>
            <w:tcW w:w="0" w:type="auto"/>
            <w:vAlign w:val="center"/>
          </w:tcPr>
          <w:p w14:paraId="177372C5">
            <w:r>
              <w:t>《催化燃烧法工业有机废气治理工程技术规范》</w:t>
            </w:r>
          </w:p>
        </w:tc>
        <w:tc>
          <w:tcPr>
            <w:tcW w:w="0" w:type="auto"/>
            <w:vAlign w:val="center"/>
          </w:tcPr>
          <w:p w14:paraId="1EBCA4A4">
            <w:r>
              <w:t>催化剂床层空速宜为10000-30000h⁻¹，预热温度应根据催化剂起燃温度确定，通常为200-350℃</w:t>
            </w:r>
          </w:p>
        </w:tc>
      </w:tr>
      <w:tr w14:paraId="10AAD19B">
        <w:tblPrEx>
          <w:tblCellMar>
            <w:top w:w="0" w:type="dxa"/>
            <w:left w:w="0" w:type="dxa"/>
            <w:bottom w:w="0" w:type="dxa"/>
            <w:right w:w="0" w:type="dxa"/>
          </w:tblCellMar>
        </w:tblPrEx>
        <w:tc>
          <w:tcPr>
            <w:tcW w:w="0" w:type="auto"/>
            <w:vAlign w:val="center"/>
          </w:tcPr>
          <w:p w14:paraId="7C848BCC">
            <w:r>
              <w:t>HJ 1093-2020</w:t>
            </w:r>
          </w:p>
        </w:tc>
        <w:tc>
          <w:tcPr>
            <w:tcW w:w="0" w:type="auto"/>
            <w:vAlign w:val="center"/>
          </w:tcPr>
          <w:p w14:paraId="4D0F6D11">
            <w:r>
              <w:t>《蓄热燃烧法工业有机废气治理工程技术规范》</w:t>
            </w:r>
          </w:p>
        </w:tc>
        <w:tc>
          <w:tcPr>
            <w:tcW w:w="0" w:type="auto"/>
            <w:vAlign w:val="center"/>
          </w:tcPr>
          <w:p w14:paraId="3F5D8CD0">
            <w:r>
              <w:t>RTO蓄热体传热效率应≥90%，燃烧室温度宜为750-950℃，VOCs停留时间不应小于0.75s</w:t>
            </w:r>
          </w:p>
        </w:tc>
      </w:tr>
      <w:tr w14:paraId="2B1569C3">
        <w:tblPrEx>
          <w:tblCellMar>
            <w:top w:w="0" w:type="dxa"/>
            <w:left w:w="0" w:type="dxa"/>
            <w:bottom w:w="0" w:type="dxa"/>
            <w:right w:w="0" w:type="dxa"/>
          </w:tblCellMar>
        </w:tblPrEx>
        <w:tc>
          <w:tcPr>
            <w:tcW w:w="0" w:type="auto"/>
            <w:vAlign w:val="center"/>
          </w:tcPr>
          <w:p w14:paraId="2062979D">
            <w:r>
              <w:t>GB 50493-2019</w:t>
            </w:r>
          </w:p>
        </w:tc>
        <w:tc>
          <w:tcPr>
            <w:tcW w:w="0" w:type="auto"/>
            <w:vAlign w:val="center"/>
          </w:tcPr>
          <w:p w14:paraId="54A360B2">
            <w:r>
              <w:t>《石油化工可燃气体和有毒气体检测报警设计标准》</w:t>
            </w:r>
          </w:p>
        </w:tc>
        <w:tc>
          <w:tcPr>
            <w:tcW w:w="0" w:type="auto"/>
            <w:vAlign w:val="center"/>
          </w:tcPr>
          <w:p w14:paraId="3E66DA25">
            <w:r>
              <w:t>可燃气体检测报警值设定：低报值≤25%LEL，高报值≤50%LEL，检测器安装高度距地面0.3-0.6m（比空气重气体）</w:t>
            </w:r>
          </w:p>
        </w:tc>
      </w:tr>
      <w:tr w14:paraId="05953A9D">
        <w:tblPrEx>
          <w:tblCellMar>
            <w:top w:w="0" w:type="dxa"/>
            <w:left w:w="0" w:type="dxa"/>
            <w:bottom w:w="0" w:type="dxa"/>
            <w:right w:w="0" w:type="dxa"/>
          </w:tblCellMar>
        </w:tblPrEx>
        <w:tc>
          <w:tcPr>
            <w:tcW w:w="0" w:type="auto"/>
            <w:vAlign w:val="center"/>
          </w:tcPr>
          <w:p w14:paraId="0778D428">
            <w:r>
              <w:t>GB/T 7702.7-2008</w:t>
            </w:r>
          </w:p>
        </w:tc>
        <w:tc>
          <w:tcPr>
            <w:tcW w:w="0" w:type="auto"/>
            <w:vAlign w:val="center"/>
          </w:tcPr>
          <w:p w14:paraId="4B252DFF">
            <w:r>
              <w:t>《煤质活性炭试验方法 碘吸附值的测定》</w:t>
            </w:r>
          </w:p>
        </w:tc>
        <w:tc>
          <w:tcPr>
            <w:tcW w:w="0" w:type="auto"/>
            <w:vAlign w:val="center"/>
          </w:tcPr>
          <w:p w14:paraId="3F317CA7">
            <w:r>
              <w:t>碘吸附值测定方法：称取0.5g试样，用0.1mol/L碘标准溶液吸附，硫代硫酸钠滴定，计算碘吸附值（mg/g）</w:t>
            </w:r>
          </w:p>
        </w:tc>
      </w:tr>
      <w:tr w14:paraId="114EDCA5">
        <w:tc>
          <w:tcPr>
            <w:tcW w:w="0" w:type="auto"/>
            <w:vAlign w:val="center"/>
          </w:tcPr>
          <w:p w14:paraId="2C1B9CCA">
            <w:r>
              <w:t>AQ/T 4274-2016</w:t>
            </w:r>
          </w:p>
        </w:tc>
        <w:tc>
          <w:tcPr>
            <w:tcW w:w="0" w:type="auto"/>
            <w:vAlign w:val="center"/>
          </w:tcPr>
          <w:p w14:paraId="09DDCF2B">
            <w:r>
              <w:t>《吸附法工业有机废气治理设施运行和维护技术规范》</w:t>
            </w:r>
          </w:p>
        </w:tc>
        <w:tc>
          <w:tcPr>
            <w:tcW w:w="0" w:type="auto"/>
            <w:vAlign w:val="center"/>
          </w:tcPr>
          <w:p w14:paraId="0023769B">
            <w:r>
              <w:t>每日检查吸附塔进出口浓度、温度、压力，每季度进行吸附效率测试，每年进行吸附剂性能评估</w:t>
            </w:r>
          </w:p>
        </w:tc>
      </w:tr>
    </w:tbl>
    <w:p w14:paraId="31DA68EE">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AEBFD9"/>
    <w:multiLevelType w:val="multilevel"/>
    <w:tmpl w:val="8DAEBFD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
    <w:nsid w:val="A1CA5F7C"/>
    <w:multiLevelType w:val="multilevel"/>
    <w:tmpl w:val="A1CA5F7C"/>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3">
    <w:nsid w:val="AFFCF961"/>
    <w:multiLevelType w:val="singleLevel"/>
    <w:tmpl w:val="AFFCF961"/>
    <w:lvl w:ilvl="0" w:tentative="0">
      <w:start w:val="1"/>
      <w:numFmt w:val="bullet"/>
      <w:lvlText w:val=""/>
      <w:lvlJc w:val="left"/>
      <w:pPr>
        <w:ind w:left="720" w:hanging="360"/>
      </w:pPr>
      <w:rPr>
        <w:rFonts w:hint="default" w:ascii="Symbol" w:hAnsi="Symbol" w:cs="Symbol"/>
        <w:sz w:val="20"/>
      </w:rPr>
    </w:lvl>
  </w:abstractNum>
  <w:abstractNum w:abstractNumId="4">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5">
    <w:nsid w:val="B6D605E4"/>
    <w:multiLevelType w:val="multilevel"/>
    <w:tmpl w:val="B6D605E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6">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7">
    <w:nsid w:val="BBBB24CA"/>
    <w:multiLevelType w:val="multilevel"/>
    <w:tmpl w:val="BBBB24CA"/>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8">
    <w:nsid w:val="BDB00F2A"/>
    <w:multiLevelType w:val="singleLevel"/>
    <w:tmpl w:val="BDB00F2A"/>
    <w:lvl w:ilvl="0" w:tentative="0">
      <w:start w:val="1"/>
      <w:numFmt w:val="bullet"/>
      <w:lvlText w:val=""/>
      <w:lvlJc w:val="left"/>
      <w:pPr>
        <w:ind w:left="720" w:hanging="360"/>
      </w:pPr>
      <w:rPr>
        <w:rFonts w:hint="default" w:ascii="Symbol" w:hAnsi="Symbol" w:cs="Symbol"/>
        <w:sz w:val="20"/>
      </w:rPr>
    </w:lvl>
  </w:abstractNum>
  <w:abstractNum w:abstractNumId="9">
    <w:nsid w:val="BDBD432F"/>
    <w:multiLevelType w:val="singleLevel"/>
    <w:tmpl w:val="BDBD432F"/>
    <w:lvl w:ilvl="0" w:tentative="0">
      <w:start w:val="1"/>
      <w:numFmt w:val="bullet"/>
      <w:lvlText w:val=""/>
      <w:lvlJc w:val="left"/>
      <w:pPr>
        <w:ind w:left="720" w:hanging="360"/>
      </w:pPr>
      <w:rPr>
        <w:rFonts w:hint="default" w:ascii="Symbol" w:hAnsi="Symbol" w:cs="Symbol"/>
        <w:sz w:val="20"/>
      </w:rPr>
    </w:lvl>
  </w:abstractNum>
  <w:abstractNum w:abstractNumId="10">
    <w:nsid w:val="BE3EBF5E"/>
    <w:multiLevelType w:val="singleLevel"/>
    <w:tmpl w:val="BE3EBF5E"/>
    <w:lvl w:ilvl="0" w:tentative="0">
      <w:start w:val="1"/>
      <w:numFmt w:val="bullet"/>
      <w:lvlText w:val=""/>
      <w:lvlJc w:val="left"/>
      <w:pPr>
        <w:ind w:left="720" w:hanging="360"/>
      </w:pPr>
      <w:rPr>
        <w:rFonts w:hint="default" w:ascii="Symbol" w:hAnsi="Symbol" w:cs="Symbol"/>
        <w:sz w:val="20"/>
      </w:rPr>
    </w:lvl>
  </w:abstractNum>
  <w:abstractNum w:abstractNumId="11">
    <w:nsid w:val="BE7FA440"/>
    <w:multiLevelType w:val="multilevel"/>
    <w:tmpl w:val="BE7FA440"/>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2">
    <w:nsid w:val="C7761974"/>
    <w:multiLevelType w:val="singleLevel"/>
    <w:tmpl w:val="C7761974"/>
    <w:lvl w:ilvl="0" w:tentative="0">
      <w:start w:val="1"/>
      <w:numFmt w:val="bullet"/>
      <w:lvlText w:val=""/>
      <w:lvlJc w:val="left"/>
      <w:pPr>
        <w:ind w:left="720" w:hanging="360"/>
      </w:pPr>
      <w:rPr>
        <w:rFonts w:hint="default" w:ascii="Symbol" w:hAnsi="Symbol" w:cs="Symbol"/>
        <w:sz w:val="20"/>
      </w:rPr>
    </w:lvl>
  </w:abstractNum>
  <w:abstractNum w:abstractNumId="13">
    <w:nsid w:val="CCB61F37"/>
    <w:multiLevelType w:val="singleLevel"/>
    <w:tmpl w:val="CCB61F37"/>
    <w:lvl w:ilvl="0" w:tentative="0">
      <w:start w:val="1"/>
      <w:numFmt w:val="bullet"/>
      <w:lvlText w:val=""/>
      <w:lvlJc w:val="left"/>
      <w:pPr>
        <w:ind w:left="720" w:hanging="360"/>
      </w:pPr>
      <w:rPr>
        <w:rFonts w:hint="default" w:ascii="Symbol" w:hAnsi="Symbol" w:cs="Symbol"/>
        <w:sz w:val="20"/>
      </w:rPr>
    </w:lvl>
  </w:abstractNum>
  <w:abstractNum w:abstractNumId="14">
    <w:nsid w:val="D678E6B2"/>
    <w:multiLevelType w:val="singleLevel"/>
    <w:tmpl w:val="D678E6B2"/>
    <w:lvl w:ilvl="0" w:tentative="0">
      <w:start w:val="1"/>
      <w:numFmt w:val="bullet"/>
      <w:lvlText w:val=""/>
      <w:lvlJc w:val="left"/>
      <w:pPr>
        <w:ind w:left="720" w:hanging="360"/>
      </w:pPr>
      <w:rPr>
        <w:rFonts w:hint="default" w:ascii="Symbol" w:hAnsi="Symbol" w:cs="Symbol"/>
        <w:sz w:val="20"/>
      </w:rPr>
    </w:lvl>
  </w:abstractNum>
  <w:abstractNum w:abstractNumId="15">
    <w:nsid w:val="DDDF41E1"/>
    <w:multiLevelType w:val="singleLevel"/>
    <w:tmpl w:val="DDDF41E1"/>
    <w:lvl w:ilvl="0" w:tentative="0">
      <w:start w:val="1"/>
      <w:numFmt w:val="bullet"/>
      <w:lvlText w:val=""/>
      <w:lvlJc w:val="left"/>
      <w:pPr>
        <w:ind w:left="720" w:hanging="360"/>
      </w:pPr>
      <w:rPr>
        <w:rFonts w:hint="default" w:ascii="Symbol" w:hAnsi="Symbol" w:cs="Symbol"/>
        <w:sz w:val="20"/>
      </w:rPr>
    </w:lvl>
  </w:abstractNum>
  <w:abstractNum w:abstractNumId="16">
    <w:nsid w:val="DFBDA0F6"/>
    <w:multiLevelType w:val="singleLevel"/>
    <w:tmpl w:val="DFBDA0F6"/>
    <w:lvl w:ilvl="0" w:tentative="0">
      <w:start w:val="1"/>
      <w:numFmt w:val="bullet"/>
      <w:lvlText w:val=""/>
      <w:lvlJc w:val="left"/>
      <w:pPr>
        <w:ind w:left="720" w:hanging="360"/>
      </w:pPr>
      <w:rPr>
        <w:rFonts w:hint="default" w:ascii="Symbol" w:hAnsi="Symbol" w:cs="Symbol"/>
        <w:sz w:val="20"/>
      </w:rPr>
    </w:lvl>
  </w:abstractNum>
  <w:abstractNum w:abstractNumId="17">
    <w:nsid w:val="EEFCE878"/>
    <w:multiLevelType w:val="singleLevel"/>
    <w:tmpl w:val="EEFCE878"/>
    <w:lvl w:ilvl="0" w:tentative="0">
      <w:start w:val="1"/>
      <w:numFmt w:val="bullet"/>
      <w:lvlText w:val=""/>
      <w:lvlJc w:val="left"/>
      <w:pPr>
        <w:ind w:left="720" w:hanging="360"/>
      </w:pPr>
      <w:rPr>
        <w:rFonts w:hint="default" w:ascii="Symbol" w:hAnsi="Symbol" w:cs="Symbol"/>
        <w:sz w:val="20"/>
      </w:rPr>
    </w:lvl>
  </w:abstractNum>
  <w:abstractNum w:abstractNumId="18">
    <w:nsid w:val="EF9A7898"/>
    <w:multiLevelType w:val="singleLevel"/>
    <w:tmpl w:val="EF9A7898"/>
    <w:lvl w:ilvl="0" w:tentative="0">
      <w:start w:val="1"/>
      <w:numFmt w:val="bullet"/>
      <w:lvlText w:val=""/>
      <w:lvlJc w:val="left"/>
      <w:pPr>
        <w:ind w:left="720" w:hanging="360"/>
      </w:pPr>
      <w:rPr>
        <w:rFonts w:hint="default" w:ascii="Symbol" w:hAnsi="Symbol" w:cs="Symbol"/>
        <w:sz w:val="20"/>
      </w:rPr>
    </w:lvl>
  </w:abstractNum>
  <w:abstractNum w:abstractNumId="19">
    <w:nsid w:val="EFFFDB50"/>
    <w:multiLevelType w:val="singleLevel"/>
    <w:tmpl w:val="EFFFDB50"/>
    <w:lvl w:ilvl="0" w:tentative="0">
      <w:start w:val="1"/>
      <w:numFmt w:val="bullet"/>
      <w:lvlText w:val=""/>
      <w:lvlJc w:val="left"/>
      <w:pPr>
        <w:ind w:left="720" w:hanging="360"/>
      </w:pPr>
      <w:rPr>
        <w:rFonts w:hint="default" w:ascii="Symbol" w:hAnsi="Symbol" w:cs="Symbol"/>
        <w:sz w:val="20"/>
      </w:rPr>
    </w:lvl>
  </w:abstractNum>
  <w:abstractNum w:abstractNumId="20">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21">
    <w:nsid w:val="FADDFB8E"/>
    <w:multiLevelType w:val="multilevel"/>
    <w:tmpl w:val="FADDFB8E"/>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2">
    <w:nsid w:val="FAE882C5"/>
    <w:multiLevelType w:val="singleLevel"/>
    <w:tmpl w:val="FAE882C5"/>
    <w:lvl w:ilvl="0" w:tentative="0">
      <w:start w:val="1"/>
      <w:numFmt w:val="bullet"/>
      <w:lvlText w:val=""/>
      <w:lvlJc w:val="left"/>
      <w:pPr>
        <w:ind w:left="720" w:hanging="360"/>
      </w:pPr>
      <w:rPr>
        <w:rFonts w:hint="default" w:ascii="Symbol" w:hAnsi="Symbol" w:cs="Symbol"/>
        <w:sz w:val="20"/>
      </w:rPr>
    </w:lvl>
  </w:abstractNum>
  <w:abstractNum w:abstractNumId="23">
    <w:nsid w:val="FB2D6439"/>
    <w:multiLevelType w:val="multilevel"/>
    <w:tmpl w:val="FB2D643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4">
    <w:nsid w:val="FBFBBE01"/>
    <w:multiLevelType w:val="multilevel"/>
    <w:tmpl w:val="FBFBBE01"/>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5">
    <w:nsid w:val="FDFBD9B7"/>
    <w:multiLevelType w:val="multilevel"/>
    <w:tmpl w:val="FDFBD9B7"/>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6">
    <w:nsid w:val="FDFFC502"/>
    <w:multiLevelType w:val="multilevel"/>
    <w:tmpl w:val="FDFFC502"/>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7">
    <w:nsid w:val="FEAE6C84"/>
    <w:multiLevelType w:val="singleLevel"/>
    <w:tmpl w:val="FEAE6C84"/>
    <w:lvl w:ilvl="0" w:tentative="0">
      <w:start w:val="1"/>
      <w:numFmt w:val="bullet"/>
      <w:lvlText w:val=""/>
      <w:lvlJc w:val="left"/>
      <w:pPr>
        <w:ind w:left="720" w:hanging="360"/>
      </w:pPr>
      <w:rPr>
        <w:rFonts w:hint="default" w:ascii="Symbol" w:hAnsi="Symbol" w:cs="Symbol"/>
        <w:sz w:val="20"/>
      </w:rPr>
    </w:lvl>
  </w:abstractNum>
  <w:abstractNum w:abstractNumId="28">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9">
    <w:nsid w:val="FEB6CDD4"/>
    <w:multiLevelType w:val="multilevel"/>
    <w:tmpl w:val="FEB6CDD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0">
    <w:nsid w:val="FEBB1113"/>
    <w:multiLevelType w:val="multilevel"/>
    <w:tmpl w:val="FEBB1113"/>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1">
    <w:nsid w:val="FEC367C1"/>
    <w:multiLevelType w:val="singleLevel"/>
    <w:tmpl w:val="FEC367C1"/>
    <w:lvl w:ilvl="0" w:tentative="0">
      <w:start w:val="1"/>
      <w:numFmt w:val="bullet"/>
      <w:lvlText w:val=""/>
      <w:lvlJc w:val="left"/>
      <w:pPr>
        <w:ind w:left="720" w:hanging="360"/>
      </w:pPr>
      <w:rPr>
        <w:rFonts w:hint="default" w:ascii="Symbol" w:hAnsi="Symbol" w:cs="Symbol"/>
        <w:sz w:val="20"/>
      </w:rPr>
    </w:lvl>
  </w:abstractNum>
  <w:abstractNum w:abstractNumId="32">
    <w:nsid w:val="FF7EC012"/>
    <w:multiLevelType w:val="multilevel"/>
    <w:tmpl w:val="FF7EC012"/>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3">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34">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35">
    <w:nsid w:val="FFDDB11A"/>
    <w:multiLevelType w:val="singleLevel"/>
    <w:tmpl w:val="FFDDB11A"/>
    <w:lvl w:ilvl="0" w:tentative="0">
      <w:start w:val="1"/>
      <w:numFmt w:val="bullet"/>
      <w:lvlText w:val=""/>
      <w:lvlJc w:val="left"/>
      <w:pPr>
        <w:ind w:left="720" w:hanging="360"/>
      </w:pPr>
      <w:rPr>
        <w:rFonts w:hint="default" w:ascii="Symbol" w:hAnsi="Symbol" w:cs="Symbol"/>
        <w:sz w:val="20"/>
      </w:rPr>
    </w:lvl>
  </w:abstractNum>
  <w:abstractNum w:abstractNumId="36">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37">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8">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9">
    <w:nsid w:val="3DF87B0F"/>
    <w:multiLevelType w:val="singleLevel"/>
    <w:tmpl w:val="3DF87B0F"/>
    <w:lvl w:ilvl="0" w:tentative="0">
      <w:start w:val="1"/>
      <w:numFmt w:val="bullet"/>
      <w:lvlText w:val=""/>
      <w:lvlJc w:val="left"/>
      <w:pPr>
        <w:ind w:left="720" w:hanging="360"/>
      </w:pPr>
      <w:rPr>
        <w:rFonts w:hint="default" w:ascii="Symbol" w:hAnsi="Symbol" w:cs="Symbol"/>
        <w:sz w:val="20"/>
      </w:rPr>
    </w:lvl>
  </w:abstractNum>
  <w:abstractNum w:abstractNumId="40">
    <w:nsid w:val="4AFBC195"/>
    <w:multiLevelType w:val="singleLevel"/>
    <w:tmpl w:val="4AFBC195"/>
    <w:lvl w:ilvl="0" w:tentative="0">
      <w:start w:val="1"/>
      <w:numFmt w:val="bullet"/>
      <w:lvlText w:val=""/>
      <w:lvlJc w:val="left"/>
      <w:pPr>
        <w:ind w:left="720" w:hanging="360"/>
      </w:pPr>
      <w:rPr>
        <w:rFonts w:hint="default" w:ascii="Symbol" w:hAnsi="Symbol" w:cs="Symbol"/>
        <w:sz w:val="20"/>
      </w:rPr>
    </w:lvl>
  </w:abstractNum>
  <w:abstractNum w:abstractNumId="41">
    <w:nsid w:val="5FD8B99A"/>
    <w:multiLevelType w:val="singleLevel"/>
    <w:tmpl w:val="5FD8B99A"/>
    <w:lvl w:ilvl="0" w:tentative="0">
      <w:start w:val="1"/>
      <w:numFmt w:val="bullet"/>
      <w:lvlText w:val=""/>
      <w:lvlJc w:val="left"/>
      <w:pPr>
        <w:ind w:left="720" w:hanging="360"/>
      </w:pPr>
      <w:rPr>
        <w:rFonts w:hint="default" w:ascii="Symbol" w:hAnsi="Symbol" w:cs="Symbol"/>
        <w:sz w:val="20"/>
      </w:rPr>
    </w:lvl>
  </w:abstractNum>
  <w:abstractNum w:abstractNumId="42">
    <w:nsid w:val="6DDFEB8D"/>
    <w:multiLevelType w:val="singleLevel"/>
    <w:tmpl w:val="6DDFEB8D"/>
    <w:lvl w:ilvl="0" w:tentative="0">
      <w:start w:val="1"/>
      <w:numFmt w:val="bullet"/>
      <w:lvlText w:val=""/>
      <w:lvlJc w:val="left"/>
      <w:pPr>
        <w:ind w:left="720" w:hanging="360"/>
      </w:pPr>
      <w:rPr>
        <w:rFonts w:hint="default" w:ascii="Symbol" w:hAnsi="Symbol" w:cs="Symbol"/>
        <w:sz w:val="20"/>
      </w:rPr>
    </w:lvl>
  </w:abstractNum>
  <w:abstractNum w:abstractNumId="43">
    <w:nsid w:val="6EFCD7FD"/>
    <w:multiLevelType w:val="multilevel"/>
    <w:tmpl w:val="6EFCD7FD"/>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4">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45">
    <w:nsid w:val="776613E2"/>
    <w:multiLevelType w:val="multilevel"/>
    <w:tmpl w:val="776613E2"/>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6">
    <w:nsid w:val="778F27E4"/>
    <w:multiLevelType w:val="singleLevel"/>
    <w:tmpl w:val="778F27E4"/>
    <w:lvl w:ilvl="0" w:tentative="0">
      <w:start w:val="1"/>
      <w:numFmt w:val="bullet"/>
      <w:lvlText w:val=""/>
      <w:lvlJc w:val="left"/>
      <w:pPr>
        <w:ind w:left="720" w:hanging="360"/>
      </w:pPr>
      <w:rPr>
        <w:rFonts w:hint="default" w:ascii="Symbol" w:hAnsi="Symbol" w:cs="Symbol"/>
        <w:sz w:val="20"/>
      </w:rPr>
    </w:lvl>
  </w:abstractNum>
  <w:abstractNum w:abstractNumId="47">
    <w:nsid w:val="797D71FF"/>
    <w:multiLevelType w:val="singleLevel"/>
    <w:tmpl w:val="797D71FF"/>
    <w:lvl w:ilvl="0" w:tentative="0">
      <w:start w:val="1"/>
      <w:numFmt w:val="bullet"/>
      <w:lvlText w:val=""/>
      <w:lvlJc w:val="left"/>
      <w:pPr>
        <w:ind w:left="720" w:hanging="360"/>
      </w:pPr>
      <w:rPr>
        <w:rFonts w:hint="default" w:ascii="Symbol" w:hAnsi="Symbol" w:cs="Symbol"/>
        <w:sz w:val="20"/>
      </w:rPr>
    </w:lvl>
  </w:abstractNum>
  <w:abstractNum w:abstractNumId="48">
    <w:nsid w:val="7A77008D"/>
    <w:multiLevelType w:val="singleLevel"/>
    <w:tmpl w:val="7A77008D"/>
    <w:lvl w:ilvl="0" w:tentative="0">
      <w:start w:val="1"/>
      <w:numFmt w:val="bullet"/>
      <w:lvlText w:val=""/>
      <w:lvlJc w:val="left"/>
      <w:pPr>
        <w:ind w:left="720" w:hanging="360"/>
      </w:pPr>
      <w:rPr>
        <w:rFonts w:hint="default" w:ascii="Symbol" w:hAnsi="Symbol" w:cs="Symbol"/>
        <w:sz w:val="20"/>
      </w:rPr>
    </w:lvl>
  </w:abstractNum>
  <w:abstractNum w:abstractNumId="49">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50">
    <w:nsid w:val="7F7AF3E5"/>
    <w:multiLevelType w:val="multilevel"/>
    <w:tmpl w:val="7F7AF3E5"/>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num w:numId="1">
    <w:abstractNumId w:val="38"/>
  </w:num>
  <w:num w:numId="2">
    <w:abstractNumId w:val="49"/>
  </w:num>
  <w:num w:numId="3">
    <w:abstractNumId w:val="4"/>
  </w:num>
  <w:num w:numId="4">
    <w:abstractNumId w:val="36"/>
  </w:num>
  <w:num w:numId="5">
    <w:abstractNumId w:val="28"/>
  </w:num>
  <w:num w:numId="6">
    <w:abstractNumId w:val="44"/>
  </w:num>
  <w:num w:numId="7">
    <w:abstractNumId w:val="20"/>
  </w:num>
  <w:num w:numId="8">
    <w:abstractNumId w:val="37"/>
  </w:num>
  <w:num w:numId="9">
    <w:abstractNumId w:val="33"/>
  </w:num>
  <w:num w:numId="10">
    <w:abstractNumId w:val="34"/>
  </w:num>
  <w:num w:numId="11">
    <w:abstractNumId w:val="6"/>
  </w:num>
  <w:num w:numId="12">
    <w:abstractNumId w:val="2"/>
  </w:num>
  <w:num w:numId="13">
    <w:abstractNumId w:val="48"/>
  </w:num>
  <w:num w:numId="14">
    <w:abstractNumId w:val="15"/>
  </w:num>
  <w:num w:numId="15">
    <w:abstractNumId w:val="3"/>
  </w:num>
  <w:num w:numId="16">
    <w:abstractNumId w:val="46"/>
  </w:num>
  <w:num w:numId="17">
    <w:abstractNumId w:val="10"/>
  </w:num>
  <w:num w:numId="18">
    <w:abstractNumId w:val="12"/>
  </w:num>
  <w:num w:numId="19">
    <w:abstractNumId w:val="27"/>
  </w:num>
  <w:num w:numId="20">
    <w:abstractNumId w:val="35"/>
  </w:num>
  <w:num w:numId="21">
    <w:abstractNumId w:val="13"/>
  </w:num>
  <w:num w:numId="22">
    <w:abstractNumId w:val="8"/>
  </w:num>
  <w:num w:numId="23">
    <w:abstractNumId w:val="47"/>
  </w:num>
  <w:num w:numId="24">
    <w:abstractNumId w:val="14"/>
  </w:num>
  <w:num w:numId="25">
    <w:abstractNumId w:val="41"/>
  </w:num>
  <w:num w:numId="26">
    <w:abstractNumId w:val="18"/>
  </w:num>
  <w:num w:numId="27">
    <w:abstractNumId w:val="40"/>
  </w:num>
  <w:num w:numId="28">
    <w:abstractNumId w:val="50"/>
  </w:num>
  <w:num w:numId="29">
    <w:abstractNumId w:val="16"/>
  </w:num>
  <w:num w:numId="30">
    <w:abstractNumId w:val="31"/>
  </w:num>
  <w:num w:numId="31">
    <w:abstractNumId w:val="42"/>
  </w:num>
  <w:num w:numId="32">
    <w:abstractNumId w:val="25"/>
  </w:num>
  <w:num w:numId="33">
    <w:abstractNumId w:val="11"/>
  </w:num>
  <w:num w:numId="34">
    <w:abstractNumId w:val="1"/>
  </w:num>
  <w:num w:numId="35">
    <w:abstractNumId w:val="29"/>
  </w:num>
  <w:num w:numId="36">
    <w:abstractNumId w:val="22"/>
  </w:num>
  <w:num w:numId="37">
    <w:abstractNumId w:val="7"/>
  </w:num>
  <w:num w:numId="38">
    <w:abstractNumId w:val="9"/>
  </w:num>
  <w:num w:numId="39">
    <w:abstractNumId w:val="17"/>
  </w:num>
  <w:num w:numId="40">
    <w:abstractNumId w:val="39"/>
  </w:num>
  <w:num w:numId="41">
    <w:abstractNumId w:val="19"/>
  </w:num>
  <w:num w:numId="42">
    <w:abstractNumId w:val="26"/>
  </w:num>
  <w:num w:numId="43">
    <w:abstractNumId w:val="30"/>
  </w:num>
  <w:num w:numId="44">
    <w:abstractNumId w:val="32"/>
  </w:num>
  <w:num w:numId="45">
    <w:abstractNumId w:val="45"/>
  </w:num>
  <w:num w:numId="46">
    <w:abstractNumId w:val="5"/>
  </w:num>
  <w:num w:numId="47">
    <w:abstractNumId w:val="24"/>
  </w:num>
  <w:num w:numId="48">
    <w:abstractNumId w:val="21"/>
  </w:num>
  <w:num w:numId="49">
    <w:abstractNumId w:val="43"/>
  </w:num>
  <w:num w:numId="50">
    <w:abstractNumId w:val="0"/>
  </w:num>
  <w:num w:numId="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BDF5E481"/>
    <w:rsid w:val="BDFFD719"/>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50</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2025-09-30T16:24:20Z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3D20B908FE070D3CB493DB68ADE1CE3B_43</vt:lpwstr>
  </property>
  <property fmtid="{D5CDD505-2E9C-101B-9397-08002B2CF9AE}" pid="4" name="KSOTemplateDocerSaveRecord">
    <vt:lpwstr>eyJoZGlkIjoiNzI4YmNmYThhZjA0NTVhODllNDhjMGZiNmFkMDJjN2YiLCJ1c2VySWQiOiIxNjA5OTI0MDI0In0=</vt:lpwstr>
  </property>
</Properties>
</file>