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433" w:rsidRPr="00C63B1E" w:rsidRDefault="00EA3433" w:rsidP="00EA3433">
      <w:pPr>
        <w:jc w:val="center"/>
        <w:rPr>
          <w:rFonts w:eastAsiaTheme="minorEastAsia"/>
          <w:sz w:val="24"/>
          <w:szCs w:val="24"/>
        </w:rPr>
      </w:pPr>
    </w:p>
    <w:p w:rsidR="00EA3433" w:rsidRPr="00C63B1E" w:rsidRDefault="00EA3433" w:rsidP="00EA3433">
      <w:pPr>
        <w:jc w:val="center"/>
        <w:rPr>
          <w:rFonts w:eastAsiaTheme="minorEastAsia"/>
          <w:sz w:val="24"/>
          <w:szCs w:val="24"/>
        </w:rPr>
      </w:pPr>
      <w:proofErr w:type="gramStart"/>
      <w:r w:rsidRPr="00C63B1E">
        <w:rPr>
          <w:rFonts w:eastAsiaTheme="minorEastAsia"/>
          <w:sz w:val="24"/>
          <w:szCs w:val="24"/>
        </w:rPr>
        <w:t>Figure 1.</w:t>
      </w:r>
      <w:proofErr w:type="gramEnd"/>
      <w:r w:rsidRPr="00214E62">
        <w:t xml:space="preserve"> </w:t>
      </w:r>
      <w:r w:rsidRPr="00214E62">
        <w:rPr>
          <w:rFonts w:eastAsiaTheme="minorEastAsia"/>
          <w:sz w:val="24"/>
          <w:szCs w:val="24"/>
        </w:rPr>
        <w:t>Incubation Period of Marburg Virus Disease, 1967-2008</w:t>
      </w:r>
    </w:p>
    <w:p w:rsidR="00EA3433" w:rsidRPr="00C63B1E" w:rsidRDefault="00EA3433" w:rsidP="00EA3433">
      <w:pPr>
        <w:jc w:val="center"/>
        <w:rPr>
          <w:bCs/>
          <w:sz w:val="24"/>
          <w:szCs w:val="24"/>
        </w:rPr>
      </w:pPr>
      <w:r w:rsidRPr="00C63B1E">
        <w:rPr>
          <w:noProof/>
          <w:sz w:val="24"/>
          <w:szCs w:val="24"/>
          <w:lang w:val="en-GB" w:eastAsia="en-GB"/>
        </w:rPr>
        <w:drawing>
          <wp:inline distT="0" distB="0" distL="0" distR="0" wp14:anchorId="2D22036F" wp14:editId="0CEA7CB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A3433" w:rsidRPr="00C63B1E" w:rsidRDefault="00EA3433" w:rsidP="00EA3433">
      <w:pPr>
        <w:rPr>
          <w:bCs/>
          <w:sz w:val="24"/>
          <w:szCs w:val="24"/>
        </w:rPr>
      </w:pPr>
      <w:r w:rsidRPr="00C63B1E">
        <w:rPr>
          <w:bCs/>
          <w:sz w:val="24"/>
          <w:szCs w:val="24"/>
        </w:rPr>
        <w:t xml:space="preserve">This figure shows the incubation periods of Marburg case patients for whom precise incubation periods are known (i.e., an exact exposure and onset date could be calculated). Not shown on this graph are the two notable case patients who had </w:t>
      </w:r>
      <w:r w:rsidRPr="00C63B1E">
        <w:rPr>
          <w:bCs/>
          <w:i/>
          <w:iCs/>
          <w:sz w:val="24"/>
          <w:szCs w:val="24"/>
        </w:rPr>
        <w:t>minimum</w:t>
      </w:r>
      <w:r w:rsidRPr="00C63B1E">
        <w:rPr>
          <w:bCs/>
          <w:sz w:val="24"/>
          <w:szCs w:val="24"/>
        </w:rPr>
        <w:t xml:space="preserve"> incubation periods of 23 and 26 days. </w:t>
      </w:r>
    </w:p>
    <w:p w:rsidR="00EC1B35" w:rsidRDefault="00EC1B35">
      <w:bookmarkStart w:id="0" w:name="_GoBack"/>
      <w:bookmarkEnd w:id="0"/>
    </w:p>
    <w:sectPr w:rsidR="00EC1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433"/>
    <w:rsid w:val="00017D94"/>
    <w:rsid w:val="00030D43"/>
    <w:rsid w:val="00035252"/>
    <w:rsid w:val="00045853"/>
    <w:rsid w:val="00071491"/>
    <w:rsid w:val="000757B7"/>
    <w:rsid w:val="00075978"/>
    <w:rsid w:val="00076871"/>
    <w:rsid w:val="00081729"/>
    <w:rsid w:val="00085641"/>
    <w:rsid w:val="00085EE9"/>
    <w:rsid w:val="00087E49"/>
    <w:rsid w:val="000961A2"/>
    <w:rsid w:val="000B00CF"/>
    <w:rsid w:val="000B305A"/>
    <w:rsid w:val="000B347D"/>
    <w:rsid w:val="000C35B3"/>
    <w:rsid w:val="000D05C8"/>
    <w:rsid w:val="000E2BF7"/>
    <w:rsid w:val="000F3A41"/>
    <w:rsid w:val="001056EE"/>
    <w:rsid w:val="00111045"/>
    <w:rsid w:val="00112BB4"/>
    <w:rsid w:val="00114259"/>
    <w:rsid w:val="00121FD4"/>
    <w:rsid w:val="00141BA5"/>
    <w:rsid w:val="00151DE2"/>
    <w:rsid w:val="00167B91"/>
    <w:rsid w:val="00180BB2"/>
    <w:rsid w:val="00186C33"/>
    <w:rsid w:val="001A06EE"/>
    <w:rsid w:val="001B1A9C"/>
    <w:rsid w:val="001B2EF4"/>
    <w:rsid w:val="001B5967"/>
    <w:rsid w:val="001C0452"/>
    <w:rsid w:val="001D3CB5"/>
    <w:rsid w:val="001F3335"/>
    <w:rsid w:val="001F4E44"/>
    <w:rsid w:val="00202859"/>
    <w:rsid w:val="00205813"/>
    <w:rsid w:val="00212893"/>
    <w:rsid w:val="0022226F"/>
    <w:rsid w:val="002224A5"/>
    <w:rsid w:val="00237C95"/>
    <w:rsid w:val="00246F3E"/>
    <w:rsid w:val="002553F2"/>
    <w:rsid w:val="00262E1B"/>
    <w:rsid w:val="00263813"/>
    <w:rsid w:val="00271AF2"/>
    <w:rsid w:val="00291536"/>
    <w:rsid w:val="002B2776"/>
    <w:rsid w:val="002E2D12"/>
    <w:rsid w:val="002E6DCF"/>
    <w:rsid w:val="00324791"/>
    <w:rsid w:val="00331CC7"/>
    <w:rsid w:val="003340A4"/>
    <w:rsid w:val="003340DE"/>
    <w:rsid w:val="00346907"/>
    <w:rsid w:val="003479C6"/>
    <w:rsid w:val="0036697F"/>
    <w:rsid w:val="003715AD"/>
    <w:rsid w:val="0038046A"/>
    <w:rsid w:val="00396001"/>
    <w:rsid w:val="003A5BA4"/>
    <w:rsid w:val="003C25E0"/>
    <w:rsid w:val="003C65DA"/>
    <w:rsid w:val="004075A8"/>
    <w:rsid w:val="00430D05"/>
    <w:rsid w:val="00432CE9"/>
    <w:rsid w:val="00457453"/>
    <w:rsid w:val="00473439"/>
    <w:rsid w:val="00480906"/>
    <w:rsid w:val="00480E22"/>
    <w:rsid w:val="00486155"/>
    <w:rsid w:val="00492C6E"/>
    <w:rsid w:val="00494415"/>
    <w:rsid w:val="0049632F"/>
    <w:rsid w:val="004A05A5"/>
    <w:rsid w:val="004B16CB"/>
    <w:rsid w:val="004B3057"/>
    <w:rsid w:val="004B3E13"/>
    <w:rsid w:val="004D56F6"/>
    <w:rsid w:val="004E38F6"/>
    <w:rsid w:val="004E4FD2"/>
    <w:rsid w:val="004F44EB"/>
    <w:rsid w:val="005070BC"/>
    <w:rsid w:val="00510BB2"/>
    <w:rsid w:val="005174AB"/>
    <w:rsid w:val="0054177D"/>
    <w:rsid w:val="005431DC"/>
    <w:rsid w:val="00553F88"/>
    <w:rsid w:val="005548A3"/>
    <w:rsid w:val="005627B7"/>
    <w:rsid w:val="0056548B"/>
    <w:rsid w:val="00565D96"/>
    <w:rsid w:val="00571AA7"/>
    <w:rsid w:val="00576554"/>
    <w:rsid w:val="00577ECD"/>
    <w:rsid w:val="00582CA5"/>
    <w:rsid w:val="00587ABC"/>
    <w:rsid w:val="00592D71"/>
    <w:rsid w:val="005A62DF"/>
    <w:rsid w:val="005C0956"/>
    <w:rsid w:val="005D4E1F"/>
    <w:rsid w:val="005E0A2F"/>
    <w:rsid w:val="005E1F0E"/>
    <w:rsid w:val="005F703F"/>
    <w:rsid w:val="00601B33"/>
    <w:rsid w:val="006029B2"/>
    <w:rsid w:val="00607D22"/>
    <w:rsid w:val="00627CD5"/>
    <w:rsid w:val="00633BDB"/>
    <w:rsid w:val="006516F9"/>
    <w:rsid w:val="006524E3"/>
    <w:rsid w:val="00692D6A"/>
    <w:rsid w:val="006A37F3"/>
    <w:rsid w:val="006A5B06"/>
    <w:rsid w:val="006B0D72"/>
    <w:rsid w:val="006B1EE0"/>
    <w:rsid w:val="006B7133"/>
    <w:rsid w:val="006C4190"/>
    <w:rsid w:val="006C5E0E"/>
    <w:rsid w:val="006D0E59"/>
    <w:rsid w:val="006D4DE0"/>
    <w:rsid w:val="006D5B6E"/>
    <w:rsid w:val="006F4AE1"/>
    <w:rsid w:val="006F52E9"/>
    <w:rsid w:val="007103A0"/>
    <w:rsid w:val="007210AF"/>
    <w:rsid w:val="00722FE7"/>
    <w:rsid w:val="0072643F"/>
    <w:rsid w:val="00726AB6"/>
    <w:rsid w:val="00726EF1"/>
    <w:rsid w:val="00743E60"/>
    <w:rsid w:val="00743ED6"/>
    <w:rsid w:val="00752672"/>
    <w:rsid w:val="0075570C"/>
    <w:rsid w:val="00763937"/>
    <w:rsid w:val="00777C26"/>
    <w:rsid w:val="007845E9"/>
    <w:rsid w:val="00796BF4"/>
    <w:rsid w:val="007B3DE2"/>
    <w:rsid w:val="007C10B6"/>
    <w:rsid w:val="007C7569"/>
    <w:rsid w:val="007D1490"/>
    <w:rsid w:val="007D7347"/>
    <w:rsid w:val="007F2186"/>
    <w:rsid w:val="00802668"/>
    <w:rsid w:val="00813BD3"/>
    <w:rsid w:val="00815F79"/>
    <w:rsid w:val="00816C06"/>
    <w:rsid w:val="008227FD"/>
    <w:rsid w:val="0083741D"/>
    <w:rsid w:val="00837501"/>
    <w:rsid w:val="00840200"/>
    <w:rsid w:val="00840F44"/>
    <w:rsid w:val="00841594"/>
    <w:rsid w:val="008636B0"/>
    <w:rsid w:val="00870B9D"/>
    <w:rsid w:val="00873700"/>
    <w:rsid w:val="008801C5"/>
    <w:rsid w:val="008850C8"/>
    <w:rsid w:val="008977C1"/>
    <w:rsid w:val="008A38CA"/>
    <w:rsid w:val="008A4DA9"/>
    <w:rsid w:val="008A70C1"/>
    <w:rsid w:val="008B1A82"/>
    <w:rsid w:val="008D35C5"/>
    <w:rsid w:val="008D476F"/>
    <w:rsid w:val="008F1418"/>
    <w:rsid w:val="008F2D8C"/>
    <w:rsid w:val="008F5E21"/>
    <w:rsid w:val="008F61C3"/>
    <w:rsid w:val="009011B4"/>
    <w:rsid w:val="009027AD"/>
    <w:rsid w:val="0091525A"/>
    <w:rsid w:val="00917B39"/>
    <w:rsid w:val="00923FDD"/>
    <w:rsid w:val="009260C9"/>
    <w:rsid w:val="00934A86"/>
    <w:rsid w:val="00941ECB"/>
    <w:rsid w:val="0094601A"/>
    <w:rsid w:val="00947C57"/>
    <w:rsid w:val="009532FF"/>
    <w:rsid w:val="00955197"/>
    <w:rsid w:val="00961C7F"/>
    <w:rsid w:val="00966F03"/>
    <w:rsid w:val="00971DFA"/>
    <w:rsid w:val="0098078C"/>
    <w:rsid w:val="009826A7"/>
    <w:rsid w:val="00993E76"/>
    <w:rsid w:val="009A4627"/>
    <w:rsid w:val="009A64AB"/>
    <w:rsid w:val="009A7796"/>
    <w:rsid w:val="009C34C2"/>
    <w:rsid w:val="009C36AF"/>
    <w:rsid w:val="009C6ED2"/>
    <w:rsid w:val="009D0114"/>
    <w:rsid w:val="009D2F0F"/>
    <w:rsid w:val="009D3E20"/>
    <w:rsid w:val="009F7F73"/>
    <w:rsid w:val="00A16BBF"/>
    <w:rsid w:val="00A412A6"/>
    <w:rsid w:val="00A52426"/>
    <w:rsid w:val="00A7282E"/>
    <w:rsid w:val="00A81013"/>
    <w:rsid w:val="00A878E0"/>
    <w:rsid w:val="00AA150E"/>
    <w:rsid w:val="00AA570D"/>
    <w:rsid w:val="00AA5733"/>
    <w:rsid w:val="00AC2D41"/>
    <w:rsid w:val="00AC7A0B"/>
    <w:rsid w:val="00AC7C32"/>
    <w:rsid w:val="00B07DDA"/>
    <w:rsid w:val="00B12EB2"/>
    <w:rsid w:val="00B2388D"/>
    <w:rsid w:val="00B23C21"/>
    <w:rsid w:val="00B30BC2"/>
    <w:rsid w:val="00B32435"/>
    <w:rsid w:val="00B56A10"/>
    <w:rsid w:val="00B613E7"/>
    <w:rsid w:val="00B63CC2"/>
    <w:rsid w:val="00B707C0"/>
    <w:rsid w:val="00B823DD"/>
    <w:rsid w:val="00B9510C"/>
    <w:rsid w:val="00B952A6"/>
    <w:rsid w:val="00BA0CF7"/>
    <w:rsid w:val="00BA7BFB"/>
    <w:rsid w:val="00BB0C6B"/>
    <w:rsid w:val="00BC1EEB"/>
    <w:rsid w:val="00BF0A53"/>
    <w:rsid w:val="00BF56D2"/>
    <w:rsid w:val="00BF5CCC"/>
    <w:rsid w:val="00BF6FF0"/>
    <w:rsid w:val="00C01AE0"/>
    <w:rsid w:val="00C02A6C"/>
    <w:rsid w:val="00C20293"/>
    <w:rsid w:val="00C26C71"/>
    <w:rsid w:val="00C30E5E"/>
    <w:rsid w:val="00C3154A"/>
    <w:rsid w:val="00C527F3"/>
    <w:rsid w:val="00C6169F"/>
    <w:rsid w:val="00C7034A"/>
    <w:rsid w:val="00C7357D"/>
    <w:rsid w:val="00C8303B"/>
    <w:rsid w:val="00CA2009"/>
    <w:rsid w:val="00CA40F5"/>
    <w:rsid w:val="00CB28B8"/>
    <w:rsid w:val="00CB491E"/>
    <w:rsid w:val="00CC1F19"/>
    <w:rsid w:val="00CC3578"/>
    <w:rsid w:val="00CC47F9"/>
    <w:rsid w:val="00CD33D8"/>
    <w:rsid w:val="00CE2CBC"/>
    <w:rsid w:val="00CE7175"/>
    <w:rsid w:val="00D05FCF"/>
    <w:rsid w:val="00D24410"/>
    <w:rsid w:val="00D43CED"/>
    <w:rsid w:val="00D5004F"/>
    <w:rsid w:val="00D66776"/>
    <w:rsid w:val="00D6681A"/>
    <w:rsid w:val="00D71461"/>
    <w:rsid w:val="00D75744"/>
    <w:rsid w:val="00D82FAD"/>
    <w:rsid w:val="00DC0AC6"/>
    <w:rsid w:val="00DC3C7A"/>
    <w:rsid w:val="00DC6B47"/>
    <w:rsid w:val="00DD1453"/>
    <w:rsid w:val="00DD5411"/>
    <w:rsid w:val="00DE1C42"/>
    <w:rsid w:val="00DE4506"/>
    <w:rsid w:val="00E000C6"/>
    <w:rsid w:val="00E0034D"/>
    <w:rsid w:val="00E27B86"/>
    <w:rsid w:val="00E31D67"/>
    <w:rsid w:val="00E328B5"/>
    <w:rsid w:val="00E35C62"/>
    <w:rsid w:val="00E3774D"/>
    <w:rsid w:val="00E4073B"/>
    <w:rsid w:val="00E42805"/>
    <w:rsid w:val="00E53AEF"/>
    <w:rsid w:val="00E63F44"/>
    <w:rsid w:val="00E7521A"/>
    <w:rsid w:val="00E83E07"/>
    <w:rsid w:val="00EA3433"/>
    <w:rsid w:val="00EB5581"/>
    <w:rsid w:val="00EC1B35"/>
    <w:rsid w:val="00ED4B8B"/>
    <w:rsid w:val="00EE275A"/>
    <w:rsid w:val="00EF1EF3"/>
    <w:rsid w:val="00EF5379"/>
    <w:rsid w:val="00F01ABF"/>
    <w:rsid w:val="00F0328F"/>
    <w:rsid w:val="00F06725"/>
    <w:rsid w:val="00F11A16"/>
    <w:rsid w:val="00F12F44"/>
    <w:rsid w:val="00F15C0E"/>
    <w:rsid w:val="00F341E3"/>
    <w:rsid w:val="00F377FC"/>
    <w:rsid w:val="00F41CC8"/>
    <w:rsid w:val="00F74AE6"/>
    <w:rsid w:val="00F7557D"/>
    <w:rsid w:val="00F77C00"/>
    <w:rsid w:val="00F91437"/>
    <w:rsid w:val="00FA774E"/>
    <w:rsid w:val="00FB6E05"/>
    <w:rsid w:val="00FC0EA3"/>
    <w:rsid w:val="00FC1258"/>
    <w:rsid w:val="00FF7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433"/>
    <w:rPr>
      <w:rFonts w:eastAsia="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433"/>
    <w:rPr>
      <w:rFonts w:ascii="Tahoma" w:eastAsia="SimSun"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433"/>
    <w:rPr>
      <w:rFonts w:eastAsia="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433"/>
    <w:rPr>
      <w:rFonts w:ascii="Tahoma" w:eastAsia="SimSun"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Incubation</a:t>
            </a:r>
            <a:r>
              <a:rPr lang="en-US" baseline="0"/>
              <a:t> Period of Marburg Virus Disease, 1967-2008 (n=20)</a:t>
            </a:r>
            <a:endParaRPr lang="en-US"/>
          </a:p>
        </c:rich>
      </c:tx>
      <c:overlay val="0"/>
    </c:title>
    <c:autoTitleDeleted val="0"/>
    <c:plotArea>
      <c:layout/>
      <c:barChart>
        <c:barDir val="col"/>
        <c:grouping val="clustered"/>
        <c:varyColors val="0"/>
        <c:ser>
          <c:idx val="1"/>
          <c:order val="0"/>
          <c:invertIfNegative val="0"/>
          <c:cat>
            <c:numRef>
              <c:f>Sheet4!$F$4:$F$17</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Sheet4!$G$4:$G$17</c:f>
              <c:numCache>
                <c:formatCode>General</c:formatCode>
                <c:ptCount val="14"/>
                <c:pt idx="0">
                  <c:v>0</c:v>
                </c:pt>
                <c:pt idx="1">
                  <c:v>0</c:v>
                </c:pt>
                <c:pt idx="2">
                  <c:v>2</c:v>
                </c:pt>
                <c:pt idx="3">
                  <c:v>2</c:v>
                </c:pt>
                <c:pt idx="4">
                  <c:v>1</c:v>
                </c:pt>
                <c:pt idx="5">
                  <c:v>2</c:v>
                </c:pt>
                <c:pt idx="6">
                  <c:v>0</c:v>
                </c:pt>
                <c:pt idx="7">
                  <c:v>5</c:v>
                </c:pt>
                <c:pt idx="8">
                  <c:v>1</c:v>
                </c:pt>
                <c:pt idx="9">
                  <c:v>4</c:v>
                </c:pt>
                <c:pt idx="10">
                  <c:v>1</c:v>
                </c:pt>
                <c:pt idx="11">
                  <c:v>0</c:v>
                </c:pt>
                <c:pt idx="12">
                  <c:v>0</c:v>
                </c:pt>
                <c:pt idx="13">
                  <c:v>2</c:v>
                </c:pt>
              </c:numCache>
            </c:numRef>
          </c:val>
        </c:ser>
        <c:dLbls>
          <c:showLegendKey val="0"/>
          <c:showVal val="0"/>
          <c:showCatName val="0"/>
          <c:showSerName val="0"/>
          <c:showPercent val="0"/>
          <c:showBubbleSize val="0"/>
        </c:dLbls>
        <c:gapWidth val="150"/>
        <c:axId val="64402560"/>
        <c:axId val="64404480"/>
      </c:barChart>
      <c:catAx>
        <c:axId val="64402560"/>
        <c:scaling>
          <c:orientation val="minMax"/>
        </c:scaling>
        <c:delete val="0"/>
        <c:axPos val="b"/>
        <c:title>
          <c:tx>
            <c:rich>
              <a:bodyPr/>
              <a:lstStyle/>
              <a:p>
                <a:pPr>
                  <a:defRPr/>
                </a:pPr>
                <a:r>
                  <a:rPr lang="en-US"/>
                  <a:t>Days</a:t>
                </a:r>
              </a:p>
            </c:rich>
          </c:tx>
          <c:overlay val="0"/>
        </c:title>
        <c:numFmt formatCode="General" sourceLinked="1"/>
        <c:majorTickMark val="out"/>
        <c:minorTickMark val="none"/>
        <c:tickLblPos val="nextTo"/>
        <c:crossAx val="64404480"/>
        <c:crosses val="autoZero"/>
        <c:auto val="1"/>
        <c:lblAlgn val="ctr"/>
        <c:lblOffset val="100"/>
        <c:noMultiLvlLbl val="0"/>
      </c:catAx>
      <c:valAx>
        <c:axId val="64404480"/>
        <c:scaling>
          <c:orientation val="minMax"/>
        </c:scaling>
        <c:delete val="0"/>
        <c:axPos val="l"/>
        <c:majorGridlines/>
        <c:title>
          <c:tx>
            <c:rich>
              <a:bodyPr rot="-5400000" vert="horz"/>
              <a:lstStyle/>
              <a:p>
                <a:pPr>
                  <a:defRPr/>
                </a:pPr>
                <a:r>
                  <a:rPr lang="en-US"/>
                  <a:t>Number of cases</a:t>
                </a:r>
              </a:p>
            </c:rich>
          </c:tx>
          <c:overlay val="0"/>
        </c:title>
        <c:numFmt formatCode="General" sourceLinked="1"/>
        <c:majorTickMark val="out"/>
        <c:minorTickMark val="none"/>
        <c:tickLblPos val="nextTo"/>
        <c:crossAx val="644025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Pavlin</dc:creator>
  <cp:lastModifiedBy>Boris Pavlin</cp:lastModifiedBy>
  <cp:revision>1</cp:revision>
  <dcterms:created xsi:type="dcterms:W3CDTF">2014-04-19T05:28:00Z</dcterms:created>
  <dcterms:modified xsi:type="dcterms:W3CDTF">2014-04-19T05:28:00Z</dcterms:modified>
</cp:coreProperties>
</file>