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ind w:firstLine="560"/>
        <w:jc w:val="both"/>
      </w:pPr>
      <w:r>
        <w:rPr>
          <w:rFonts w:ascii="Times New Roman" w:hAnsi="Times New Roman" w:eastAsia="Times New Roman"/>
          <w:b w:val="0"/>
          <w:sz w:val="24"/>
        </w:rPr>
        <w:t>Defiro a gratuidade de justiça. Anote-se. Defiro, ainda, a prioridade de tramitação, diante da condição de pessoa idosa da autora, conforme requerido na inicial e certificado no Evento 3, CERT1.</w:t>
      </w:r>
    </w:p>
    <w:p>
      <w:pPr>
        <w:spacing w:after="0" w:before="0" w:line="276" w:lineRule="auto"/>
        <w:ind w:firstLine="560"/>
        <w:jc w:val="both"/>
      </w:pPr>
      <w:r>
        <w:rPr>
          <w:rFonts w:ascii="Times New Roman" w:hAnsi="Times New Roman" w:eastAsia="Times New Roman"/>
          <w:b w:val="0"/>
          <w:sz w:val="24"/>
        </w:rPr>
        <w:t>Trata-se de ação pelo procedimento comum, com pedido de tutela de urgência, ajuizada por FRANCISCA MARIA FERREIRA em face de ADRIANO DE ANDRADE CHAVES, MARCIO CUNHA LOPES, MONEY INTERMEDIAÇÕES E NEGÓCIOS LTDA e CRISTIANO JOSE LOPES. A autora narra que ajustou a aquisição de veículo junto aos demandados, entregando como parte do pagamento o automóvel FIAT/TORO FREEDOM AT, 2019/2019, placa LMV7J45, Renavam 01191193214, chassi nº 98822611XKKC42242, além de realizar pagamentos via PIX, sem que o negócio fosse cumprido.</w:t>
      </w:r>
    </w:p>
    <w:p>
      <w:pPr>
        <w:spacing w:after="0" w:before="0" w:line="276" w:lineRule="auto"/>
        <w:ind w:firstLine="560"/>
        <w:jc w:val="both"/>
      </w:pPr>
      <w:r>
        <w:rPr>
          <w:rFonts w:ascii="Times New Roman" w:hAnsi="Times New Roman" w:eastAsia="Times New Roman"/>
          <w:b w:val="0"/>
          <w:sz w:val="24"/>
        </w:rPr>
        <w:t>A inicial veio instruída, dentre outros documentos, com comprovantes das transferências efetuadas, inclusive o Evento 1, COMP4, nota fiscal emitida em nome da pessoa jurídica ré no Evento 1, NFISCAL17, e peças extraídas do procedimento criminal relacionado aos mesmos fatos no Evento 1, PROCADM2, das quais constam referências à apuração de possível fraude envolvendo parte dos demandados.</w:t>
      </w:r>
    </w:p>
    <w:p>
      <w:pPr>
        <w:spacing w:after="0" w:before="0" w:line="276" w:lineRule="auto"/>
        <w:ind w:firstLine="560"/>
        <w:jc w:val="both"/>
      </w:pPr>
      <w:r>
        <w:rPr>
          <w:rFonts w:ascii="Times New Roman" w:hAnsi="Times New Roman" w:eastAsia="Times New Roman"/>
          <w:b w:val="0"/>
          <w:sz w:val="24"/>
        </w:rPr>
        <w:t>É o breve relatório. Decido.</w:t>
      </w:r>
    </w:p>
    <w:p>
      <w:pPr>
        <w:spacing w:after="0" w:before="0" w:line="276" w:lineRule="auto"/>
        <w:ind w:firstLine="560"/>
        <w:jc w:val="both"/>
      </w:pPr>
      <w:r>
        <w:rPr>
          <w:rFonts w:ascii="Times New Roman" w:hAnsi="Times New Roman" w:eastAsia="Times New Roman"/>
          <w:b w:val="0"/>
          <w:sz w:val="24"/>
        </w:rPr>
        <w:t>A tutela de urgência exige a presença concomitante da probabilidade do direito e do perigo de dano ou risco ao resultado útil do processo, nos termos do artigo 300 do Código de Processo Civil. Em exame de cognição sumária, esses requisitos se mostram presentes apenas em parte.</w:t>
      </w:r>
    </w:p>
    <w:p>
      <w:pPr>
        <w:spacing w:after="0" w:before="0" w:line="276" w:lineRule="auto"/>
        <w:ind w:firstLine="560"/>
        <w:jc w:val="both"/>
      </w:pPr>
      <w:r>
        <w:rPr>
          <w:rFonts w:ascii="Times New Roman" w:hAnsi="Times New Roman" w:eastAsia="Times New Roman"/>
          <w:b w:val="0"/>
          <w:sz w:val="24"/>
        </w:rPr>
        <w:t>A probabilidade do direito, neste momento, decorre da convergência entre a narrativa inicial e os documentos já juntados, que indicam, em tese, a existência do negócio, a entrega de valores pela autora e a vinculação do veículo FIAT/TORO ao ajuste alegado. Os elementos do Evento 1, PROCADM2, embora oriundos de investigação criminal e ainda sujeitos ao contraditório próprio, reforçam a plausibilidade da alegação de que a autora foi vítima de atuação fraudulenta, o que recomenda a preservação do bem apontado como parte relevante do adimplemento.</w:t>
      </w:r>
    </w:p>
    <w:p>
      <w:pPr>
        <w:spacing w:after="0" w:before="0" w:line="276" w:lineRule="auto"/>
        <w:ind w:firstLine="560"/>
        <w:jc w:val="both"/>
      </w:pPr>
      <w:r>
        <w:rPr>
          <w:rFonts w:ascii="Times New Roman" w:hAnsi="Times New Roman" w:eastAsia="Times New Roman"/>
          <w:b w:val="0"/>
          <w:sz w:val="24"/>
        </w:rPr>
        <w:t>O perigo de dano também se evidencia, pois há risco concreto de nova circulação dominial do veículo ou de maior dificuldade de rastreamento, o que pode comprometer a utilidade prática do processo e a futura recomposição patrimonial. Nessa etapa inicial, a providência mais adequada e proporcional é a constrição voltada à transferência do automóvel, com complementação de informações cadastrais perante o DETRAN/RJ.</w:t>
      </w:r>
    </w:p>
    <w:p>
      <w:pPr>
        <w:spacing w:after="0" w:before="0" w:line="276" w:lineRule="auto"/>
        <w:ind w:firstLine="560"/>
        <w:jc w:val="both"/>
      </w:pPr>
      <w:r>
        <w:rPr>
          <w:rFonts w:ascii="Times New Roman" w:hAnsi="Times New Roman" w:eastAsia="Times New Roman"/>
          <w:b w:val="0"/>
          <w:sz w:val="24"/>
        </w:rPr>
        <w:t>Por outro lado, a extensão imediata da tutela para restrição de circulação, arresto genérico de outros bens dos réus e fixação de multa diária, tal como postulada, mostra-se excessiva neste primeiro exame. Tais medidas demandam dilação mínima ou dados mais seguros sobre a atual situação dominial e possessória do automóvel, sob pena de se impor constrição mais ampla do que a estritamente necessária.</w:t>
      </w:r>
    </w:p>
    <w:p>
      <w:pPr>
        <w:spacing w:after="0" w:before="0" w:line="276" w:lineRule="auto"/>
        <w:ind w:firstLine="560"/>
        <w:jc w:val="both"/>
      </w:pPr>
      <w:r>
        <w:rPr>
          <w:rFonts w:ascii="Times New Roman" w:hAnsi="Times New Roman" w:eastAsia="Times New Roman"/>
          <w:b w:val="0"/>
          <w:sz w:val="24"/>
        </w:rPr>
        <w:t xml:space="preserve">Ante o exposto, </w:t>
      </w:r>
      <w:r>
        <w:rPr>
          <w:rFonts w:ascii="Times New Roman" w:hAnsi="Times New Roman" w:eastAsia="Times New Roman"/>
          <w:b/>
          <w:sz w:val="24"/>
        </w:rPr>
        <w:t>DEFIRO PARCIALMENTE A TUTELA DE URGÊNCIA</w:t>
      </w:r>
      <w:r>
        <w:rPr>
          <w:rFonts w:ascii="Times New Roman" w:hAnsi="Times New Roman" w:eastAsia="Times New Roman"/>
          <w:b w:val="0"/>
          <w:sz w:val="24"/>
        </w:rPr>
        <w:t xml:space="preserve"> para:</w:t>
      </w:r>
    </w:p>
    <w:p>
      <w:pPr>
        <w:spacing w:after="0" w:before="0" w:line="276" w:lineRule="auto"/>
        <w:ind w:firstLine="560"/>
        <w:jc w:val="both"/>
      </w:pPr>
      <w:r>
        <w:rPr>
          <w:rFonts w:ascii="Times New Roman" w:hAnsi="Times New Roman" w:eastAsia="Times New Roman"/>
          <w:b w:val="0"/>
          <w:sz w:val="24"/>
        </w:rPr>
        <w:t>a) determinar a imediata inclusão, via RENAJUD, de restrição de transferência sobre o veículo FIAT/TORO FREEDOM AT, 2019/2019, placa LMV7J45, Renavam 01191193214, chassi nº 98822611XKKC42242, até ulterior deliberação deste Juízo;</w:t>
      </w:r>
    </w:p>
    <w:p>
      <w:pPr>
        <w:spacing w:after="0" w:before="0" w:line="276" w:lineRule="auto"/>
        <w:ind w:firstLine="560"/>
        <w:jc w:val="both"/>
      </w:pPr>
      <w:r>
        <w:rPr>
          <w:rFonts w:ascii="Times New Roman" w:hAnsi="Times New Roman" w:eastAsia="Times New Roman"/>
          <w:b w:val="0"/>
          <w:sz w:val="24"/>
        </w:rPr>
        <w:t>b) determinar a expedição de ofício ao DETRAN/RJ para que informe, no prazo de 15 dias, a situação cadastral atual do referido veículo, com histórico de propriedade, eventuais gravames e restrições incidentes, bem como o endereço constante do atual proprietário em seus registros;</w:t>
      </w:r>
    </w:p>
    <w:p>
      <w:pPr>
        <w:spacing w:after="0" w:before="0" w:line="276" w:lineRule="auto"/>
        <w:ind w:firstLine="560"/>
        <w:jc w:val="both"/>
      </w:pPr>
      <w:r>
        <w:rPr>
          <w:rFonts w:ascii="Times New Roman" w:hAnsi="Times New Roman" w:eastAsia="Times New Roman"/>
          <w:b w:val="0"/>
          <w:sz w:val="24"/>
        </w:rPr>
        <w:t>c) indeferir, por ora, o pedido de restrição de circulação, o arresto genérico de outros bens e a fixação de astreintes.</w:t>
      </w:r>
    </w:p>
    <w:p>
      <w:pPr>
        <w:spacing w:after="0" w:before="0" w:line="276" w:lineRule="auto"/>
        <w:ind w:firstLine="560"/>
        <w:jc w:val="both"/>
      </w:pPr>
      <w:r>
        <w:rPr>
          <w:rFonts w:ascii="Times New Roman" w:hAnsi="Times New Roman" w:eastAsia="Times New Roman"/>
          <w:b w:val="0"/>
          <w:sz w:val="24"/>
        </w:rPr>
        <w:t>Tendo em vista a manifestação desfavorável da autora quanto à autocomposição e considerando que a experiência tem demonstrado insucesso na composição em audiências designadas na forma do artigo 334 do CPC, deixo de designar, por ora, a audiência de conciliação prevista no referido dispositivo, sem prejuízo de sua realização em momento oportuno.</w:t>
      </w:r>
    </w:p>
    <w:p>
      <w:pPr>
        <w:spacing w:after="0" w:before="0" w:line="276" w:lineRule="auto"/>
        <w:ind w:firstLine="560"/>
        <w:jc w:val="both"/>
      </w:pPr>
      <w:r>
        <w:rPr>
          <w:rFonts w:ascii="Times New Roman" w:hAnsi="Times New Roman" w:eastAsia="Times New Roman"/>
          <w:b w:val="0"/>
          <w:sz w:val="24"/>
        </w:rPr>
        <w:t>Citem-se os réus para apresentarem contestação no prazo legal. Certifique-se, previamente, a atual situação prisional de ADRIANO DE ANDRADE CHAVES e, se positiva, promova-se sua citação e intimação no estabelecimento em que se encontrar recolhido.</w:t>
      </w:r>
    </w:p>
    <w:p>
      <w:pPr>
        <w:spacing w:after="0" w:before="0" w:line="276" w:lineRule="auto"/>
        <w:ind w:firstLine="560"/>
        <w:jc w:val="both"/>
      </w:pPr>
      <w:r>
        <w:rPr>
          <w:rFonts w:ascii="Times New Roman" w:hAnsi="Times New Roman" w:eastAsia="Times New Roman"/>
          <w:b w:val="0"/>
          <w:sz w:val="24"/>
        </w:rPr>
        <w:t>Intimem-se, com urgência, para cumprimento desta decisão.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