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05 - MODELO - SANEADOR - EM PROVAS</w:t>
      </w:r>
    </w:p>
    <w:p>
      <w:pPr>
        <w:spacing w:after="120"/>
      </w:pPr>
      <w:r>
        <w:t>Arquivo mestre para saneamento sem definicao imediata de pericia, abrindo prazo para especificacao probatoria.</w:t>
      </w:r>
    </w:p>
    <w:p>
      <w:pPr>
        <w:pStyle w:val="Heading1"/>
      </w:pPr>
      <w:r>
        <w:t>SANEADOR ANTES DE ABRIR PRAZO PARA ESPECIFICACAO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Não há questões preliminares a serem analisadas.</w:t>
      </w:r>
    </w:p>
    <w:p>
      <w:pPr>
        <w:spacing w:after="120"/>
      </w:pPr>
      <w:r>
        <w:t>Fixo como pontos controvertidos: a) A existência de falha na prestação do serviço de fornecimento de água no imóvel da parte autora, no que tange à regularidade, continuidade e pressão do abastecimento; b) Os danos materiais alegados pela parte autora, referentes aos valores pagos sem a devida contraprestação; e c) A ocorrência de danos morais indenizáveis.</w:t>
      </w:r>
    </w:p>
    <w:p>
      <w:pPr>
        <w:spacing w:after="120"/>
      </w:pPr>
      <w:r>
        <w:t>Considerando que se encontram presentes as circunstâncias previstas pelo artigo 6º, VIII, do CDC, (verossimilhança das alegações autorais e hipossuficiência técnica para demonstrar a falha interna na rede de abastecimento da concessionária), inverto o ônus da prova a favor da parte autora.</w:t>
      </w:r>
    </w:p>
    <w:p>
      <w:pPr>
        <w:spacing w:after="120"/>
      </w:pPr>
      <w:r>
        <w:t>Intimem-se as partes para que, no prazo de 15 (quinze) dias, especifiquem, de forma justificada, as provas que ainda pretendem produzir, indicando sua pertinência e relevância para o deslinde dos pontos controvertidos fixados.</w:t>
      </w:r>
    </w:p>
    <w:p>
      <w:pPr>
        <w:spacing w:after="120"/>
      </w:pPr>
      <w:r>
        <w:t>Ressalte-se que o protesto genérico por provas, formulado na inicial e na contestação, não é suficiente, devendo as partes detalhar quais fatos (dentre os controvertidos) buscam provar com cada meio de prova requerido, especialmente à luz da inversão do ônus probatório ora deferida.</w:t>
      </w:r>
    </w:p>
    <w:p>
      <w:pPr>
        <w:spacing w:after="120"/>
      </w:pPr>
      <w:r>
        <w:t>Decorrido o prazo, com ou sem manifestação, voltem conclusos.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EM PROVAS - MODELO 1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Inicialmente, rejeito a preliminar de ilegitimidade ativa. Pela Teoria da Asserção, a pertinência subjetiva da ação é verificada à luz das afirmações da inicial. O Autor, na qualidade de atual ocupante e consumidor do serviço essencial, possui legitimidade para questionar débitos que obstam o fornecimento, ainda que a matrícula esteja em nome de terceiro.</w:t>
      </w:r>
    </w:p>
    <w:p>
      <w:pPr>
        <w:spacing w:after="120"/>
      </w:pPr>
      <w:r>
        <w:t>Fixo como pontos controvertidos: a) A titularidade do débito cobrado; b) A efetiva ocupação do imóvel pelo Autor no período da dívida, considerando o incêndio alegado; c) A regularidade da suspensão do serviço e a existência de danos morais.</w:t>
      </w:r>
    </w:p>
    <w:p>
      <w:pPr>
        <w:spacing w:after="120"/>
      </w:pPr>
      <w:r>
        <w:t>Defiro a inversão do ônus da prova em favor da parte Autora, com fulcro no art. 6º, VIII, do CDC, diante de sua hipossuficiência técnica perante a Concessionária.</w:t>
      </w:r>
    </w:p>
    <w:p>
      <w:pPr>
        <w:spacing w:after="120"/>
      </w:pPr>
      <w:r>
        <w:t>Ressalte-se, contudo, a incidência da Súmula nº 330 deste E. TJRJ: "Os princípios facilitadores da defesa do consumidor em juízo, notadamente o da inversão do ônus da prova, não exoneram o autor do ônus de fazer, a seu encargo, prova mínima do fato constitutivo do alegado direito."</w:t>
      </w:r>
    </w:p>
    <w:p>
      <w:pPr>
        <w:spacing w:after="120"/>
      </w:pPr>
      <w:r>
        <w:t>Diante da inversão ora deferida e da fixação dos pontos controvertidos, às partes, para que especifiquem as provas que pretendem produzir, juntando rol de testemunhas, se requerida prova testemunhal, e os quesitos, se requerida prova pericial, sendo certo que o requerimento genérico e sem fundamentação impede a análise do pedido, operando-se a preclusão. Ficam as partes cientes, ainda, de que o silêncio será interpretado como aquiescência com o julgamento antecipado da lide.</w:t>
      </w:r>
    </w:p>
    <w:p>
      <w:pPr>
        <w:spacing w:after="120"/>
      </w:pPr>
      <w:r>
        <w:t>Intimem-se.</w:t>
      </w:r>
    </w:p>
    <w:p>
      <w:r>
        <w:br w:type="page"/>
      </w:r>
    </w:p>
    <w:p>
      <w:pPr>
        <w:pStyle w:val="Heading1"/>
      </w:pPr>
      <w:r>
        <w:t>EM PROVAS - MODELO 2</w:t>
      </w:r>
    </w:p>
    <w:p>
      <w:pPr>
        <w:spacing w:after="120"/>
      </w:pPr>
      <w:r>
        <w:t>Não sendo a hipótese de extinção do processo sem análise do mérito, nem de julgamento antecipado, passo a sanear e organizar o processo para a fase probatória, na forma do artigo 357, do CPC.</w:t>
      </w:r>
    </w:p>
    <w:p>
      <w:pPr>
        <w:spacing w:after="120"/>
      </w:pPr>
      <w:r>
        <w:t>Inicialmente, rejeito a preliminar de falta de interesse de agir arguida, sob o fundamento de que o Autor firmou "Termo de Confissão e Parcelamento de Irregularidade", reconhecendo a dívida e a irregularidade. Isso porque, a existência de documento extrajudicial, ainda que contenha confissão de dívida, não afasta o direito constitucional de acesso à Justiça para que o consumidor questione a validade do referido termo, a legalidade do procedimento que o originou ou a existência do débito, especialmente sob a alegação de vício de consentimento ou falha no dever de informação. A eficácia do termo é matéria de mérito.</w:t>
      </w:r>
    </w:p>
    <w:p>
      <w:pPr>
        <w:spacing w:after="120"/>
      </w:pPr>
      <w:r>
        <w:t>Fixo como pontos controvertidos de fato: a) A efetiva ocorrência de irregularidade na unidade consumidora (suposta violação de corte/ligação clandestina) capaz de ensejar a aplicação da multa; b) A regularidade do procedimento administrativo de apuração (TOI/Notificação), em especial o cumprimento do dever de informação e notificação prévia do consumidor acerca da vistoria e da penalidade; c) A validade do "Termo de Confissão e Parcelamento de Irregularidade" acostado aos autos, bem como a legalidade da inclusão das parcelas ("Parcelamento Notificação") diretamente nas faturas de consumo; e d) A ocorrência de danos morais indenizáveis.</w:t>
      </w:r>
    </w:p>
    <w:p>
      <w:pPr>
        <w:spacing w:after="120"/>
      </w:pPr>
      <w:r>
        <w:t>Considerando a hipossuficiência técnica do consumidor frente à concessionária, defiro a inversão do ônus da prova em favor da parte Autora, com fulcro no art. 6º, VIII, do CDC.</w:t>
      </w:r>
    </w:p>
    <w:p>
      <w:pPr>
        <w:spacing w:after="120"/>
      </w:pPr>
      <w:r>
        <w:t>Ressalte-se que a inversão não desonera a parte autora de fazer prova mínima dos fatos constitutivos de seu direito (Súmula 330, TJRJ).</w:t>
      </w:r>
    </w:p>
    <w:p>
      <w:pPr>
        <w:spacing w:after="120"/>
      </w:pPr>
      <w:r>
        <w:t>Considerando que as partes protestaram por provas de forma genérica na fase postulatória, e diante da necessidade de se definir a utilidade de eventual perícia frente aos documentos já acostados, às partes, para que especifiquem as provas que pretendem produzir, juntando rol de testemunhas, se requerida prova testemunhal, e os quesitos, se requerida prova pericial, sendo certo que o requerimento genérico e sem fundamentação impede a análise do pedido, operando-se a preclusão. Ficam as partes cientes, ainda, de que o silêncio será interpretado como aquiescência com o julgamento antecipado da lide.</w:t>
      </w:r>
    </w:p>
    <w:p>
      <w:pPr>
        <w:spacing w:after="120"/>
      </w:pPr>
      <w:r>
        <w:t>Caso haja requerimento de prova pericial, a parte deverá indicar, desde já, a especialidade pretendida e o objeto da perícia.</w:t>
      </w:r>
    </w:p>
    <w:p>
      <w:pPr>
        <w:spacing w:after="120"/>
      </w:pPr>
      <w:r>
        <w:t>Intimem-se.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