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AC3C0" w14:textId="77777777" w:rsidR="0077663C" w:rsidRPr="0077663C" w:rsidRDefault="0077663C" w:rsidP="0077663C">
      <w:pPr>
        <w:spacing w:after="360"/>
        <w:jc w:val="both"/>
      </w:pPr>
      <w:r w:rsidRPr="0077663C">
        <w:t>Não sendo a hipótese de extinção do processo sem análise do mérito, nem de julgamento antecipado, passo a sanear e organizar o processo para a fase probatória, na forma do artigo 357 do CPC.</w:t>
      </w:r>
    </w:p>
    <w:p w14:paraId="4F02167A" w14:textId="5F8633CF" w:rsidR="0077663C" w:rsidRPr="0077663C" w:rsidRDefault="0077663C" w:rsidP="0077663C">
      <w:pPr>
        <w:spacing w:after="360"/>
        <w:jc w:val="both"/>
      </w:pPr>
      <w:r w:rsidRPr="0077663C">
        <w:t xml:space="preserve">Inicialmente, verifico que a decisão de </w:t>
      </w:r>
      <w:r>
        <w:t xml:space="preserve">Id. </w:t>
      </w:r>
      <w:r w:rsidRPr="0077663C">
        <w:t>165918225 determinou o apensamento destes autos ao processo nº 0806493-48.2022.8.19.0045. Contudo,</w:t>
      </w:r>
      <w:r>
        <w:t xml:space="preserve"> em pesquisa, verifiquei que</w:t>
      </w:r>
      <w:r w:rsidRPr="0077663C">
        <w:t xml:space="preserve"> o referido processo já</w:t>
      </w:r>
      <w:r>
        <w:t xml:space="preserve"> havia sido</w:t>
      </w:r>
      <w:r w:rsidRPr="0077663C">
        <w:t xml:space="preserve"> sentenciado,</w:t>
      </w:r>
      <w:r>
        <w:t xml:space="preserve"> antes mesmo da decisão, razão pela qual </w:t>
      </w:r>
      <w:r w:rsidRPr="0077663C">
        <w:t>a reunião perde seu objeto, nos termos da Súmula nº 235 do STJ. Assim, torno sem efeito a determinação de apensamento, devendo os feitos prosseguirem de forma autônoma.</w:t>
      </w:r>
    </w:p>
    <w:p w14:paraId="1E251D77" w14:textId="2C7DAE90" w:rsidR="0077663C" w:rsidRPr="0077663C" w:rsidRDefault="0077663C" w:rsidP="0077663C">
      <w:pPr>
        <w:spacing w:after="360"/>
        <w:jc w:val="both"/>
      </w:pPr>
      <w:r w:rsidRPr="0077663C">
        <w:t>Afasto a preliminar de falta de interesse de agir arguida pela ré</w:t>
      </w:r>
      <w:r>
        <w:t xml:space="preserve"> em contestação</w:t>
      </w:r>
      <w:r w:rsidRPr="0077663C">
        <w:t>, porque sobre o tema vige a Teoria da Asserção, segundo a qual a verificação da presença das condições da ação se dá à luz das afirmações feitas pelo demandante em sua petição inicial. Dessa forma, a análise sobre a ciência prévia do autor acerca dos vícios do imóvel confunde-se com o próprio mérito da causa e com ele será analisada.</w:t>
      </w:r>
    </w:p>
    <w:p w14:paraId="33692E01" w14:textId="2572A653" w:rsidR="0077663C" w:rsidRPr="0077663C" w:rsidRDefault="0077663C" w:rsidP="0077663C">
      <w:pPr>
        <w:spacing w:after="360"/>
        <w:jc w:val="both"/>
      </w:pPr>
      <w:r w:rsidRPr="0077663C">
        <w:t>Fixo como pontos controvertidos</w:t>
      </w:r>
      <w:r>
        <w:t xml:space="preserve"> de fato e de direito</w:t>
      </w:r>
      <w:r w:rsidRPr="0077663C">
        <w:t>: a) a ciência prévia do autor, no momento da celebração do contrato, acerca das específicas pendências ambientais que recaíam sobre o imóvel, em especial a existência de inquérito e posterior ação civil pública movida pelo MPF com pedido de demolição; b) a ocorrência de dolo omissivo por parte da ré, consistente na ocultação deliberada de informações essenciais sobre a situação do imóvel</w:t>
      </w:r>
      <w:r>
        <w:t xml:space="preserve">; e c) </w:t>
      </w:r>
      <w:r w:rsidRPr="0077663C">
        <w:t>verificação de eventual vício de consentimento (dolo omissivo) como causa de anulabilidade do negócio jurídico, nos termos dos artigos 145 e 171, II, do Código Civil.</w:t>
      </w:r>
    </w:p>
    <w:p w14:paraId="65169D19" w14:textId="1FAE35E8" w:rsidR="0077663C" w:rsidRPr="0077663C" w:rsidRDefault="0077663C" w:rsidP="0077663C">
      <w:pPr>
        <w:spacing w:after="360"/>
        <w:jc w:val="both"/>
      </w:pPr>
      <w:r>
        <w:t>Sendo assim, d</w:t>
      </w:r>
      <w:r w:rsidRPr="0077663C">
        <w:t>efiro a prova oral requerida pelas partes, consistente na oitiva de testemunhas e depoimento pessoal da ré.</w:t>
      </w:r>
    </w:p>
    <w:p w14:paraId="2F95C5E3" w14:textId="77777777" w:rsidR="0077663C" w:rsidRPr="0077663C" w:rsidRDefault="0077663C" w:rsidP="0077663C">
      <w:pPr>
        <w:spacing w:after="360"/>
        <w:jc w:val="both"/>
      </w:pPr>
      <w:r w:rsidRPr="0077663C">
        <w:t>O ônus da prova, quanto aos fatos constitutivos do direito afirmado na inicial, será do autor. Será da ré o ônus da prova quanto aos fatos impeditivos, modificativos ou extintivos do direito autoral, notadamente o de comprovar que informou prévia e inequivocamente ao autor sobre as específicas pendências ambientais do imóvel.</w:t>
      </w:r>
    </w:p>
    <w:p w14:paraId="1FD56E55" w14:textId="77777777" w:rsidR="0077663C" w:rsidRPr="0077663C" w:rsidRDefault="0077663C" w:rsidP="0077663C">
      <w:pPr>
        <w:spacing w:after="360"/>
        <w:jc w:val="both"/>
      </w:pPr>
      <w:r w:rsidRPr="0077663C">
        <w:t>Designo audiência de instrução e julgamento para o dia _____/_____/_____, às _____ horas, devendo as partes apresentar seu rol de testemunhas no prazo de 15 (quinze) dias, na forma do art. 357, §4º, do CPC.</w:t>
      </w:r>
    </w:p>
    <w:p w14:paraId="59F676B0" w14:textId="77777777" w:rsidR="0077663C" w:rsidRPr="0077663C" w:rsidRDefault="0077663C" w:rsidP="0077663C">
      <w:pPr>
        <w:spacing w:after="360"/>
        <w:jc w:val="both"/>
      </w:pPr>
      <w:r w:rsidRPr="0077663C">
        <w:t>Caberá ao advogado de cada parte a observância do disposto no artigo 455 do CPC em relação à intimação das testemunhas, sob pena de perda da prova.</w:t>
      </w:r>
    </w:p>
    <w:p w14:paraId="5F342689" w14:textId="77777777" w:rsidR="0077663C" w:rsidRPr="0077663C" w:rsidRDefault="0077663C" w:rsidP="0077663C">
      <w:pPr>
        <w:spacing w:after="360"/>
        <w:jc w:val="both"/>
      </w:pPr>
      <w:r w:rsidRPr="0077663C">
        <w:t>Em relação ao depoimento pessoal, expeça-se mandado para intimação pessoal da ré, fazendo constar a advertência prevista no § 1º do art. 385 do CPC.</w:t>
      </w:r>
    </w:p>
    <w:p w14:paraId="465D74BD" w14:textId="7956B648" w:rsidR="00E23744" w:rsidRPr="0077663C" w:rsidRDefault="0077663C" w:rsidP="0077663C">
      <w:pPr>
        <w:spacing w:after="360"/>
        <w:jc w:val="both"/>
      </w:pPr>
      <w:r w:rsidRPr="0077663C">
        <w:t>Intimem-se.</w:t>
      </w:r>
    </w:p>
    <w:sectPr w:rsidR="00E23744" w:rsidRPr="007766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63C"/>
    <w:rsid w:val="00514D5C"/>
    <w:rsid w:val="005703E4"/>
    <w:rsid w:val="0077663C"/>
    <w:rsid w:val="00E23744"/>
    <w:rsid w:val="00EF1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A00A7"/>
  <w15:chartTrackingRefBased/>
  <w15:docId w15:val="{60765AED-DBFD-47D2-A5A2-BA7D78B2F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6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41">
    <w:name w:val="citation-41"/>
    <w:basedOn w:val="Fontepargpadro"/>
    <w:rsid w:val="0077663C"/>
  </w:style>
  <w:style w:type="character" w:customStyle="1" w:styleId="citation-40">
    <w:name w:val="citation-40"/>
    <w:basedOn w:val="Fontepargpadro"/>
    <w:rsid w:val="0077663C"/>
  </w:style>
  <w:style w:type="character" w:customStyle="1" w:styleId="citation-39">
    <w:name w:val="citation-39"/>
    <w:basedOn w:val="Fontepargpadro"/>
    <w:rsid w:val="0077663C"/>
  </w:style>
  <w:style w:type="character" w:customStyle="1" w:styleId="citation-38">
    <w:name w:val="citation-38"/>
    <w:basedOn w:val="Fontepargpadro"/>
    <w:rsid w:val="0077663C"/>
  </w:style>
  <w:style w:type="character" w:customStyle="1" w:styleId="citation-37">
    <w:name w:val="citation-37"/>
    <w:basedOn w:val="Fontepargpadro"/>
    <w:rsid w:val="0077663C"/>
  </w:style>
  <w:style w:type="character" w:customStyle="1" w:styleId="citation-36">
    <w:name w:val="citation-36"/>
    <w:basedOn w:val="Fontepargpadro"/>
    <w:rsid w:val="007766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71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409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Luiz Simões da Silva Junior</dc:creator>
  <cp:keywords/>
  <dc:description/>
  <cp:lastModifiedBy>Oswaldo Luiz Simões da Silva Junior</cp:lastModifiedBy>
  <cp:revision>1</cp:revision>
  <dcterms:created xsi:type="dcterms:W3CDTF">2025-08-01T14:50:00Z</dcterms:created>
  <dcterms:modified xsi:type="dcterms:W3CDTF">2025-08-01T14:57:00Z</dcterms:modified>
</cp:coreProperties>
</file>