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4A2A7" w14:textId="77777777" w:rsidR="002D5B03" w:rsidRDefault="002D5B03" w:rsidP="002D5B03">
      <w:r>
        <w:t>Não sendo a hipótese de extinção do processo sem análise do mérito, nem de julgamento antecipado, passo a sanear e organizar o processo para a fase probatória, na forma do artigo 357, do CPC.</w:t>
      </w:r>
    </w:p>
    <w:p w14:paraId="6FD0A8D2" w14:textId="77777777" w:rsidR="002D5B03" w:rsidRDefault="002D5B03" w:rsidP="002D5B03"/>
    <w:p w14:paraId="32E97D6C" w14:textId="10A95B04" w:rsidR="002D5B03" w:rsidRDefault="00045A24" w:rsidP="002D5B03">
      <w:r>
        <w:t>Aprecio, inicialmente, a</w:t>
      </w:r>
      <w:r w:rsidR="002D5B03">
        <w:t xml:space="preserve">s </w:t>
      </w:r>
      <w:r>
        <w:t>p</w:t>
      </w:r>
      <w:r w:rsidR="002D5B03">
        <w:t xml:space="preserve">reliminares </w:t>
      </w:r>
      <w:r>
        <w:t>a</w:t>
      </w:r>
      <w:r w:rsidR="002D5B03">
        <w:t>rguidas</w:t>
      </w:r>
      <w:r>
        <w:t>:</w:t>
      </w:r>
    </w:p>
    <w:p w14:paraId="427D58E6" w14:textId="77777777" w:rsidR="002D5B03" w:rsidRDefault="002D5B03" w:rsidP="002D5B03"/>
    <w:p w14:paraId="5DC84007" w14:textId="3DAC296A" w:rsidR="002D5B03" w:rsidRDefault="00045A24" w:rsidP="002D5B03">
      <w:r>
        <w:t xml:space="preserve">1) </w:t>
      </w:r>
      <w:r w:rsidR="002D5B03">
        <w:t>Da Suspensão do Processo (Tema Repetitivo 1300/STJ): Rejeito o pedido de suspensão do feito. Conforme alegado pela parte autora, a presente demanda não se limita à discussão sobre o ônus da prova dos saques (objeto do Tema 1300 do STJ), mas abrange questões mais amplas como a correta aplicação dos índices de correção monetária, expurgos inflacionários e a responsabilidade pela má gestão dos valores, matérias que não estão sobrestadas.</w:t>
      </w:r>
    </w:p>
    <w:p w14:paraId="664D2987" w14:textId="77777777" w:rsidR="002D5B03" w:rsidRDefault="002D5B03" w:rsidP="002D5B03"/>
    <w:p w14:paraId="393F09D8" w14:textId="47C42F61" w:rsidR="002D5B03" w:rsidRDefault="00045A24" w:rsidP="002D5B03">
      <w:r>
        <w:t xml:space="preserve">2) </w:t>
      </w:r>
      <w:r w:rsidR="002D5B03">
        <w:t>Da Ilegitimidade Passiva: Rejeito a preliminar de ilegitimidade passiva. Adoto a Teoria da Asserção, segundo a qual as condições da ação são aferidas a partir das alegações contidas na petição inicial. A parte autora imputa ao Banco do Brasil S.A. a responsabilidade pela falha na prestação de serviço de administração de sua conta PASEP, o que, em tese, o legitima para figurar no polo passivo da demanda, conforme entendimento consolidado no Tema 1150 do STJ.</w:t>
      </w:r>
    </w:p>
    <w:p w14:paraId="4269693A" w14:textId="77777777" w:rsidR="002D5B03" w:rsidRDefault="002D5B03" w:rsidP="002D5B03"/>
    <w:p w14:paraId="145B6FCE" w14:textId="0E6DDC74" w:rsidR="002D5B03" w:rsidRDefault="00045A24" w:rsidP="002D5B03">
      <w:r>
        <w:t xml:space="preserve">3) </w:t>
      </w:r>
      <w:r w:rsidR="002D5B03">
        <w:t xml:space="preserve">Da Prescrição: Rejeito a preliminar de prescrição. Aplica-se ao caso o prazo prescricional decenal previsto no artigo 205 do Código Civil, cujo termo inicial é a data da ciência inequívoca do dano pela parte titular da conta, em aplicação da teoria da </w:t>
      </w:r>
      <w:r>
        <w:t>“</w:t>
      </w:r>
      <w:proofErr w:type="spellStart"/>
      <w:r w:rsidR="002D5B03">
        <w:t>actio</w:t>
      </w:r>
      <w:proofErr w:type="spellEnd"/>
      <w:r w:rsidR="002D5B03">
        <w:t xml:space="preserve"> nata</w:t>
      </w:r>
      <w:r>
        <w:t>”</w:t>
      </w:r>
      <w:r w:rsidR="002D5B03">
        <w:t>. No presente caso, a autora teve ciência da lesão ao seu direito apenas quando solicitou os extratos detalhados recentemente, não havendo que se falar em prescrição da pretensão.</w:t>
      </w:r>
    </w:p>
    <w:p w14:paraId="12DCEE4E" w14:textId="77777777" w:rsidR="002D5B03" w:rsidRDefault="002D5B03" w:rsidP="002D5B03"/>
    <w:p w14:paraId="40AEF037" w14:textId="18AB9F78" w:rsidR="002D5B03" w:rsidRDefault="00045A24" w:rsidP="002D5B03">
      <w:r>
        <w:t xml:space="preserve">4) </w:t>
      </w:r>
      <w:r w:rsidR="002D5B03">
        <w:t>Da Incompetência da Justiça Estadual: Rejeito a preliminar de incompetência. A ação foi proposta exclusivamente em face do Banco do Brasil S.A., sociedade de economia mista, por suposta falha na gestão da conta. Não havendo a União no polo passivo, a competência para processar e julgar o feito é da Justiça Estadual.</w:t>
      </w:r>
    </w:p>
    <w:p w14:paraId="12424B92" w14:textId="77777777" w:rsidR="002D5B03" w:rsidRDefault="002D5B03" w:rsidP="002D5B03"/>
    <w:p w14:paraId="1459CE7F" w14:textId="6106B9CA" w:rsidR="002D5B03" w:rsidRDefault="00045A24" w:rsidP="0091420F">
      <w:r>
        <w:t xml:space="preserve">5) </w:t>
      </w:r>
      <w:r w:rsidR="002D5B03">
        <w:t>Da Impugnação à Gratuidade de Justiça: Rejeito a impugnação. A parte ré não apresentou provas concretas que infirmem a presunção de veracidade da declaração de hipossuficiência apresentada pela autora, a qual, por si só, é suficiente para a concessão do benefício, nos termos do art. 99, §3º do CPC. Portanto, mantenho a gratuidade de justiça deferida.</w:t>
      </w:r>
    </w:p>
    <w:p w14:paraId="5453A94A" w14:textId="77777777" w:rsidR="002D5B03" w:rsidRDefault="002D5B03" w:rsidP="0091420F"/>
    <w:p w14:paraId="382BBBBE" w14:textId="75D4B8B2" w:rsidR="002D5B03" w:rsidRDefault="0091420F" w:rsidP="0091420F">
      <w:r>
        <w:t xml:space="preserve">6) </w:t>
      </w:r>
      <w:r w:rsidR="00045A24">
        <w:t>Ultrapassadas, assim, as preliminares, f</w:t>
      </w:r>
      <w:r w:rsidR="002D5B03">
        <w:t>ixo como ponto controvertido a existência de falha na prestação do serviço pelo banco réu na administração da conta PASEP da autora, especificamente quanto à correta aplicação dos índices de correção monetária, expurgos inflacionários, juros e demais encargos legais, e a existência de eventuais saques ou débitos indevidos que resultaram em dano material e moral.</w:t>
      </w:r>
    </w:p>
    <w:p w14:paraId="00CE337B" w14:textId="77777777" w:rsidR="002D5B03" w:rsidRDefault="002D5B03" w:rsidP="0091420F"/>
    <w:p w14:paraId="75716237" w14:textId="4414B019" w:rsidR="0091420F" w:rsidRDefault="0091420F" w:rsidP="0091420F">
      <w:r>
        <w:t xml:space="preserve">7) </w:t>
      </w:r>
      <w:r w:rsidRPr="0091420F">
        <w:t xml:space="preserve">A parte ré requereu a produção de prova pericial contábil. A parte autora, por sua vez, após um requerimento genérico na réplica, pugnou pelo julgamento antecipado do mérito. </w:t>
      </w:r>
    </w:p>
    <w:p w14:paraId="1814F48A" w14:textId="77777777" w:rsidR="0091420F" w:rsidRDefault="0091420F" w:rsidP="0091420F"/>
    <w:p w14:paraId="2771E2D3" w14:textId="529E2597" w:rsidR="0091420F" w:rsidRDefault="0091420F" w:rsidP="0091420F">
      <w:r w:rsidRPr="0091420F">
        <w:lastRenderedPageBreak/>
        <w:t>Contudo, considerando a complexidade da matéria e a controvérsia sobre os cálculos, a prova pericial é essencial para o deslinde do feito, razão pela qual defiro a sua produção.</w:t>
      </w:r>
    </w:p>
    <w:p w14:paraId="5886D4BB" w14:textId="77777777" w:rsidR="0091420F" w:rsidRPr="0091420F" w:rsidRDefault="0091420F" w:rsidP="0091420F"/>
    <w:p w14:paraId="57178DFF" w14:textId="77777777" w:rsidR="0091420F" w:rsidRDefault="0091420F" w:rsidP="0091420F">
      <w:r w:rsidRPr="0091420F">
        <w:t xml:space="preserve">Para tanto, nomeio perito o Dr. Luis Renato Soares </w:t>
      </w:r>
      <w:proofErr w:type="spellStart"/>
      <w:r w:rsidRPr="0091420F">
        <w:t>Ritton</w:t>
      </w:r>
      <w:proofErr w:type="spellEnd"/>
      <w:r w:rsidRPr="0091420F">
        <w:t>, cujo contato é renato.ritton@terra.com.br, com formação específica em Contabilidade.</w:t>
      </w:r>
    </w:p>
    <w:p w14:paraId="41A37E6E" w14:textId="77777777" w:rsidR="0091420F" w:rsidRPr="0091420F" w:rsidRDefault="0091420F" w:rsidP="0091420F"/>
    <w:p w14:paraId="3DAF4535" w14:textId="77777777" w:rsidR="0091420F" w:rsidRDefault="0091420F" w:rsidP="0091420F">
      <w:r w:rsidRPr="0091420F">
        <w:t>Intime-se o mesmo para a aceitação do encargo e proposta de honorários, no prazo de 5 dias, apresentando o seu currículo resumido, na forma do artigo 465, § 2º, do CPC.</w:t>
      </w:r>
    </w:p>
    <w:p w14:paraId="0FB58F0F" w14:textId="77777777" w:rsidR="0091420F" w:rsidRPr="0091420F" w:rsidRDefault="0091420F" w:rsidP="0091420F"/>
    <w:p w14:paraId="07FEC65E" w14:textId="77777777" w:rsidR="0091420F" w:rsidRPr="0091420F" w:rsidRDefault="0091420F" w:rsidP="0091420F">
      <w:r w:rsidRPr="0091420F">
        <w:t>Sobre a proposta de honorários, as partes deverão se manifestar em 5 dias.</w:t>
      </w:r>
    </w:p>
    <w:p w14:paraId="540CBBE5" w14:textId="77777777" w:rsidR="0091420F" w:rsidRDefault="0091420F" w:rsidP="0091420F">
      <w:r w:rsidRPr="0091420F">
        <w:t>Venham os quesitos e indicação de eventuais assistentes técnicos no prazo de 15 dias, como previsto no artigo 465, § 1º, do CPC.</w:t>
      </w:r>
    </w:p>
    <w:p w14:paraId="3C2B5E6C" w14:textId="77777777" w:rsidR="0091420F" w:rsidRPr="0091420F" w:rsidRDefault="0091420F" w:rsidP="0091420F"/>
    <w:p w14:paraId="07911F6E" w14:textId="77777777" w:rsidR="0091420F" w:rsidRPr="0091420F" w:rsidRDefault="0091420F" w:rsidP="0091420F">
      <w:r w:rsidRPr="0091420F">
        <w:t>Fixo o prazo de 30 dias para a entrega do laudo. O laudo deverá observar os requisitos do artigo 473, do CPC, limitando-se ao esclarecimento das questões fáticas sob análise.</w:t>
      </w:r>
    </w:p>
    <w:p w14:paraId="433B6839" w14:textId="77777777" w:rsidR="0091420F" w:rsidRDefault="0091420F" w:rsidP="0091420F"/>
    <w:p w14:paraId="656F6D44" w14:textId="6BA98C86" w:rsidR="0091420F" w:rsidRDefault="0091420F" w:rsidP="0091420F">
      <w:r>
        <w:t xml:space="preserve">7) </w:t>
      </w:r>
      <w:r w:rsidRPr="0091420F">
        <w:t>Com a juntada do laudo, as partes sobre ele deverão se manifestar em 15 dias (artigo 477, do CPC).</w:t>
      </w:r>
    </w:p>
    <w:p w14:paraId="255CA07E" w14:textId="77777777" w:rsidR="0091420F" w:rsidRPr="0091420F" w:rsidRDefault="0091420F" w:rsidP="0091420F"/>
    <w:p w14:paraId="7EBFAD48" w14:textId="77777777" w:rsidR="0091420F" w:rsidRPr="0091420F" w:rsidRDefault="0091420F" w:rsidP="0091420F">
      <w:r w:rsidRPr="0091420F">
        <w:t>Intimem-se.</w:t>
      </w:r>
    </w:p>
    <w:p w14:paraId="265A42A5" w14:textId="77777777" w:rsidR="0091420F" w:rsidRDefault="0091420F" w:rsidP="0091420F"/>
    <w:sectPr w:rsidR="009142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5389"/>
    <w:multiLevelType w:val="multilevel"/>
    <w:tmpl w:val="11EA9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2D0D7B"/>
    <w:multiLevelType w:val="multilevel"/>
    <w:tmpl w:val="CF5CA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1619746">
    <w:abstractNumId w:val="1"/>
  </w:num>
  <w:num w:numId="2" w16cid:durableId="73860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E9A"/>
    <w:rsid w:val="00045A24"/>
    <w:rsid w:val="0014652F"/>
    <w:rsid w:val="00190630"/>
    <w:rsid w:val="002D5B03"/>
    <w:rsid w:val="004241BE"/>
    <w:rsid w:val="00514D5C"/>
    <w:rsid w:val="005703E4"/>
    <w:rsid w:val="00637E96"/>
    <w:rsid w:val="008A4BB2"/>
    <w:rsid w:val="0091420F"/>
    <w:rsid w:val="00A05D41"/>
    <w:rsid w:val="00B32E9A"/>
    <w:rsid w:val="00D86B1A"/>
    <w:rsid w:val="00E23744"/>
    <w:rsid w:val="00EF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B4E56"/>
  <w15:chartTrackingRefBased/>
  <w15:docId w15:val="{26C293AF-C4A1-4C45-95A1-5C3A61B75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2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2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2E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2E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2E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2E9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2E9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2E9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2E9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2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2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2E9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2E9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2E9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2E9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2E9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2E9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2E9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2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2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2E9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2E9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2E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2E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2E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2E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2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2E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2E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0630"/>
  </w:style>
  <w:style w:type="character" w:styleId="Hyperlink">
    <w:name w:val="Hyperlink"/>
    <w:basedOn w:val="Fontepargpadro"/>
    <w:uiPriority w:val="99"/>
    <w:unhideWhenUsed/>
    <w:rsid w:val="00045A2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45A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602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Luiz Simões da Silva Junior</dc:creator>
  <cp:keywords/>
  <dc:description/>
  <cp:lastModifiedBy>Oswaldo Luiz Simões da Silva Junior</cp:lastModifiedBy>
  <cp:revision>1</cp:revision>
  <dcterms:created xsi:type="dcterms:W3CDTF">2025-10-02T17:23:00Z</dcterms:created>
  <dcterms:modified xsi:type="dcterms:W3CDTF">2025-10-02T18:55:00Z</dcterms:modified>
</cp:coreProperties>
</file>