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Trata-se de Ação Declaratória de Inexistência de Débito c/c Revisional de Contas, Repetição de Indébito e Indenização por Danos Morais ajuizada por [AUTORA] em face de [RÉ].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Na inicial, sustenta a parte autora ser titular da matrícula nº [MATRÍCULA] e que a média histórica de consumo da unidade gira em torno de [MÉDIA HISTÓRICA], correspondente ao valor aproximado de [VALOR MÉDIO]. Narra que, após demanda judicial anterior envolvendo a mesma unidade consumidora, a concessionária ré voltou a emitir faturas excessivas e dissociadas do perfil de consumo do imóvel, indicando as competências de [COMPETÊNCIAS IMPUGNADAS], além de referir, conforme o caso, parcelamento compulsório e/ou corte indevido do fornecimento de água. Requer tutela de urgência para impedir nova interrupção do serviço e, no mérito, a declaração de inexigibilidade do excedente, o refaturamento das contas, a restituição em dobro e a compensação por danos morais.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A inicial veio instruída com os documentos do [EVENTO/ID INICIAL], destacando-se as faturas impugnadas, os protocolos de atendimento administrativo, os comprovantes pertinentes ao parcelamento ou religação, quando existentes, e a documentação do processo anterior relativo à mesma unidade consumidora.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Por decisão de [EVENTO/ID TUTELA], foi deferida a gratuidade de justiça e a tutela de urgência, para determinar que a ré se abstivesse de interromper o fornecimento de água em razão dos débitos controvertidos, bem como para autorizar o depósito do valor incontroverso, nos termos então fixados pelo Juízo.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A parte autora comprovou os depósitos judiciais de [EVENTOS/IDs DOS DEPÓSITOS], se existentes.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Regularmente citada, a ré apresentou contestação em [EVENTO/ID CONTESTAÇÃO], sustentando, em síntese, a regularidade das cobranças, a legalidade do faturamento por média ou por acúmulo de leitura, a inexistência de falha na prestação do serviço, a validade do parcelamento, quando existente, e a improcedência dos pedidos autorais.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[EVENTUAL PETIÇÃO DE CUMPRIMENTO DA TUTELA OU ANOTAÇÃO DE PATRONO].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Por decisão de [EVENTO/ID RÉPLICA/PROVAS], foi aberta vista em réplica e ambas as partes foram intimadas a especificar, de forma objetiva e justificada, as provas que pretendiam produzir.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[REGISTRO SOBRE A DISPENSA DE PROVAS PELAS PARTES E A RÉPLICA].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É o relatório. Decido.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Não havendo questões preliminares a apreciar e presentes os pressupostos processuais e as condições da ação, passo a analisar o mérito. O feito comporta julgamento antecipado, na forma do artigo 355, inciso I, do Código de Processo Civil, porquanto a matéria debatida é suficientemente esclarecida pelo acervo documental já carreado aos autos, notadamente quando as partes dispensam nova instrução.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A relação jurídica travada entre as partes é de consumo, enquadrando-se a parte autora no conceito de consumidora e a ré no de fornecedora de serviço público essencial, na forma dos artigos 2º e 3º da Lei nº 8.078/90. Incide, portanto, a responsabilidade objetiva prevista no artigo 14 do Código de Defesa do Consumidor.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A controvérsia central da lide reside na legalidade e regularidade das cobranças efetuadas pela concessionária ré nas competências impugnadas, bem como, conforme o caso, na validade do parcelamento firmado após o corte do serviço, à luz da média histórica de consumo apontada pela autora e da reiteração de anomalias na mesma unidade consumidora.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Nos termos do artigo 373, inciso II, do Código de Processo Civil, incumbia à ré demonstrar tecnicamente a regularidade da medição, a efetiva ocorrência de consumo extraordinário ou a existência de vazamento interno apto a justificar a elevação abrupta das faturas. Não se trata, nesta fase sentencial, de deferir originariamente a inversão do ônus da prova, mas de reconhecer que a prova da correção das leituras e do faturamento se encontra concretamente sob controle exclusivo da concessionária.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A sentença proferida no processo anterior referente à mesma unidade consumidora não projeta, por si só, coisa julgada material sobre competências novas, mas constitui relevante elemento de contexto, na medida em que evidencia a recorrência de anomalias de faturamento na mesma matrícula. O convencimento judicial, todavia, decorre dos documentos da presente demanda, que revelam nova sequência de cobranças discrepantes, sem correspondente respaldo técnico da ré.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Tampouco procede a invocação da Súmula 330 do TJRJ, pois a parte autora trouxe prova mínima do fato constitutivo de seu direito, instruindo a inicial com as faturas controvertidas, os registros de atendimento e a documentação pertinente ao histórico da unidade. O que faltou foi justamente a contraprova técnica da concessionária.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Prevalece, assim, a narrativa autoral, corroborada pelas faturas juntadas e pelo histórico do imóvel, impondo-se o reconhecimento da abusividade das cobranças que excederem a média histórica demonstrada nos autos, com o consequente refaturamento das contas impugnadas.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Se houver parcelamento firmado para restabelecimento do serviço essencial ou após corte indevido, sua validade deve ser examinada à luz do contexto em que celebrado. Sendo indevido o principal, e estando evidenciado que o ajuste decorreu de situação de necessidade criada pela própria cobrança controvertida, não subsiste o acessório a ele vinculado.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A repetição do indébito é cabível em relação aos valores comprovadamente pagos em excesso, inclusive às quantias desembolsadas em razão de parcelamento compulsório e a eventuais tarifas de corte e religação vinculadas aos débitos afastados, desde que não caracterizado engano justificável.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Quanto aos danos morais, a hipótese ultrapassa o mero aborrecimento quando presentes a reiteração do ilícito, a interrupção indevida do fornecimento de água, o desgaste administrativo excessivo ou a nova necessidade de judicialização para o mesmo problema. Nesses casos, o dano extrapatrimonial decorre da própria falha grave na prestação de serviço essencial.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Posto isso, JULGO PROCEDENTES os pedidos, extinguindo o processo com resolucao do merito, na forma do art. 487, inciso I, do Codigo de Processo Civil, para: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1) CONFIRMAR a tutela de urgencia deferida em [EVENTO/ID TUTELA], tornando-a definitiva;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2) DECLARAR a inexistencia do debito excedente ao valor correspondente a media historica de consumo apurada nos autos, nas faturas referentes a [COMPETENCIAS IMPUGNADAS], determinando que a re proceda ao refaturamento das mesmas pela media historica reconhecida nesta demanda, sem incidencia de juros ou multa sobre o novo valor;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3) [SE HOUVER] DECLARAR a nulidade do parcelamento firmado em razao dos debitos controvertidos;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4) [SE HOUVER] CONDENAR a re a restituir, em dobro, os valores eventualmente pagos a maior pela parte autora, inclusive os valores vinculados ao parcelamento compulsorio e eventuais tarifas de corte e religacao, tudo a ser apurado em liquidacao por simples calculos, observada a compensacao dos depositos judiciais ou valores incontroversos ja pagos, com correcao monetaria pelo IPCA a partir de cada desembolso e juros de mora pela taxa legal, na forma do art. 406, paragrafo 1o, do Codigo Civil, a contar da citacao;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5) CONDENAR a re ao pagamento de indenizacao por danos morais em valor compativel com os principios da razoabilidade e da proporcionalidade, com correcao monetaria pelo IPCA a partir do arbitramento e juros de mora pela taxa legal, na forma do art. 406, paragrafo 1o, do Codigo Civil, a contar da citacao.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Condeno a re ao pagamento das custas processuais e honorarios advocaticios, que fixo em 10% sobre o valor da condenacao, na forma do art. 85, paragrafo 2o, do Codigo de Processo Civil.</w:t>
      </w:r>
    </w:p>
    <w:p>
      <w:pPr>
        <w:spacing w:after="0" w:before="0" w:line="276" w:lineRule="auto"/>
        <w:ind w:firstLine="560"/>
        <w:jc w:val="both"/>
      </w:pPr>
      <w:r>
        <w:rPr>
          <w:rFonts w:ascii="Times New Roman" w:hAnsi="Times New Roman" w:eastAsia="Times New Roman"/>
          <w:b w:val="0"/>
          <w:sz w:val="24"/>
        </w:rPr>
        <w:t>Publique-se. Intimem-se.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