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AEDE8" w14:textId="77777777" w:rsidR="008A21B8" w:rsidRPr="0008258E" w:rsidRDefault="008A21B8" w:rsidP="0008258E">
      <w:pPr>
        <w:spacing w:before="480" w:after="480"/>
        <w:jc w:val="both"/>
      </w:pPr>
      <w:r w:rsidRPr="0008258E">
        <w:t>Trata-se de ação monitória ajuizada por VITORIA REEFER REFRIGERACAO E MANUTENCAO LTDA em face de NUTRIPLUS ALIMENTACAO E TECNOLOGIA LTDA. Narra o autor, em síntese, que prestou serviços à ré, os quais deram origem a diversas notas fiscais que, somadas, totalizam um débito de R$ 13.840,40. Sustenta que, apesar das tentativas de cobrança extrajudicial, a ré não adimpliu a obrigação. Requer, ao final, a expedição de mandado de pagamento para a quantia devida, acrescida dos consectários legais, a condenação da ré ao pagamento de indenização por danos morais, e a conversão do mandado em título executivo judicial em caso de não pagamento ou oposição de embargos.</w:t>
      </w:r>
    </w:p>
    <w:p w14:paraId="7475DA1C" w14:textId="77777777" w:rsidR="008A21B8" w:rsidRPr="0008258E" w:rsidRDefault="008A21B8" w:rsidP="0008258E">
      <w:pPr>
        <w:spacing w:before="480" w:after="480"/>
        <w:jc w:val="both"/>
      </w:pPr>
      <w:r w:rsidRPr="0008258E">
        <w:t>A petição inicial (ID 97583335) veio instruída com os seguintes documentos e respectivos indexadores: CNH Digital (ID 97583343); Procuração (IDs 97583346 e 97583348); E-mails de cobrança (ID 97586413); Boletos referentes às Notas Fiscais nº 468, 498, 518, 536 e 00571 (IDs 97586415, 97586416, 97586417, 97586419, 97586420); e as respectivas Notas Fiscais de Serviço (IDs 97586432, 97586433, 97586434, 97586435, 97586436, 97586437).</w:t>
      </w:r>
    </w:p>
    <w:p w14:paraId="683D55B0" w14:textId="77777777" w:rsidR="008A21B8" w:rsidRPr="0008258E" w:rsidRDefault="008A21B8" w:rsidP="0008258E">
      <w:pPr>
        <w:spacing w:before="480" w:after="480"/>
        <w:jc w:val="both"/>
      </w:pPr>
      <w:r w:rsidRPr="0008258E">
        <w:t xml:space="preserve">Despacho inicial (ID 117326039) determinou a expedição de mandado de citação e pagamento. </w:t>
      </w:r>
    </w:p>
    <w:p w14:paraId="140D21F9" w14:textId="77777777" w:rsidR="008A21B8" w:rsidRPr="0008258E" w:rsidRDefault="008A21B8" w:rsidP="0008258E">
      <w:pPr>
        <w:spacing w:before="480" w:after="480"/>
        <w:jc w:val="both"/>
      </w:pPr>
      <w:r w:rsidRPr="0008258E">
        <w:t>Citada, a ré apresentou embargos monitórios no ID 139995239. Preliminarmente, requereu a concessão da gratuidade de justiça, alegando dificuldades financeiras. No mérito, sustentou, em síntese: a) a insuficiência da prova escrita, porquanto as notas fiscais e mensagens eletrônicas não demonstram de forma inequívoca o débito ; b) o pagamento parcial da dívida, referente à Nota Fiscal nº 498, no valor de R$ 2.100,00 ; e c) a inocorrência de danos morais, por se tratar de pessoa jurídica e não haver prova de lesão à sua honra objetiva. Requereu a improcedência dos pedidos.</w:t>
      </w:r>
    </w:p>
    <w:p w14:paraId="56DD098C" w14:textId="77777777" w:rsidR="008A21B8" w:rsidRPr="0008258E" w:rsidRDefault="008A21B8" w:rsidP="0008258E">
      <w:pPr>
        <w:spacing w:before="480" w:after="480"/>
        <w:jc w:val="both"/>
      </w:pPr>
      <w:r w:rsidRPr="0008258E">
        <w:t xml:space="preserve">A contestação (embargos) veio instruída com os seguintes documentos e respectivos indexadores: Procuração (ID 139995245); 74ª Alteração Contratual (ID 139995247); Balancete Patrimonial 2022 (ID 139995242); Declaração de Faturamento 2024 (ID 139995241) ; e Comprovante de Pagamento PIX (ID 139995243). </w:t>
      </w:r>
    </w:p>
    <w:p w14:paraId="78C4339F" w14:textId="77777777" w:rsidR="008A21B8" w:rsidRPr="0008258E" w:rsidRDefault="008A21B8" w:rsidP="0008258E">
      <w:pPr>
        <w:spacing w:before="480" w:after="480"/>
        <w:jc w:val="both"/>
      </w:pPr>
      <w:r w:rsidRPr="0008258E">
        <w:t xml:space="preserve">O autor apresentou impugnação aos embargos (ID 176859441), refutando as alegações da ré. Especificamente quanto ao pagamento alegado, argumentou que o comprovante juntado (ID 139995243) se refere a uma dívida pretérita e já quitada (NF 00413), estranha à lide, o que foi corroborado por e-mail de negociação anterior (ID 176859442). Impugnou, ainda, o pedido de gratuidade de justiça e reiterou o pleito de danos morais. </w:t>
      </w:r>
    </w:p>
    <w:p w14:paraId="19FD4CF5" w14:textId="23495DC0" w:rsidR="008A21B8" w:rsidRPr="0008258E" w:rsidRDefault="008A21B8" w:rsidP="0008258E">
      <w:pPr>
        <w:spacing w:before="480" w:after="480"/>
        <w:jc w:val="both"/>
      </w:pPr>
      <w:r w:rsidRPr="0008258E">
        <w:t>Por meio do Ato Ordinatório de ID 176439506, as partes foram intimadas a se manifestarem sobre a produção de provas. A parte autora manifestou seu desinteresse na produção de novas provas (ID 182267051)</w:t>
      </w:r>
      <w:r w:rsidR="00584C68">
        <w:t>,</w:t>
      </w:r>
      <w:r w:rsidRPr="0008258E">
        <w:t xml:space="preserve"> enquanto a parte ré permaneceu inerte, conforme certidão de ID 195884051. </w:t>
      </w:r>
    </w:p>
    <w:p w14:paraId="257DFF97" w14:textId="77777777" w:rsidR="008A21B8" w:rsidRPr="0008258E" w:rsidRDefault="008A21B8" w:rsidP="0008258E">
      <w:pPr>
        <w:spacing w:before="480" w:after="480"/>
        <w:jc w:val="both"/>
      </w:pPr>
      <w:r w:rsidRPr="0008258E">
        <w:t>É o relatório. Decido.</w:t>
      </w:r>
    </w:p>
    <w:p w14:paraId="6C076481" w14:textId="77777777" w:rsidR="008A21B8" w:rsidRPr="0008258E" w:rsidRDefault="008A21B8" w:rsidP="0008258E">
      <w:pPr>
        <w:spacing w:before="480" w:after="480"/>
        <w:jc w:val="both"/>
      </w:pPr>
      <w:r w:rsidRPr="0008258E">
        <w:lastRenderedPageBreak/>
        <w:t>Inicialmente, analiso o pedido de gratuidade de justiça formulado pela ré. A concessão do benefício para pessoa jurídica, ainda que não vise o lucro, exige a comprovação da impossibilidade de arcar com as despesas processuais, nos termos da Súmula 481 do Superior Tribunal de Justiça. No caso, a ré, NUTRIPLUS ALIMENTACAO E TECNOLOGIA LTDA., é uma sociedade anônima de grande porte, com atuação em âmbito nacional e diversas filiais, conforme se depreende de seus atos constitutivos (ID 139995247). A documentação financeira juntada, como o balancete (ID 139995242) e a declaração de faturamento que aponta receita de R$ 501.465,31 apenas no mês de janeiro de 2024 (ID 139995241), não demonstra a alegada hipossuficiência. Pelo contrário, revela capacidade econômica incompatível com o benefício pleiteado. A alegação genérica de crise financeira, desacompanhada de prova cabal da impossibilidade de arcar com os custos do processo, não autoriza a concessão da benesse. Pelas mesmas razões, indefiro o pedido subsidiário de recolhimento das custas ao final.</w:t>
      </w:r>
    </w:p>
    <w:p w14:paraId="72A7A16C" w14:textId="77777777" w:rsidR="008A21B8" w:rsidRPr="0008258E" w:rsidRDefault="008A21B8" w:rsidP="0008258E">
      <w:pPr>
        <w:spacing w:before="480" w:after="480"/>
        <w:jc w:val="both"/>
      </w:pPr>
      <w:r w:rsidRPr="0008258E">
        <w:t xml:space="preserve">Não havendo outras questões preliminares a apreciar, e presentes os pressupostos processuais e as condições da ação, passo a analisar o mérito. A causa comporta julgamento antecipado do mérito, nos termos do artigo 355, inciso I, do Código de Processo Civil, porquanto a matéria de fato relevante para o deslinde da controvérsia encontra-se suficientemente comprovada pelos documentos acostados aos autos, sendo desnecessária a produção de outras provas, sobre as quais a parte autora manifestou desinteresse e a ré silenciou. </w:t>
      </w:r>
    </w:p>
    <w:p w14:paraId="23E8901E" w14:textId="77777777" w:rsidR="008A21B8" w:rsidRPr="0008258E" w:rsidRDefault="008A21B8" w:rsidP="0008258E">
      <w:pPr>
        <w:spacing w:before="480" w:after="480"/>
        <w:jc w:val="both"/>
      </w:pPr>
      <w:r w:rsidRPr="0008258E">
        <w:t>A controvérsia central cinge-se em verificar se a prova escrita apresentada pelo autor é suficiente para constituir o crédito monitório e se a ré logrou comprovar fato impeditivo, modificativo ou extintivo do direito do autor, notadamente o pagamento parcial da dívida.</w:t>
      </w:r>
    </w:p>
    <w:p w14:paraId="2BED8752" w14:textId="77777777" w:rsidR="008A21B8" w:rsidRPr="0008258E" w:rsidRDefault="008A21B8" w:rsidP="0008258E">
      <w:pPr>
        <w:spacing w:before="480" w:after="480"/>
        <w:jc w:val="both"/>
      </w:pPr>
      <w:r w:rsidRPr="0008258E">
        <w:t>A relação jurídica entre as partes é regida primordialmente pelas normas do Código Civil. Nos termos do artigo 700 do Código de Processo Civil, a ação monitória compete a quem pretender, com base em prova escrita sem eficácia de título executivo, pagamento de soma em dinheiro. Com efeito, a parte autora instruiu sua petição inicial com cópias das notas fiscais de serviço (IDs 97586432 a 97586437) e dos respectivos boletos bancários (IDs 97586415 a 97586420), além de e-mails de cobrança (ID 97586413), documentos que, em conjunto, constituem prova escrita idônea para o ajuizamento da presente ação.</w:t>
      </w:r>
    </w:p>
    <w:p w14:paraId="526D2603" w14:textId="77777777" w:rsidR="008A21B8" w:rsidRPr="0008258E" w:rsidRDefault="008A21B8" w:rsidP="0008258E">
      <w:pPr>
        <w:spacing w:before="480" w:after="480"/>
        <w:jc w:val="both"/>
      </w:pPr>
      <w:r w:rsidRPr="0008258E">
        <w:t>Nos termos do artigo 373 do Código de Processo Civil, incumbe à parte autora o ônus de provar o fato constitutivo de seu direito (inciso I), enquanto ao réu incumbe o ônus da prova quanto à existência de fato impeditivo, modificativo ou extintivo do direito do autor (inciso II). Nesse contexto, cabia à parte autora comprovar a relação jurídica e a existência do crédito, o que fez por meio dos documentos mencionados. Por outro lado, cabia à parte ré, em seus embargos, comprovar o pagamento ou a inexigibilidade da dívida.</w:t>
      </w:r>
    </w:p>
    <w:p w14:paraId="40581708" w14:textId="4E934D81" w:rsidR="008A21B8" w:rsidRPr="0008258E" w:rsidRDefault="008A21B8" w:rsidP="0008258E">
      <w:pPr>
        <w:spacing w:before="480" w:after="480"/>
        <w:jc w:val="both"/>
      </w:pPr>
      <w:r w:rsidRPr="0008258E">
        <w:t>A embargante não nega a existência de relação comercial com a autora</w:t>
      </w:r>
      <w:r w:rsidR="00584C68">
        <w:t>,</w:t>
      </w:r>
      <w:r w:rsidRPr="0008258E">
        <w:t xml:space="preserve"> mas alega o pagamento parcial do débito, especificamente quanto à Nota Fiscal nº 498. Para tanto, junta o comprovante de uma transferência PIX no valor de R$ 2.100,00, realizada em 18/05/2021 (ID 139995243). Contudo, a tese defensiva não se sustenta. A parte autora, em sua impugnação (ID 176859441), demonstrou de forma convincente que o referido pagamento é estranho à dívida cobrada nestes autos. O e-mail anexado no ID 176859442, datado de 12/04/2021, evidencia uma negociação </w:t>
      </w:r>
      <w:r w:rsidRPr="0008258E">
        <w:lastRenderedPageBreak/>
        <w:t>anterior referente a outras notas fiscais (NF 00413, 00432 e 00449), cujo valor total era de R$ 6.300,00. Ademais, o próprio comprovante de pagamento foi emitido por um terceiro, a empresa "MERIDIONAL LOC VEICULOS LTDA" (ID 139995243), e não contém qualquer menção ou vínculo com a Nota Fiscal nº 498 ou com a dívida ora discutida. A ré não se desincumbiu do ônus de provar que tal pagamento se destinava a quitar o débito em aberto, sendo sua alegação de "não ter mais acesso ao banco" (ID 139995243) uma justificativa frágil e inaceitável.</w:t>
      </w:r>
    </w:p>
    <w:p w14:paraId="274AB4EE" w14:textId="6F1E8AAD" w:rsidR="008A21B8" w:rsidRPr="0008258E" w:rsidRDefault="008A21B8" w:rsidP="00584C68">
      <w:pPr>
        <w:spacing w:before="480" w:after="480"/>
        <w:jc w:val="both"/>
      </w:pPr>
      <w:r w:rsidRPr="0008258E">
        <w:t xml:space="preserve">Dessa forma, demonstrada a existência da relação jurídica e a emissão das notas fiscais, e não tendo a embargante comprovado o pagamento, impõe-se a rejeição dos embargos monitórios neste ponto. </w:t>
      </w:r>
    </w:p>
    <w:p w14:paraId="780BD69D" w14:textId="77777777" w:rsidR="008A21B8" w:rsidRPr="0008258E" w:rsidRDefault="008A21B8" w:rsidP="0008258E">
      <w:pPr>
        <w:spacing w:before="480" w:after="480"/>
        <w:jc w:val="both"/>
      </w:pPr>
      <w:r w:rsidRPr="0008258E">
        <w:t>Por conseguinte, o pleito de cobrança do valor principal de R$ 13.840,40, conforme reconhecido pela própria ré em sua peça de embargos como sendo o valor pleiteado, deve ser acolhido.</w:t>
      </w:r>
    </w:p>
    <w:p w14:paraId="12E0D458" w14:textId="49F74B62" w:rsidR="00562D7D" w:rsidRDefault="008A21B8" w:rsidP="0008258E">
      <w:pPr>
        <w:spacing w:before="480" w:after="480"/>
        <w:jc w:val="both"/>
      </w:pPr>
      <w:r w:rsidRPr="0008258E">
        <w:t xml:space="preserve">Quanto ao pedido de indenização por danos morais, contudo, </w:t>
      </w:r>
      <w:r w:rsidR="00562D7D">
        <w:t xml:space="preserve">melhor </w:t>
      </w:r>
      <w:r w:rsidRPr="0008258E">
        <w:t xml:space="preserve">sorte não assiste ao autor. </w:t>
      </w:r>
    </w:p>
    <w:p w14:paraId="242012AF" w14:textId="77777777" w:rsidR="00562D7D" w:rsidRDefault="008A21B8" w:rsidP="0008258E">
      <w:pPr>
        <w:spacing w:before="480" w:after="480"/>
        <w:jc w:val="both"/>
      </w:pPr>
      <w:r w:rsidRPr="0008258E">
        <w:t xml:space="preserve">Embora o inadimplemento contratual gere inegáveis aborrecimentos, para a pessoa jurídica, o dano moral não se presume (dano in re ipsa), exigindo prova de efetiva lesão à sua honra objetiva, ou seja, ao seu nome, reputação, credibilidade ou imagem perante o mercado. É o que dispõe a Súmula 227 do STJ. </w:t>
      </w:r>
    </w:p>
    <w:p w14:paraId="7935422A" w14:textId="2F13C2AC" w:rsidR="008A21B8" w:rsidRPr="0008258E" w:rsidRDefault="008A21B8" w:rsidP="0008258E">
      <w:pPr>
        <w:spacing w:before="480" w:after="480"/>
        <w:jc w:val="both"/>
      </w:pPr>
      <w:r w:rsidRPr="0008258E">
        <w:t>No caso dos autos, o autor não produziu qualquer prova de que a conduta da ré tenha maculado sua imagem ou causado abalo de crédito. A mera necessidade de ajuizamento de ação para cobrança de dívida, por si só, não configura dano moral indenizável no âmbito das relações comerciais, inserindo-se no risco da atividade empresarial. Portanto, o pedido de indenização por danos morais deve ser julgado improcedente.</w:t>
      </w:r>
    </w:p>
    <w:p w14:paraId="0507BD12" w14:textId="0427C351" w:rsidR="008A21B8" w:rsidRPr="0008258E" w:rsidRDefault="00562D7D" w:rsidP="0008258E">
      <w:pPr>
        <w:spacing w:before="480" w:after="480"/>
        <w:jc w:val="both"/>
      </w:pPr>
      <w:r>
        <w:t>Posto isso</w:t>
      </w:r>
      <w:r w:rsidR="008A21B8" w:rsidRPr="0008258E">
        <w:t>, JULGO PARCIALMENTE PROCEDENTE o(s) pedido(s) formulado(s) na petição inicial, resolvendo o mérito na forma do artigo 487, I, do Código de Processo Civil, para:</w:t>
      </w:r>
    </w:p>
    <w:p w14:paraId="14ED1922" w14:textId="77777777" w:rsidR="008A21B8" w:rsidRPr="0008258E" w:rsidRDefault="008A21B8" w:rsidP="0008258E">
      <w:pPr>
        <w:spacing w:before="480" w:after="480"/>
        <w:jc w:val="both"/>
      </w:pPr>
      <w:r w:rsidRPr="0008258E">
        <w:t>a) Rejeitar os embargos monitórios e, por conseguinte, constituir de pleno direito o título executivo judicial, nos termos do art. 702, §8º, do CPC, condenando a ré, NUTRIPLUS ALIMENTACAO E TECNOLOGIA LTDA., a pagar à autora, VITORIA REEFER REFRIGERACAO E MANUTENCAO LTDA, a quantia de R$ 13.840,40 (treze mil, oitocentos e quarenta reais e quarenta centavos).</w:t>
      </w:r>
    </w:p>
    <w:p w14:paraId="66E9ECAA" w14:textId="77777777" w:rsidR="008A21B8" w:rsidRPr="0008258E" w:rsidRDefault="008A21B8" w:rsidP="0008258E">
      <w:pPr>
        <w:spacing w:before="480" w:after="480"/>
        <w:jc w:val="both"/>
      </w:pPr>
      <w:r w:rsidRPr="0008258E">
        <w:t>b) O valor da condenação deverá ser corrigido monetariamente pelo Índice Nacional de Preços ao Consumidor Amplo (IPCA), a contar da data de vencimento de cada título que compõe o débito, e acrescido de juros de mora de 1% (um por cento) ao mês, nos termos do artigo 406 do Código Civil c/c o artigo 161, §1º, do Código Tributário Nacional, a partir da citação (art. 240, CPC).</w:t>
      </w:r>
    </w:p>
    <w:p w14:paraId="249291D1" w14:textId="77777777" w:rsidR="008A21B8" w:rsidRPr="0008258E" w:rsidRDefault="008A21B8" w:rsidP="0008258E">
      <w:pPr>
        <w:spacing w:before="480" w:after="480"/>
        <w:jc w:val="both"/>
      </w:pPr>
      <w:r w:rsidRPr="0008258E">
        <w:lastRenderedPageBreak/>
        <w:t xml:space="preserve">c) Considerando a sucumbência recíproca, mas em proporções distintas, condeno a parte ré ao pagamento de 80% das custas processuais e dos honorários advocatícios em favor do patrono da parte autora, que fixo em 10% (dez por cento) sobre o valor da condenação, na forma do art. 85, §2º, do CPC. </w:t>
      </w:r>
    </w:p>
    <w:p w14:paraId="37292241" w14:textId="3E3F7C5B" w:rsidR="008A21B8" w:rsidRPr="0008258E" w:rsidRDefault="008A21B8" w:rsidP="0008258E">
      <w:pPr>
        <w:spacing w:before="480" w:after="480"/>
        <w:jc w:val="both"/>
      </w:pPr>
      <w:r w:rsidRPr="0008258E">
        <w:t>Condeno a parte autora ao pagamento dos 20% restantes das custas e de honorários advocatícios em favor do patrono da parte ré, que fixo em 10% (dez por cento) sobre o valor do proveito econômico obtido pela ré (correspondente ao valor do pedido de dano moral julgado improcedente), vedada a compensação dos honorários, conforme dispõe o art. 85, §14, do CPC.</w:t>
      </w:r>
    </w:p>
    <w:p w14:paraId="4013F20D" w14:textId="77777777" w:rsidR="008A21B8" w:rsidRPr="0008258E" w:rsidRDefault="008A21B8" w:rsidP="0008258E">
      <w:pPr>
        <w:spacing w:before="480" w:after="480"/>
        <w:jc w:val="both"/>
      </w:pPr>
      <w:r w:rsidRPr="0008258E">
        <w:t>Publique-se. Registre-se. Intimem-se.</w:t>
      </w:r>
    </w:p>
    <w:p w14:paraId="5839BFC7" w14:textId="77777777" w:rsidR="008A21B8" w:rsidRPr="0008258E" w:rsidRDefault="008A21B8" w:rsidP="0008258E">
      <w:pPr>
        <w:spacing w:before="480" w:after="480"/>
        <w:jc w:val="both"/>
      </w:pPr>
      <w:r w:rsidRPr="0008258E">
        <w:t>Após o trânsito em julgado e cumpridas as formalidades legais, dê-se baixa e arquivem-se os autos.</w:t>
      </w:r>
    </w:p>
    <w:p w14:paraId="58126550" w14:textId="77777777" w:rsidR="00E23744" w:rsidRPr="0008258E" w:rsidRDefault="00E23744" w:rsidP="0008258E">
      <w:pPr>
        <w:spacing w:before="480" w:after="480"/>
        <w:jc w:val="both"/>
      </w:pPr>
    </w:p>
    <w:sectPr w:rsidR="00E23744" w:rsidRPr="000825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E0274"/>
    <w:multiLevelType w:val="multilevel"/>
    <w:tmpl w:val="BB927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470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B8"/>
    <w:rsid w:val="0008258E"/>
    <w:rsid w:val="00514D5C"/>
    <w:rsid w:val="00562D7D"/>
    <w:rsid w:val="005703E4"/>
    <w:rsid w:val="00584C68"/>
    <w:rsid w:val="008A21B8"/>
    <w:rsid w:val="00E23744"/>
    <w:rsid w:val="00EF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4D03"/>
  <w15:chartTrackingRefBased/>
  <w15:docId w15:val="{34F927D8-A2E8-4400-BE36-983EB5A91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2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653">
    <w:name w:val="citation-653"/>
    <w:basedOn w:val="Fontepargpadro"/>
    <w:rsid w:val="008A21B8"/>
  </w:style>
  <w:style w:type="character" w:customStyle="1" w:styleId="citation-652">
    <w:name w:val="citation-652"/>
    <w:basedOn w:val="Fontepargpadro"/>
    <w:rsid w:val="008A21B8"/>
  </w:style>
  <w:style w:type="character" w:customStyle="1" w:styleId="citation-651">
    <w:name w:val="citation-651"/>
    <w:basedOn w:val="Fontepargpadro"/>
    <w:rsid w:val="008A21B8"/>
  </w:style>
  <w:style w:type="character" w:customStyle="1" w:styleId="citation-650">
    <w:name w:val="citation-650"/>
    <w:basedOn w:val="Fontepargpadro"/>
    <w:rsid w:val="008A21B8"/>
  </w:style>
  <w:style w:type="character" w:customStyle="1" w:styleId="citation-649">
    <w:name w:val="citation-649"/>
    <w:basedOn w:val="Fontepargpadro"/>
    <w:rsid w:val="008A21B8"/>
  </w:style>
  <w:style w:type="character" w:customStyle="1" w:styleId="citation-648">
    <w:name w:val="citation-648"/>
    <w:basedOn w:val="Fontepargpadro"/>
    <w:rsid w:val="008A21B8"/>
  </w:style>
  <w:style w:type="character" w:customStyle="1" w:styleId="citation-647">
    <w:name w:val="citation-647"/>
    <w:basedOn w:val="Fontepargpadro"/>
    <w:rsid w:val="008A21B8"/>
  </w:style>
  <w:style w:type="character" w:customStyle="1" w:styleId="citation-646">
    <w:name w:val="citation-646"/>
    <w:basedOn w:val="Fontepargpadro"/>
    <w:rsid w:val="008A21B8"/>
  </w:style>
  <w:style w:type="character" w:customStyle="1" w:styleId="citation-645">
    <w:name w:val="citation-645"/>
    <w:basedOn w:val="Fontepargpadro"/>
    <w:rsid w:val="008A21B8"/>
  </w:style>
  <w:style w:type="character" w:customStyle="1" w:styleId="citation-644">
    <w:name w:val="citation-644"/>
    <w:basedOn w:val="Fontepargpadro"/>
    <w:rsid w:val="008A21B8"/>
  </w:style>
  <w:style w:type="character" w:customStyle="1" w:styleId="citation-643">
    <w:name w:val="citation-643"/>
    <w:basedOn w:val="Fontepargpadro"/>
    <w:rsid w:val="008A21B8"/>
  </w:style>
  <w:style w:type="character" w:customStyle="1" w:styleId="citation-642">
    <w:name w:val="citation-642"/>
    <w:basedOn w:val="Fontepargpadro"/>
    <w:rsid w:val="008A21B8"/>
  </w:style>
  <w:style w:type="character" w:customStyle="1" w:styleId="citation-641">
    <w:name w:val="citation-641"/>
    <w:basedOn w:val="Fontepargpadro"/>
    <w:rsid w:val="008A21B8"/>
  </w:style>
  <w:style w:type="character" w:customStyle="1" w:styleId="citation-640">
    <w:name w:val="citation-640"/>
    <w:basedOn w:val="Fontepargpadro"/>
    <w:rsid w:val="008A21B8"/>
  </w:style>
  <w:style w:type="character" w:customStyle="1" w:styleId="citation-639">
    <w:name w:val="citation-639"/>
    <w:basedOn w:val="Fontepargpadro"/>
    <w:rsid w:val="008A21B8"/>
  </w:style>
  <w:style w:type="character" w:customStyle="1" w:styleId="citation-638">
    <w:name w:val="citation-638"/>
    <w:basedOn w:val="Fontepargpadro"/>
    <w:rsid w:val="008A21B8"/>
  </w:style>
  <w:style w:type="character" w:customStyle="1" w:styleId="citation-637">
    <w:name w:val="citation-637"/>
    <w:basedOn w:val="Fontepargpadro"/>
    <w:rsid w:val="008A21B8"/>
  </w:style>
  <w:style w:type="character" w:customStyle="1" w:styleId="citation-636">
    <w:name w:val="citation-636"/>
    <w:basedOn w:val="Fontepargpadro"/>
    <w:rsid w:val="008A21B8"/>
  </w:style>
  <w:style w:type="character" w:customStyle="1" w:styleId="citation-635">
    <w:name w:val="citation-635"/>
    <w:basedOn w:val="Fontepargpadro"/>
    <w:rsid w:val="008A21B8"/>
  </w:style>
  <w:style w:type="character" w:customStyle="1" w:styleId="citation-634">
    <w:name w:val="citation-634"/>
    <w:basedOn w:val="Fontepargpadro"/>
    <w:rsid w:val="008A21B8"/>
  </w:style>
  <w:style w:type="character" w:customStyle="1" w:styleId="citation-633">
    <w:name w:val="citation-633"/>
    <w:basedOn w:val="Fontepargpadro"/>
    <w:rsid w:val="008A21B8"/>
  </w:style>
  <w:style w:type="character" w:customStyle="1" w:styleId="citation-632">
    <w:name w:val="citation-632"/>
    <w:basedOn w:val="Fontepargpadro"/>
    <w:rsid w:val="008A21B8"/>
  </w:style>
  <w:style w:type="character" w:customStyle="1" w:styleId="citation-631">
    <w:name w:val="citation-631"/>
    <w:basedOn w:val="Fontepargpadro"/>
    <w:rsid w:val="008A21B8"/>
  </w:style>
  <w:style w:type="character" w:customStyle="1" w:styleId="citation-630">
    <w:name w:val="citation-630"/>
    <w:basedOn w:val="Fontepargpadro"/>
    <w:rsid w:val="008A21B8"/>
  </w:style>
  <w:style w:type="character" w:customStyle="1" w:styleId="citation-629">
    <w:name w:val="citation-629"/>
    <w:basedOn w:val="Fontepargpadro"/>
    <w:rsid w:val="008A21B8"/>
  </w:style>
  <w:style w:type="character" w:customStyle="1" w:styleId="citation-628">
    <w:name w:val="citation-628"/>
    <w:basedOn w:val="Fontepargpadro"/>
    <w:rsid w:val="008A21B8"/>
  </w:style>
  <w:style w:type="character" w:customStyle="1" w:styleId="citation-627">
    <w:name w:val="citation-627"/>
    <w:basedOn w:val="Fontepargpadro"/>
    <w:rsid w:val="008A2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5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1525</Words>
  <Characters>8239</Characters>
  <Application>Microsoft Office Word</Application>
  <DocSecurity>0</DocSecurity>
  <Lines>68</Lines>
  <Paragraphs>19</Paragraphs>
  <ScaleCrop>false</ScaleCrop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4</cp:revision>
  <dcterms:created xsi:type="dcterms:W3CDTF">2025-07-04T15:27:00Z</dcterms:created>
  <dcterms:modified xsi:type="dcterms:W3CDTF">2025-07-04T15:32:00Z</dcterms:modified>
</cp:coreProperties>
</file>