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F4631" w14:textId="77777777" w:rsidR="00EE087F" w:rsidRDefault="00EE087F" w:rsidP="00EE087F">
      <w:pPr>
        <w:jc w:val="center"/>
        <w:rPr>
          <w:b/>
          <w:bCs/>
          <w:color w:val="0070C0"/>
          <w:sz w:val="22"/>
          <w:szCs w:val="22"/>
        </w:rPr>
      </w:pPr>
    </w:p>
    <w:p w14:paraId="35219081" w14:textId="6B1DA065" w:rsidR="00EE087F" w:rsidRDefault="00EE087F" w:rsidP="00EE087F">
      <w:pPr>
        <w:jc w:val="center"/>
        <w:rPr>
          <w:b/>
          <w:bCs/>
          <w:color w:val="0070C0"/>
        </w:rPr>
      </w:pPr>
      <w:r w:rsidRPr="00EE087F">
        <w:rPr>
          <w:b/>
          <w:bCs/>
          <w:color w:val="0070C0"/>
        </w:rPr>
        <w:t>Visualizaciones y resultados</w:t>
      </w:r>
      <w:r w:rsidRPr="00EE087F">
        <w:rPr>
          <w:b/>
          <w:bCs/>
          <w:color w:val="0070C0"/>
        </w:rPr>
        <w:t xml:space="preserve"> (Complemento al ReadMe.md)</w:t>
      </w:r>
    </w:p>
    <w:p w14:paraId="254F7D6E" w14:textId="32911C1D" w:rsidR="00BA385D" w:rsidRPr="00EE087F" w:rsidRDefault="00BA385D" w:rsidP="00EE087F">
      <w:pPr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 xml:space="preserve">Autores: </w:t>
      </w:r>
      <w:r w:rsidRPr="00BA385D">
        <w:rPr>
          <w:color w:val="0070C0"/>
        </w:rPr>
        <w:t>Oswaldo Naranjo Veloza y Manuel Antonio Sanabria Gil</w:t>
      </w:r>
    </w:p>
    <w:p w14:paraId="63B17F73" w14:textId="77777777" w:rsidR="00EE087F" w:rsidRDefault="00EE087F" w:rsidP="00EE087F">
      <w:pPr>
        <w:rPr>
          <w:b/>
          <w:bCs/>
          <w:color w:val="0070C0"/>
          <w:sz w:val="22"/>
          <w:szCs w:val="22"/>
        </w:rPr>
      </w:pPr>
      <w:r w:rsidRPr="00EE087F">
        <w:rPr>
          <w:b/>
          <w:bCs/>
          <w:color w:val="0070C0"/>
          <w:sz w:val="22"/>
          <w:szCs w:val="22"/>
        </w:rPr>
        <w:t>1. Mapa de mortalidad por departamento</w:t>
      </w:r>
    </w:p>
    <w:p w14:paraId="0975F7FE" w14:textId="6EF09886" w:rsidR="00EE087F" w:rsidRPr="00EE087F" w:rsidRDefault="00EE087F" w:rsidP="00EE087F">
      <w:pPr>
        <w:jc w:val="center"/>
        <w:rPr>
          <w:b/>
          <w:bCs/>
          <w:color w:val="0070C0"/>
          <w:sz w:val="22"/>
          <w:szCs w:val="22"/>
        </w:rPr>
      </w:pPr>
      <w:r w:rsidRPr="00EE087F">
        <w:rPr>
          <w:b/>
          <w:bCs/>
          <w:color w:val="0070C0"/>
          <w:sz w:val="22"/>
          <w:szCs w:val="22"/>
        </w:rPr>
        <w:drawing>
          <wp:inline distT="0" distB="0" distL="0" distR="0" wp14:anchorId="1F183C8D" wp14:editId="40464A6D">
            <wp:extent cx="4091015" cy="2924071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9426" cy="293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4FC5" w14:textId="77777777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 xml:space="preserve">Muestra la distribución total de muertes en Colombia en 2019, usando un mapa </w:t>
      </w:r>
      <w:proofErr w:type="spellStart"/>
      <w:r w:rsidRPr="00EE087F">
        <w:rPr>
          <w:sz w:val="22"/>
          <w:szCs w:val="22"/>
        </w:rPr>
        <w:t>coroplético</w:t>
      </w:r>
      <w:proofErr w:type="spellEnd"/>
      <w:r w:rsidRPr="00EE087F">
        <w:rPr>
          <w:sz w:val="22"/>
          <w:szCs w:val="22"/>
        </w:rPr>
        <w:t>.</w:t>
      </w:r>
    </w:p>
    <w:p w14:paraId="01C80F1D" w14:textId="77777777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>Hallazgo: Los departamentos con mayor mortalidad son Antioquia, Valle del Cauca y Bogotá D.C., lo que refleja su densidad poblacional.</w:t>
      </w:r>
    </w:p>
    <w:p w14:paraId="23E761F7" w14:textId="77777777" w:rsidR="00EE087F" w:rsidRDefault="00EE087F" w:rsidP="00EE087F">
      <w:pPr>
        <w:rPr>
          <w:sz w:val="22"/>
          <w:szCs w:val="22"/>
        </w:rPr>
      </w:pPr>
    </w:p>
    <w:p w14:paraId="40FF9558" w14:textId="45533364" w:rsidR="00EE087F" w:rsidRDefault="00EE087F" w:rsidP="00EE087F">
      <w:pPr>
        <w:rPr>
          <w:b/>
          <w:bCs/>
          <w:color w:val="0070C0"/>
          <w:sz w:val="22"/>
          <w:szCs w:val="22"/>
        </w:rPr>
      </w:pPr>
      <w:r w:rsidRPr="00EE087F">
        <w:rPr>
          <w:b/>
          <w:bCs/>
          <w:color w:val="0070C0"/>
          <w:sz w:val="22"/>
          <w:szCs w:val="22"/>
        </w:rPr>
        <w:t>2. Gráfico de líneas – Muertes por mes</w:t>
      </w:r>
    </w:p>
    <w:p w14:paraId="56B66C8C" w14:textId="3428405C" w:rsidR="00BA385D" w:rsidRPr="00EE087F" w:rsidRDefault="00BA385D" w:rsidP="00BA385D">
      <w:pPr>
        <w:jc w:val="center"/>
        <w:rPr>
          <w:b/>
          <w:bCs/>
          <w:color w:val="0070C0"/>
          <w:sz w:val="22"/>
          <w:szCs w:val="22"/>
        </w:rPr>
      </w:pPr>
      <w:r w:rsidRPr="00BA385D">
        <w:rPr>
          <w:b/>
          <w:bCs/>
          <w:color w:val="0070C0"/>
          <w:sz w:val="22"/>
          <w:szCs w:val="22"/>
        </w:rPr>
        <w:drawing>
          <wp:inline distT="0" distB="0" distL="0" distR="0" wp14:anchorId="0739E8BC" wp14:editId="06C43756">
            <wp:extent cx="5612130" cy="173736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25B7" w14:textId="77777777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>Representa la variación mensual del total de fallecimientos.</w:t>
      </w:r>
    </w:p>
    <w:p w14:paraId="34E0A1AB" w14:textId="77777777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>Hallazgo: Se observa una tendencia estable con picos en meses como junio y diciembre, posiblemente asociados a factores estacionales o sociales.</w:t>
      </w:r>
    </w:p>
    <w:p w14:paraId="41F4EBA3" w14:textId="77777777" w:rsidR="00EE087F" w:rsidRPr="00EE087F" w:rsidRDefault="00EE087F" w:rsidP="00EE087F">
      <w:pPr>
        <w:rPr>
          <w:b/>
          <w:bCs/>
          <w:color w:val="0070C0"/>
          <w:sz w:val="22"/>
          <w:szCs w:val="22"/>
        </w:rPr>
      </w:pPr>
    </w:p>
    <w:p w14:paraId="244C7BDB" w14:textId="7EA60403" w:rsidR="00EE087F" w:rsidRDefault="00EE087F" w:rsidP="00EE087F">
      <w:pPr>
        <w:rPr>
          <w:b/>
          <w:bCs/>
          <w:color w:val="0070C0"/>
          <w:sz w:val="22"/>
          <w:szCs w:val="22"/>
        </w:rPr>
      </w:pPr>
      <w:r w:rsidRPr="00EE087F">
        <w:rPr>
          <w:b/>
          <w:bCs/>
          <w:color w:val="0070C0"/>
          <w:sz w:val="22"/>
          <w:szCs w:val="22"/>
        </w:rPr>
        <w:t>3. Top 5 ciudades más violentas (códigos X9)</w:t>
      </w:r>
    </w:p>
    <w:p w14:paraId="4A3BB53E" w14:textId="2CD18CBB" w:rsidR="00BA385D" w:rsidRPr="00EE087F" w:rsidRDefault="00BA385D" w:rsidP="00BA385D">
      <w:pPr>
        <w:jc w:val="center"/>
        <w:rPr>
          <w:b/>
          <w:bCs/>
          <w:color w:val="0070C0"/>
          <w:sz w:val="22"/>
          <w:szCs w:val="22"/>
        </w:rPr>
      </w:pPr>
      <w:r w:rsidRPr="00BA385D">
        <w:rPr>
          <w:b/>
          <w:bCs/>
          <w:color w:val="0070C0"/>
          <w:sz w:val="22"/>
          <w:szCs w:val="22"/>
        </w:rPr>
        <w:drawing>
          <wp:inline distT="0" distB="0" distL="0" distR="0" wp14:anchorId="7E10B5DA" wp14:editId="15EE3917">
            <wp:extent cx="5612130" cy="16471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559B" w14:textId="77777777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>Filtra las muertes por causas violentas (X9 del CIE10).</w:t>
      </w:r>
    </w:p>
    <w:p w14:paraId="7D38D500" w14:textId="751DC9BF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 xml:space="preserve">Hallazgo: Municipios como Cali y Medellín concentran los mayores casos de </w:t>
      </w:r>
      <w:r w:rsidR="00BA385D">
        <w:rPr>
          <w:sz w:val="22"/>
          <w:szCs w:val="22"/>
        </w:rPr>
        <w:t>homicidio</w:t>
      </w:r>
      <w:r w:rsidRPr="00EE087F">
        <w:rPr>
          <w:sz w:val="22"/>
          <w:szCs w:val="22"/>
        </w:rPr>
        <w:t>.</w:t>
      </w:r>
    </w:p>
    <w:p w14:paraId="71CC6349" w14:textId="77777777" w:rsidR="00EE087F" w:rsidRPr="00EE087F" w:rsidRDefault="00EE087F" w:rsidP="00EE087F">
      <w:pPr>
        <w:rPr>
          <w:b/>
          <w:bCs/>
          <w:color w:val="0070C0"/>
          <w:sz w:val="22"/>
          <w:szCs w:val="22"/>
        </w:rPr>
      </w:pPr>
    </w:p>
    <w:p w14:paraId="0DE4A2B2" w14:textId="6C00B27D" w:rsidR="00EE087F" w:rsidRDefault="00EE087F" w:rsidP="00EE087F">
      <w:pPr>
        <w:rPr>
          <w:b/>
          <w:bCs/>
          <w:color w:val="0070C0"/>
          <w:sz w:val="22"/>
          <w:szCs w:val="22"/>
        </w:rPr>
      </w:pPr>
      <w:r w:rsidRPr="00EE087F">
        <w:rPr>
          <w:b/>
          <w:bCs/>
          <w:color w:val="0070C0"/>
          <w:sz w:val="22"/>
          <w:szCs w:val="22"/>
        </w:rPr>
        <w:t>4. Top 10 ciudades con menor mortalidad</w:t>
      </w:r>
    </w:p>
    <w:p w14:paraId="6C646973" w14:textId="1EA72A01" w:rsidR="00BA385D" w:rsidRPr="00EE087F" w:rsidRDefault="00BA385D" w:rsidP="00BA385D">
      <w:pPr>
        <w:jc w:val="center"/>
        <w:rPr>
          <w:b/>
          <w:bCs/>
          <w:color w:val="0070C0"/>
          <w:sz w:val="22"/>
          <w:szCs w:val="22"/>
        </w:rPr>
      </w:pPr>
      <w:r w:rsidRPr="00BA385D">
        <w:rPr>
          <w:b/>
          <w:bCs/>
          <w:color w:val="0070C0"/>
          <w:sz w:val="22"/>
          <w:szCs w:val="22"/>
        </w:rPr>
        <w:drawing>
          <wp:inline distT="0" distB="0" distL="0" distR="0" wp14:anchorId="0E032EA6" wp14:editId="5F24B3D7">
            <wp:extent cx="5612130" cy="169799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2E3B" w14:textId="77777777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>Presenta las ciudades con menor número de defunciones en porcentaje.</w:t>
      </w:r>
    </w:p>
    <w:p w14:paraId="60F43D50" w14:textId="77777777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>Hallazgo: Refleja la baja mortalidad en municipios rurales de menor densidad poblacional.</w:t>
      </w:r>
    </w:p>
    <w:p w14:paraId="1CF16B9C" w14:textId="77777777" w:rsidR="00EE087F" w:rsidRDefault="00EE087F" w:rsidP="00EE087F">
      <w:pPr>
        <w:rPr>
          <w:sz w:val="22"/>
          <w:szCs w:val="22"/>
        </w:rPr>
      </w:pPr>
    </w:p>
    <w:p w14:paraId="172AAE11" w14:textId="4909EDB7" w:rsidR="00EE087F" w:rsidRDefault="00EE087F" w:rsidP="00EE087F">
      <w:pPr>
        <w:rPr>
          <w:b/>
          <w:bCs/>
          <w:color w:val="0070C0"/>
          <w:sz w:val="22"/>
          <w:szCs w:val="22"/>
        </w:rPr>
      </w:pPr>
      <w:r w:rsidRPr="00EE087F">
        <w:rPr>
          <w:b/>
          <w:bCs/>
          <w:color w:val="0070C0"/>
          <w:sz w:val="22"/>
          <w:szCs w:val="22"/>
        </w:rPr>
        <w:t>5. Tabla – Principales causas de muerte</w:t>
      </w:r>
    </w:p>
    <w:p w14:paraId="391F3537" w14:textId="60C31A45" w:rsidR="00BA385D" w:rsidRPr="00EE087F" w:rsidRDefault="00BA385D" w:rsidP="00BA385D">
      <w:pPr>
        <w:jc w:val="center"/>
        <w:rPr>
          <w:b/>
          <w:bCs/>
          <w:color w:val="0070C0"/>
          <w:sz w:val="22"/>
          <w:szCs w:val="22"/>
        </w:rPr>
      </w:pPr>
      <w:r w:rsidRPr="00BA385D">
        <w:rPr>
          <w:b/>
          <w:bCs/>
          <w:color w:val="0070C0"/>
          <w:sz w:val="22"/>
          <w:szCs w:val="22"/>
        </w:rPr>
        <w:drawing>
          <wp:inline distT="0" distB="0" distL="0" distR="0" wp14:anchorId="37D3BF01" wp14:editId="2143217B">
            <wp:extent cx="5612130" cy="1614170"/>
            <wp:effectExtent l="0" t="0" r="762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7E6B" w14:textId="0DFA4B4B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lastRenderedPageBreak/>
        <w:t xml:space="preserve">Lista los 10 códigos </w:t>
      </w:r>
      <w:r w:rsidR="00BA385D">
        <w:rPr>
          <w:sz w:val="22"/>
          <w:szCs w:val="22"/>
        </w:rPr>
        <w:t xml:space="preserve">de muerte </w:t>
      </w:r>
      <w:r w:rsidRPr="00EE087F">
        <w:rPr>
          <w:sz w:val="22"/>
          <w:szCs w:val="22"/>
        </w:rPr>
        <w:t>más frecuentes.</w:t>
      </w:r>
    </w:p>
    <w:p w14:paraId="3952AA36" w14:textId="77777777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>Hallazgo: Predominan enfermedades cardiovasculares, respiratorias y neoplasias.</w:t>
      </w:r>
    </w:p>
    <w:p w14:paraId="2001C454" w14:textId="77777777" w:rsidR="00EE087F" w:rsidRDefault="00EE087F" w:rsidP="00EE087F">
      <w:pPr>
        <w:rPr>
          <w:sz w:val="22"/>
          <w:szCs w:val="22"/>
        </w:rPr>
      </w:pPr>
    </w:p>
    <w:p w14:paraId="6993A795" w14:textId="74BA0940" w:rsidR="00EE087F" w:rsidRDefault="00EE087F" w:rsidP="00EE087F">
      <w:pPr>
        <w:rPr>
          <w:b/>
          <w:bCs/>
          <w:color w:val="0070C0"/>
          <w:sz w:val="22"/>
          <w:szCs w:val="22"/>
        </w:rPr>
      </w:pPr>
      <w:r w:rsidRPr="00EE087F">
        <w:rPr>
          <w:b/>
          <w:bCs/>
          <w:color w:val="0070C0"/>
          <w:sz w:val="22"/>
          <w:szCs w:val="22"/>
        </w:rPr>
        <w:t>6. Barras apiladas – Muertes por sexo y departamento</w:t>
      </w:r>
    </w:p>
    <w:p w14:paraId="61C7EAD2" w14:textId="4C393DB5" w:rsidR="00BA385D" w:rsidRPr="00EE087F" w:rsidRDefault="00BA385D" w:rsidP="00BA385D">
      <w:pPr>
        <w:jc w:val="center"/>
        <w:rPr>
          <w:b/>
          <w:bCs/>
          <w:color w:val="0070C0"/>
          <w:sz w:val="22"/>
          <w:szCs w:val="22"/>
        </w:rPr>
      </w:pPr>
      <w:r w:rsidRPr="00BA385D">
        <w:rPr>
          <w:b/>
          <w:bCs/>
          <w:color w:val="0070C0"/>
          <w:sz w:val="22"/>
          <w:szCs w:val="22"/>
        </w:rPr>
        <w:drawing>
          <wp:inline distT="0" distB="0" distL="0" distR="0" wp14:anchorId="4B0113AF" wp14:editId="09254A5D">
            <wp:extent cx="5612130" cy="16827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FB35" w14:textId="77777777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>Compara la mortalidad entre hombres y mujeres por departamento.</w:t>
      </w:r>
    </w:p>
    <w:p w14:paraId="350218AA" w14:textId="77777777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>Hallazgo: Se observa mayor mortalidad masculina, especialmente en causas violentas.</w:t>
      </w:r>
    </w:p>
    <w:p w14:paraId="2BC5137B" w14:textId="77777777" w:rsidR="00EE087F" w:rsidRPr="00EE087F" w:rsidRDefault="00EE087F" w:rsidP="00EE087F">
      <w:pPr>
        <w:rPr>
          <w:sz w:val="22"/>
          <w:szCs w:val="22"/>
        </w:rPr>
      </w:pPr>
    </w:p>
    <w:p w14:paraId="3A26651C" w14:textId="5B24BF20" w:rsidR="00EE087F" w:rsidRDefault="00EE087F" w:rsidP="00EE087F">
      <w:pPr>
        <w:rPr>
          <w:b/>
          <w:bCs/>
          <w:color w:val="0070C0"/>
          <w:sz w:val="22"/>
          <w:szCs w:val="22"/>
        </w:rPr>
      </w:pPr>
      <w:r w:rsidRPr="00EE087F">
        <w:rPr>
          <w:b/>
          <w:bCs/>
          <w:color w:val="0070C0"/>
          <w:sz w:val="22"/>
          <w:szCs w:val="22"/>
        </w:rPr>
        <w:t>7. Histograma – Distribución por rango de edad</w:t>
      </w:r>
    </w:p>
    <w:p w14:paraId="56E18A5A" w14:textId="27663193" w:rsidR="00BA385D" w:rsidRPr="00EE087F" w:rsidRDefault="00BA385D" w:rsidP="00BA385D">
      <w:pPr>
        <w:jc w:val="center"/>
        <w:rPr>
          <w:b/>
          <w:bCs/>
          <w:color w:val="0070C0"/>
          <w:sz w:val="22"/>
          <w:szCs w:val="22"/>
        </w:rPr>
      </w:pPr>
      <w:r w:rsidRPr="00BA385D">
        <w:rPr>
          <w:b/>
          <w:bCs/>
          <w:color w:val="0070C0"/>
          <w:sz w:val="22"/>
          <w:szCs w:val="22"/>
        </w:rPr>
        <w:drawing>
          <wp:inline distT="0" distB="0" distL="0" distR="0" wp14:anchorId="1688A374" wp14:editId="004C5C2F">
            <wp:extent cx="5612130" cy="175577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B0CC" w14:textId="77777777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>Clasifica los fallecimientos en grupos etarios (0–4, 15–19, 60–84, etc.).</w:t>
      </w:r>
    </w:p>
    <w:p w14:paraId="51E862D7" w14:textId="77777777" w:rsidR="00EE087F" w:rsidRPr="00EE087F" w:rsidRDefault="00EE087F" w:rsidP="00EE087F">
      <w:pPr>
        <w:rPr>
          <w:sz w:val="22"/>
          <w:szCs w:val="22"/>
        </w:rPr>
      </w:pPr>
      <w:r w:rsidRPr="00EE087F">
        <w:rPr>
          <w:sz w:val="22"/>
          <w:szCs w:val="22"/>
        </w:rPr>
        <w:t>Hallazgo: El grupo de adultos mayores (60–84 años) concentra la mayor proporción de muertes, seguido por adultos medios (45–59 años).</w:t>
      </w:r>
    </w:p>
    <w:p w14:paraId="7B0EC373" w14:textId="77777777" w:rsidR="00E20D24" w:rsidRDefault="00E20D24"/>
    <w:sectPr w:rsidR="00E20D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7F"/>
    <w:rsid w:val="0052369E"/>
    <w:rsid w:val="00A67273"/>
    <w:rsid w:val="00BA385D"/>
    <w:rsid w:val="00C95A81"/>
    <w:rsid w:val="00E20D24"/>
    <w:rsid w:val="00EE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FEBBBC"/>
  <w15:chartTrackingRefBased/>
  <w15:docId w15:val="{06B6758A-506C-4985-961B-0633282A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0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0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0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8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8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8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8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8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8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8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8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8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8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239</Words>
  <Characters>1397</Characters>
  <Application>Microsoft Office Word</Application>
  <DocSecurity>0</DocSecurity>
  <Lines>40</Lines>
  <Paragraphs>23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Sanabria</dc:creator>
  <cp:keywords/>
  <dc:description/>
  <cp:lastModifiedBy>Manuel Sanabria</cp:lastModifiedBy>
  <cp:revision>6</cp:revision>
  <dcterms:created xsi:type="dcterms:W3CDTF">2025-11-03T01:08:00Z</dcterms:created>
  <dcterms:modified xsi:type="dcterms:W3CDTF">2025-11-03T01:17:00Z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17f6a8b9-7241-40ed-9453-3c9d157138e8</vt:lpwstr>
  </property>
</Properties>
</file>