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7.png" ContentType="image/png"/>
  <Override PartName="/word/media/rId3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citizen</w:t>
      </w:r>
      <w:r>
        <w:t xml:space="preserve"> </w:t>
      </w:r>
      <w:r>
        <w:t xml:space="preserve">observations</w:t>
      </w:r>
      <w:r>
        <w:t xml:space="preserve"> </w:t>
      </w:r>
      <w:r>
        <w:t xml:space="preserve">to</w:t>
      </w:r>
      <w:r>
        <w:t xml:space="preserve"> </w:t>
      </w:r>
      <w:r>
        <w:t xml:space="preserve">FAIR-oriented</w:t>
      </w:r>
      <w:r>
        <w:t xml:space="preserve"> </w:t>
      </w:r>
      <w:r>
        <w:t xml:space="preserve">research</w:t>
      </w:r>
      <w:r>
        <w:t xml:space="preserve"> </w:t>
      </w:r>
      <w:r>
        <w:t xml:space="preserve">data:</w:t>
      </w:r>
      <w:r>
        <w:br/>
      </w:r>
      <w:r>
        <w:t xml:space="preserve">ECHOREPO</w:t>
      </w:r>
      <w:r>
        <w:t xml:space="preserve"> </w:t>
      </w:r>
      <w:r>
        <w:t xml:space="preserve">and</w:t>
      </w:r>
      <w:r>
        <w:t xml:space="preserve"> </w:t>
      </w:r>
      <w:r>
        <w:t xml:space="preserve">a</w:t>
      </w:r>
      <w:r>
        <w:t xml:space="preserve"> </w:t>
      </w:r>
      <w:r>
        <w:t xml:space="preserve">reusable</w:t>
      </w:r>
      <w:r>
        <w:t xml:space="preserve"> </w:t>
      </w:r>
      <w:r>
        <w:t xml:space="preserve">architecture</w:t>
      </w:r>
      <w:r>
        <w:t xml:space="preserve"> </w:t>
      </w:r>
      <w:r>
        <w:t xml:space="preserve">for</w:t>
      </w:r>
      <w:r>
        <w:t xml:space="preserve"> </w:t>
      </w:r>
      <w:r>
        <w:t xml:space="preserve">soil</w:t>
      </w:r>
      <w:r>
        <w:t xml:space="preserve"> </w:t>
      </w:r>
      <w:r>
        <w:t xml:space="preserve">citizen</w:t>
      </w:r>
      <w:r>
        <w:t xml:space="preserve"> </w:t>
      </w:r>
      <w:r>
        <w:t xml:space="preserve">science</w:t>
      </w:r>
    </w:p>
    <w:p>
      <w:pPr>
        <w:pStyle w:val="Author"/>
      </w:pPr>
      <w:r>
        <w:t xml:space="preserve">Oleg</w:t>
      </w:r>
      <w:r>
        <w:t xml:space="preserve"> </w:t>
      </w:r>
      <w:r>
        <w:t xml:space="preserve">Osychenko,</w:t>
      </w:r>
      <w:r>
        <w:t xml:space="preserve"> </w:t>
      </w:r>
      <w:r>
        <w:t xml:space="preserve">Claudia</w:t>
      </w:r>
      <w:r>
        <w:t xml:space="preserve"> </w:t>
      </w:r>
      <w:r>
        <w:t xml:space="preserve">Cappello,</w:t>
      </w:r>
      <w:r>
        <w:t xml:space="preserve"> </w:t>
      </w:r>
      <w:r>
        <w:t xml:space="preserve">Céline</w:t>
      </w:r>
      <w:r>
        <w:t xml:space="preserve"> </w:t>
      </w:r>
      <w:r>
        <w:t xml:space="preserve">Laurent,</w:t>
      </w:r>
      <w:r>
        <w:t xml:space="preserve"> </w:t>
      </w:r>
      <w:r>
        <w:t xml:space="preserve">Ivan</w:t>
      </w:r>
      <w:r>
        <w:t xml:space="preserve"> </w:t>
      </w:r>
      <w:r>
        <w:t xml:space="preserve">Rodero,</w:t>
      </w:r>
      <w:r>
        <w:t xml:space="preserve"> </w:t>
      </w:r>
      <w:r>
        <w:t xml:space="preserve">Tanja</w:t>
      </w:r>
      <w:r>
        <w:t xml:space="preserve"> </w:t>
      </w:r>
      <w:r>
        <w:t xml:space="preserve">Mimmo</w:t>
      </w:r>
      <w:r>
        <w:br/>
      </w:r>
      <w:r>
        <w:t xml:space="preserve">Provisional</w:t>
      </w:r>
      <w:r>
        <w:t xml:space="preserve"> </w:t>
      </w:r>
      <w:r>
        <w:t xml:space="preserve">author</w:t>
      </w:r>
      <w:r>
        <w:t xml:space="preserve"> </w:t>
      </w:r>
      <w:r>
        <w:t xml:space="preserve">and</w:t>
      </w:r>
      <w:r>
        <w:t xml:space="preserve"> </w:t>
      </w:r>
      <w:r>
        <w:t xml:space="preserve">affiliation</w:t>
      </w:r>
      <w:r>
        <w:t xml:space="preserve"> </w:t>
      </w:r>
      <w:r>
        <w:t xml:space="preserve">list</w:t>
      </w:r>
    </w:p>
    <w:p>
      <w:pPr>
        <w:pStyle w:val="Date"/>
      </w:pPr>
      <w:r>
        <w:t xml:space="preserve">Internal</w:t>
      </w:r>
      <w:r>
        <w:t xml:space="preserve"> </w:t>
      </w:r>
      <w:r>
        <w:t xml:space="preserve">manuscript</w:t>
      </w:r>
      <w:r>
        <w:t xml:space="preserve"> </w:t>
      </w:r>
      <w:r>
        <w:t xml:space="preserve">draft</w:t>
      </w:r>
      <w:r>
        <w:t xml:space="preserve"> </w:t>
      </w:r>
      <w:r>
        <w:t xml:space="preserve">–</w:t>
      </w:r>
      <w:r>
        <w:t xml:space="preserve"> </w:t>
      </w:r>
      <w:r>
        <w:t xml:space="preserve">30</w:t>
      </w:r>
      <w:r>
        <w:t xml:space="preserve"> </w:t>
      </w:r>
      <w:r>
        <w:t xml:space="preserve">October</w:t>
      </w:r>
      <w:r>
        <w:t xml:space="preserve"> </w:t>
      </w:r>
      <w:r>
        <w:t xml:space="preserve">2026</w:t>
      </w:r>
    </w:p>
    <w:p>
      <w:pPr>
        <w:pStyle w:val="Abstract"/>
      </w:pPr>
      <w:r>
        <w:t xml:space="preserve">Citizen-collected</w:t>
      </w:r>
      <w:r>
        <w:t xml:space="preserve"> </w:t>
      </w:r>
      <w:r>
        <w:t xml:space="preserve">soil</w:t>
      </w:r>
      <w:r>
        <w:t xml:space="preserve"> </w:t>
      </w:r>
      <w:r>
        <w:t xml:space="preserve">samples</w:t>
      </w:r>
      <w:r>
        <w:t xml:space="preserve"> </w:t>
      </w:r>
      <w:r>
        <w:t xml:space="preserve">can</w:t>
      </w:r>
      <w:r>
        <w:t xml:space="preserve"> </w:t>
      </w:r>
      <w:r>
        <w:t xml:space="preserve">generate</w:t>
      </w:r>
      <w:r>
        <w:t xml:space="preserve"> </w:t>
      </w:r>
      <w:r>
        <w:t xml:space="preserve">observations,</w:t>
      </w:r>
      <w:r>
        <w:t xml:space="preserve"> </w:t>
      </w:r>
      <w:r>
        <w:t xml:space="preserve">photographs,</w:t>
      </w:r>
      <w:r>
        <w:t xml:space="preserve"> </w:t>
      </w:r>
      <w:r>
        <w:t xml:space="preserve">laboratory</w:t>
      </w:r>
      <w:r>
        <w:t xml:space="preserve"> </w:t>
      </w:r>
      <w:r>
        <w:t xml:space="preserve">measurements</w:t>
      </w:r>
      <w:r>
        <w:t xml:space="preserve"> </w:t>
      </w:r>
      <w:r>
        <w:t xml:space="preserve">and</w:t>
      </w:r>
      <w:r>
        <w:t xml:space="preserve"> </w:t>
      </w:r>
      <w:r>
        <w:t xml:space="preserve">microbial</w:t>
      </w:r>
      <w:r>
        <w:t xml:space="preserve"> </w:t>
      </w:r>
      <w:r>
        <w:t xml:space="preserve">biodiversity</w:t>
      </w:r>
      <w:r>
        <w:t xml:space="preserve"> </w:t>
      </w:r>
      <w:r>
        <w:t xml:space="preserve">results</w:t>
      </w:r>
      <w:r>
        <w:t xml:space="preserve"> </w:t>
      </w:r>
      <w:r>
        <w:t xml:space="preserve">through</w:t>
      </w:r>
      <w:r>
        <w:t xml:space="preserve"> </w:t>
      </w:r>
      <w:r>
        <w:t xml:space="preserve">separate</w:t>
      </w:r>
      <w:r>
        <w:t xml:space="preserve"> </w:t>
      </w:r>
      <w:r>
        <w:t xml:space="preserve">organisational</w:t>
      </w:r>
      <w:r>
        <w:t xml:space="preserve"> </w:t>
      </w:r>
      <w:r>
        <w:t xml:space="preserve">workflows,</w:t>
      </w:r>
      <w:r>
        <w:t xml:space="preserve"> </w:t>
      </w:r>
      <w:r>
        <w:t xml:space="preserve">often</w:t>
      </w:r>
      <w:r>
        <w:t xml:space="preserve"> </w:t>
      </w:r>
      <w:r>
        <w:t xml:space="preserve">at</w:t>
      </w:r>
      <w:r>
        <w:t xml:space="preserve"> </w:t>
      </w:r>
      <w:r>
        <w:t xml:space="preserve">different</w:t>
      </w:r>
      <w:r>
        <w:t xml:space="preserve"> </w:t>
      </w:r>
      <w:r>
        <w:t xml:space="preserve">times.</w:t>
      </w:r>
      <w:r>
        <w:t xml:space="preserve"> </w:t>
      </w:r>
      <w:r>
        <w:t xml:space="preserve">Linking</w:t>
      </w:r>
      <w:r>
        <w:t xml:space="preserve"> </w:t>
      </w:r>
      <w:r>
        <w:t xml:space="preserve">this</w:t>
      </w:r>
      <w:r>
        <w:t xml:space="preserve"> </w:t>
      </w:r>
      <w:r>
        <w:t xml:space="preserve">evidence</w:t>
      </w:r>
      <w:r>
        <w:t xml:space="preserve"> </w:t>
      </w:r>
      <w:r>
        <w:t xml:space="preserve">into</w:t>
      </w:r>
      <w:r>
        <w:t xml:space="preserve"> </w:t>
      </w:r>
      <w:r>
        <w:t xml:space="preserve">a</w:t>
      </w:r>
      <w:r>
        <w:t xml:space="preserve"> </w:t>
      </w:r>
      <w:r>
        <w:t xml:space="preserve">durable</w:t>
      </w:r>
      <w:r>
        <w:t xml:space="preserve"> </w:t>
      </w:r>
      <w:r>
        <w:t xml:space="preserve">research</w:t>
      </w:r>
      <w:r>
        <w:t xml:space="preserve"> </w:t>
      </w:r>
      <w:r>
        <w:t xml:space="preserve">resource</w:t>
      </w:r>
      <w:r>
        <w:t xml:space="preserve"> </w:t>
      </w:r>
      <w:r>
        <w:t xml:space="preserve">requires</w:t>
      </w:r>
      <w:r>
        <w:t xml:space="preserve"> </w:t>
      </w:r>
      <w:r>
        <w:t xml:space="preserve">stable</w:t>
      </w:r>
      <w:r>
        <w:t xml:space="preserve"> </w:t>
      </w:r>
      <w:r>
        <w:t xml:space="preserve">sample</w:t>
      </w:r>
      <w:r>
        <w:t xml:space="preserve"> </w:t>
      </w:r>
      <w:r>
        <w:t xml:space="preserve">identities,</w:t>
      </w:r>
      <w:r>
        <w:t xml:space="preserve"> </w:t>
      </w:r>
      <w:r>
        <w:t xml:space="preserve">provenance-aware</w:t>
      </w:r>
      <w:r>
        <w:t xml:space="preserve"> </w:t>
      </w:r>
      <w:r>
        <w:t xml:space="preserve">quality</w:t>
      </w:r>
      <w:r>
        <w:t xml:space="preserve"> </w:t>
      </w:r>
      <w:r>
        <w:t xml:space="preserve">assessment,</w:t>
      </w:r>
      <w:r>
        <w:t xml:space="preserve"> </w:t>
      </w:r>
      <w:r>
        <w:t xml:space="preserve">privacy</w:t>
      </w:r>
      <w:r>
        <w:t xml:space="preserve"> </w:t>
      </w:r>
      <w:r>
        <w:t xml:space="preserve">safeguards</w:t>
      </w:r>
      <w:r>
        <w:t xml:space="preserve"> </w:t>
      </w:r>
      <w:r>
        <w:t xml:space="preserve">and</w:t>
      </w:r>
      <w:r>
        <w:t xml:space="preserve"> </w:t>
      </w:r>
      <w:r>
        <w:t xml:space="preserve">publication</w:t>
      </w:r>
      <w:r>
        <w:t xml:space="preserve"> </w:t>
      </w:r>
      <w:r>
        <w:t xml:space="preserve">independent</w:t>
      </w:r>
      <w:r>
        <w:t xml:space="preserve"> </w:t>
      </w:r>
      <w:r>
        <w:t xml:space="preserve">of</w:t>
      </w:r>
      <w:r>
        <w:t xml:space="preserve"> </w:t>
      </w:r>
      <w:r>
        <w:t xml:space="preserve">the</w:t>
      </w:r>
      <w:r>
        <w:t xml:space="preserve"> </w:t>
      </w:r>
      <w:r>
        <w:t xml:space="preserve">collection</w:t>
      </w:r>
      <w:r>
        <w:t xml:space="preserve"> </w:t>
      </w:r>
      <w:r>
        <w:t xml:space="preserve">application.</w:t>
      </w:r>
      <w:r>
        <w:t xml:space="preserve"> </w:t>
      </w:r>
      <w:r>
        <w:t xml:space="preserve">We</w:t>
      </w:r>
      <w:r>
        <w:t xml:space="preserve"> </w:t>
      </w:r>
      <w:r>
        <w:t xml:space="preserve">present</w:t>
      </w:r>
      <w:r>
        <w:t xml:space="preserve"> </w:t>
      </w:r>
      <w:r>
        <w:rPr>
          <w:smallCaps/>
        </w:rPr>
        <w:t xml:space="preserve">ECHOREPO</w:t>
      </w:r>
      <w:r>
        <w:t xml:space="preserve">,</w:t>
      </w:r>
      <w:r>
        <w:t xml:space="preserve"> </w:t>
      </w:r>
      <w:r>
        <w:t xml:space="preserve">an</w:t>
      </w:r>
      <w:r>
        <w:t xml:space="preserve"> </w:t>
      </w:r>
      <w:r>
        <w:t xml:space="preserve">open-source,</w:t>
      </w:r>
      <w:r>
        <w:t xml:space="preserve"> </w:t>
      </w:r>
      <w:r>
        <w:t xml:space="preserve">sample-centred</w:t>
      </w:r>
      <w:r>
        <w:t xml:space="preserve"> </w:t>
      </w:r>
      <w:r>
        <w:t xml:space="preserve">research-data</w:t>
      </w:r>
      <w:r>
        <w:t xml:space="preserve"> </w:t>
      </w:r>
      <w:r>
        <w:t xml:space="preserve">infrastructure</w:t>
      </w:r>
      <w:r>
        <w:t xml:space="preserve"> </w:t>
      </w:r>
      <w:r>
        <w:t xml:space="preserve">developed</w:t>
      </w:r>
      <w:r>
        <w:t xml:space="preserve"> </w:t>
      </w:r>
      <w:r>
        <w:t xml:space="preserve">within</w:t>
      </w:r>
      <w:r>
        <w:t xml:space="preserve"> </w:t>
      </w:r>
      <w:r>
        <w:t xml:space="preserve">the</w:t>
      </w:r>
      <w:r>
        <w:t xml:space="preserve"> </w:t>
      </w:r>
      <w:r>
        <w:t xml:space="preserve">European</w:t>
      </w:r>
      <w:r>
        <w:t xml:space="preserve"> </w:t>
      </w:r>
      <w:r>
        <w:t xml:space="preserve">ECHO</w:t>
      </w:r>
      <w:r>
        <w:t xml:space="preserve"> </w:t>
      </w:r>
      <w:r>
        <w:t xml:space="preserve">citizen-science</w:t>
      </w:r>
      <w:r>
        <w:t xml:space="preserve"> </w:t>
      </w:r>
      <w:r>
        <w:t xml:space="preserve">project.</w:t>
      </w:r>
      <w:r>
        <w:t xml:space="preserve"> </w:t>
      </w:r>
      <w:r>
        <w:t xml:space="preserve">Its</w:t>
      </w:r>
      <w:r>
        <w:t xml:space="preserve"> </w:t>
      </w:r>
      <w:r>
        <w:t xml:space="preserve">canonical</w:t>
      </w:r>
      <w:r>
        <w:t xml:space="preserve"> </w:t>
      </w:r>
      <w:r>
        <w:t xml:space="preserve">publication</w:t>
      </w:r>
      <w:r>
        <w:t xml:space="preserve"> </w:t>
      </w:r>
      <w:r>
        <w:t xml:space="preserve">model</w:t>
      </w:r>
      <w:r>
        <w:t xml:space="preserve"> </w:t>
      </w:r>
      <w:r>
        <w:t xml:space="preserve">comprises</w:t>
      </w:r>
      <w:r>
        <w:t xml:space="preserve"> </w:t>
      </w:r>
      <w:r>
        <w:t xml:space="preserve">six</w:t>
      </w:r>
      <w:r>
        <w:t xml:space="preserve"> </w:t>
      </w:r>
      <w:r>
        <w:t xml:space="preserve">linked</w:t>
      </w:r>
      <w:r>
        <w:t xml:space="preserve"> </w:t>
      </w:r>
      <w:r>
        <w:t xml:space="preserve">CSV</w:t>
      </w:r>
      <w:r>
        <w:t xml:space="preserve"> </w:t>
      </w:r>
      <w:r>
        <w:t xml:space="preserve">resources</w:t>
      </w:r>
      <w:r>
        <w:t xml:space="preserve"> </w:t>
      </w:r>
      <w:r>
        <w:t xml:space="preserve">and</w:t>
      </w:r>
      <w:r>
        <w:t xml:space="preserve"> </w:t>
      </w:r>
      <w:r>
        <w:t xml:space="preserve">CSV</w:t>
      </w:r>
      <w:r>
        <w:t xml:space="preserve"> </w:t>
      </w:r>
      <w:r>
        <w:t xml:space="preserve">on</w:t>
      </w:r>
      <w:r>
        <w:t xml:space="preserve"> </w:t>
      </w:r>
      <w:r>
        <w:t xml:space="preserve">the</w:t>
      </w:r>
      <w:r>
        <w:t xml:space="preserve"> </w:t>
      </w:r>
      <w:r>
        <w:t xml:space="preserve">Web</w:t>
      </w:r>
      <w:r>
        <w:t xml:space="preserve"> </w:t>
      </w:r>
      <w:r>
        <w:t xml:space="preserve">metadata.</w:t>
      </w:r>
      <w:r>
        <w:t xml:space="preserve"> </w:t>
      </w:r>
      <w:r>
        <w:t xml:space="preserve">In</w:t>
      </w:r>
      <w:r>
        <w:t xml:space="preserve"> </w:t>
      </w:r>
      <w:r>
        <w:t xml:space="preserve">the</w:t>
      </w:r>
      <w:r>
        <w:t xml:space="preserve"> </w:t>
      </w:r>
      <w:r>
        <w:t xml:space="preserve">version</w:t>
      </w:r>
      <w:r>
        <w:t xml:space="preserve"> </w:t>
      </w:r>
      <w:r>
        <w:t xml:space="preserve">12</w:t>
      </w:r>
      <w:r>
        <w:t xml:space="preserve"> </w:t>
      </w:r>
      <w:r>
        <w:t xml:space="preserve">dataset</w:t>
      </w:r>
      <w:r>
        <w:t xml:space="preserve"> </w:t>
      </w:r>
      <w:r>
        <w:t xml:space="preserve">snapshot</w:t>
      </w:r>
      <w:r>
        <w:t xml:space="preserve"> </w:t>
      </w:r>
      <w:r>
        <w:t xml:space="preserve">of</w:t>
      </w:r>
      <w:r>
        <w:t xml:space="preserve"> </w:t>
      </w:r>
      <w:r>
        <w:t xml:space="preserve">29</w:t>
      </w:r>
      <w:r>
        <w:t xml:space="preserve"> </w:t>
      </w:r>
      <w:r>
        <w:t xml:space="preserve">October</w:t>
      </w:r>
      <w:r>
        <w:t xml:space="preserve"> </w:t>
      </w:r>
      <w:r>
        <w:t xml:space="preserve">2026,</w:t>
      </w:r>
      <w:r>
        <w:t xml:space="preserve"> </w:t>
      </w:r>
      <w:r>
        <w:t xml:space="preserve">10,554</w:t>
      </w:r>
      <w:r>
        <w:t xml:space="preserve"> </w:t>
      </w:r>
      <w:r>
        <w:t xml:space="preserve">distinct</w:t>
      </w:r>
      <w:r>
        <w:t xml:space="preserve"> </w:t>
      </w:r>
      <w:r>
        <w:t xml:space="preserve">samples</w:t>
      </w:r>
      <w:r>
        <w:t xml:space="preserve"> </w:t>
      </w:r>
      <w:r>
        <w:t xml:space="preserve">were</w:t>
      </w:r>
      <w:r>
        <w:t xml:space="preserve"> </w:t>
      </w:r>
      <w:r>
        <w:t xml:space="preserve">represented;</w:t>
      </w:r>
      <w:r>
        <w:t xml:space="preserve"> </w:t>
      </w:r>
      <w:r>
        <w:t xml:space="preserve">5,514</w:t>
      </w:r>
      <w:r>
        <w:t xml:space="preserve"> </w:t>
      </w:r>
      <w:r>
        <w:t xml:space="preserve">(52.25%)</w:t>
      </w:r>
      <w:r>
        <w:t xml:space="preserve"> </w:t>
      </w:r>
      <w:r>
        <w:t xml:space="preserve">had</w:t>
      </w:r>
      <w:r>
        <w:t xml:space="preserve"> </w:t>
      </w:r>
      <w:r>
        <w:t xml:space="preserve">records</w:t>
      </w:r>
      <w:r>
        <w:t xml:space="preserve"> </w:t>
      </w:r>
      <w:r>
        <w:t xml:space="preserve">in</w:t>
      </w:r>
      <w:r>
        <w:t xml:space="preserve"> </w:t>
      </w:r>
      <w:r>
        <w:t xml:space="preserve">at</w:t>
      </w:r>
      <w:r>
        <w:t xml:space="preserve"> </w:t>
      </w:r>
      <w:r>
        <w:t xml:space="preserve">least</w:t>
      </w:r>
      <w:r>
        <w:t xml:space="preserve"> </w:t>
      </w:r>
      <w:r>
        <w:t xml:space="preserve">two</w:t>
      </w:r>
      <w:r>
        <w:t xml:space="preserve"> </w:t>
      </w:r>
      <w:r>
        <w:t xml:space="preserve">of</w:t>
      </w:r>
      <w:r>
        <w:t xml:space="preserve"> </w:t>
      </w:r>
      <w:r>
        <w:t xml:space="preserve">three</w:t>
      </w:r>
      <w:r>
        <w:t xml:space="preserve"> </w:t>
      </w:r>
      <w:r>
        <w:t xml:space="preserve">supplementary</w:t>
      </w:r>
      <w:r>
        <w:t xml:space="preserve"> </w:t>
      </w:r>
      <w:r>
        <w:t xml:space="preserve">domains</w:t>
      </w:r>
      <w:r>
        <w:t xml:space="preserve"> </w:t>
      </w:r>
      <w:r>
        <w:t xml:space="preserve">(photographs,</w:t>
      </w:r>
      <w:r>
        <w:t xml:space="preserve"> </w:t>
      </w:r>
      <w:r>
        <w:t xml:space="preserve">laboratory</w:t>
      </w:r>
      <w:r>
        <w:t xml:space="preserve"> </w:t>
      </w:r>
      <w:r>
        <w:t xml:space="preserve">measurements</w:t>
      </w:r>
      <w:r>
        <w:t xml:space="preserve"> </w:t>
      </w:r>
      <w:r>
        <w:t xml:space="preserve">and</w:t>
      </w:r>
      <w:r>
        <w:t xml:space="preserve"> </w:t>
      </w:r>
      <w:r>
        <w:t xml:space="preserve">microbial</w:t>
      </w:r>
      <w:r>
        <w:t xml:space="preserve"> </w:t>
      </w:r>
      <w:r>
        <w:t xml:space="preserve">biodiversity).</w:t>
      </w:r>
      <w:r>
        <w:t xml:space="preserve"> </w:t>
      </w:r>
      <w:r>
        <w:t xml:space="preserve">Of</w:t>
      </w:r>
      <w:r>
        <w:t xml:space="preserve"> </w:t>
      </w:r>
      <w:r>
        <w:t xml:space="preserve">1,200</w:t>
      </w:r>
      <w:r>
        <w:t xml:space="preserve"> </w:t>
      </w:r>
      <w:r>
        <w:t xml:space="preserve">samples</w:t>
      </w:r>
      <w:r>
        <w:t xml:space="preserve"> </w:t>
      </w:r>
      <w:r>
        <w:t xml:space="preserve">with</w:t>
      </w:r>
      <w:r>
        <w:t xml:space="preserve"> </w:t>
      </w:r>
      <w:r>
        <w:t xml:space="preserve">biodiversity</w:t>
      </w:r>
      <w:r>
        <w:t xml:space="preserve"> </w:t>
      </w:r>
      <w:r>
        <w:t xml:space="preserve">results,</w:t>
      </w:r>
      <w:r>
        <w:t xml:space="preserve"> </w:t>
      </w:r>
      <w:r>
        <w:t xml:space="preserve">997</w:t>
      </w:r>
      <w:r>
        <w:t xml:space="preserve"> </w:t>
      </w:r>
      <w:r>
        <w:t xml:space="preserve">(83.08%)</w:t>
      </w:r>
      <w:r>
        <w:t xml:space="preserve"> </w:t>
      </w:r>
      <w:r>
        <w:t xml:space="preserve">also</w:t>
      </w:r>
      <w:r>
        <w:t xml:space="preserve"> </w:t>
      </w:r>
      <w:r>
        <w:t xml:space="preserve">had</w:t>
      </w:r>
      <w:r>
        <w:t xml:space="preserve"> </w:t>
      </w:r>
      <w:r>
        <w:t xml:space="preserve">photographs</w:t>
      </w:r>
      <w:r>
        <w:t xml:space="preserve"> </w:t>
      </w:r>
      <w:r>
        <w:t xml:space="preserve">and</w:t>
      </w:r>
      <w:r>
        <w:t xml:space="preserve"> </w:t>
      </w:r>
      <w:r>
        <w:t xml:space="preserve">laboratory</w:t>
      </w:r>
      <w:r>
        <w:t xml:space="preserve"> </w:t>
      </w:r>
      <w:r>
        <w:t xml:space="preserve">records.</w:t>
      </w:r>
      <w:r>
        <w:t xml:space="preserve"> </w:t>
      </w:r>
      <w:r>
        <w:t xml:space="preserve">Separate</w:t>
      </w:r>
      <w:r>
        <w:t xml:space="preserve"> </w:t>
      </w:r>
      <w:r>
        <w:t xml:space="preserve">geographical</w:t>
      </w:r>
      <w:r>
        <w:t xml:space="preserve"> </w:t>
      </w:r>
      <w:r>
        <w:t xml:space="preserve">and</w:t>
      </w:r>
      <w:r>
        <w:t xml:space="preserve"> </w:t>
      </w:r>
      <w:r>
        <w:t xml:space="preserve">allocation-consistency</w:t>
      </w:r>
      <w:r>
        <w:t xml:space="preserve"> </w:t>
      </w:r>
      <w:r>
        <w:t xml:space="preserve">screening</w:t>
      </w:r>
      <w:r>
        <w:t xml:space="preserve"> </w:t>
      </w:r>
      <w:r>
        <w:t xml:space="preserve">identified</w:t>
      </w:r>
      <w:r>
        <w:t xml:space="preserve"> </w:t>
      </w:r>
      <w:r>
        <w:t xml:space="preserve">95</w:t>
      </w:r>
      <w:r>
        <w:t xml:space="preserve"> </w:t>
      </w:r>
      <w:r>
        <w:t xml:space="preserve">application-default</w:t>
      </w:r>
      <w:r>
        <w:t xml:space="preserve"> </w:t>
      </w:r>
      <w:r>
        <w:t xml:space="preserve">coordinate</w:t>
      </w:r>
      <w:r>
        <w:t xml:space="preserve"> </w:t>
      </w:r>
      <w:r>
        <w:t xml:space="preserve">cases</w:t>
      </w:r>
      <w:r>
        <w:t xml:space="preserve"> </w:t>
      </w:r>
      <w:r>
        <w:t xml:space="preserve">and</w:t>
      </w:r>
      <w:r>
        <w:t xml:space="preserve"> </w:t>
      </w:r>
      <w:r>
        <w:t xml:space="preserve">301</w:t>
      </w:r>
      <w:r>
        <w:t xml:space="preserve"> </w:t>
      </w:r>
      <w:r>
        <w:t xml:space="preserve">planned-country</w:t>
      </w:r>
      <w:r>
        <w:t xml:space="preserve"> </w:t>
      </w:r>
      <w:r>
        <w:t xml:space="preserve">discrepancies;</w:t>
      </w:r>
      <w:r>
        <w:t xml:space="preserve"> </w:t>
      </w:r>
      <w:r>
        <w:t xml:space="preserve">the</w:t>
      </w:r>
      <w:r>
        <w:t xml:space="preserve"> </w:t>
      </w:r>
      <w:r>
        <w:t xml:space="preserve">latter</w:t>
      </w:r>
      <w:r>
        <w:t xml:space="preserve"> </w:t>
      </w:r>
      <w:r>
        <w:t xml:space="preserve">do</w:t>
      </w:r>
      <w:r>
        <w:t xml:space="preserve"> </w:t>
      </w:r>
      <w:r>
        <w:t xml:space="preserve">not</w:t>
      </w:r>
      <w:r>
        <w:t xml:space="preserve"> </w:t>
      </w:r>
      <w:r>
        <w:t xml:space="preserve">necessarily</w:t>
      </w:r>
      <w:r>
        <w:t xml:space="preserve"> </w:t>
      </w:r>
      <w:r>
        <w:t xml:space="preserve">indicate</w:t>
      </w:r>
      <w:r>
        <w:t xml:space="preserve"> </w:t>
      </w:r>
      <w:r>
        <w:t xml:space="preserve">erroneous</w:t>
      </w:r>
      <w:r>
        <w:t xml:space="preserve"> </w:t>
      </w:r>
      <w:r>
        <w:t xml:space="preserve">locations.</w:t>
      </w:r>
      <w:r>
        <w:t xml:space="preserve"> </w:t>
      </w:r>
      <w:r>
        <w:t xml:space="preserve">A</w:t>
      </w:r>
      <w:r>
        <w:t xml:space="preserve"> </w:t>
      </w:r>
      <w:r>
        <w:t xml:space="preserve">versioned</w:t>
      </w:r>
      <w:r>
        <w:t xml:space="preserve"> </w:t>
      </w:r>
      <w:r>
        <w:t xml:space="preserve">Zenodo</w:t>
      </w:r>
      <w:r>
        <w:t xml:space="preserve"> </w:t>
      </w:r>
      <w:r>
        <w:t xml:space="preserve">dataset</w:t>
      </w:r>
      <w:r>
        <w:t xml:space="preserve"> </w:t>
      </w:r>
      <w:r>
        <w:t xml:space="preserve">and</w:t>
      </w:r>
      <w:r>
        <w:t xml:space="preserve"> </w:t>
      </w:r>
      <w:r>
        <w:t xml:space="preserve">archived</w:t>
      </w:r>
      <w:r>
        <w:t xml:space="preserve"> </w:t>
      </w:r>
      <w:r>
        <w:t xml:space="preserve">source</w:t>
      </w:r>
      <w:r>
        <w:t xml:space="preserve"> </w:t>
      </w:r>
      <w:r>
        <w:t xml:space="preserve">code</w:t>
      </w:r>
      <w:r>
        <w:t xml:space="preserve"> </w:t>
      </w:r>
      <w:r>
        <w:t xml:space="preserve">support</w:t>
      </w:r>
      <w:r>
        <w:t xml:space="preserve"> </w:t>
      </w:r>
      <w:r>
        <w:t xml:space="preserve">independent</w:t>
      </w:r>
      <w:r>
        <w:t xml:space="preserve"> </w:t>
      </w:r>
      <w:r>
        <w:t xml:space="preserve">access</w:t>
      </w:r>
      <w:r>
        <w:t xml:space="preserve"> </w:t>
      </w:r>
      <w:r>
        <w:t xml:space="preserve">and</w:t>
      </w:r>
      <w:r>
        <w:t xml:space="preserve"> </w:t>
      </w:r>
      <w:r>
        <w:t xml:space="preserve">reproducibility.</w:t>
      </w:r>
      <w:r>
        <w:t xml:space="preserve"> </w:t>
      </w:r>
      <w:r>
        <w:t xml:space="preserve">We</w:t>
      </w:r>
      <w:r>
        <w:t xml:space="preserve"> </w:t>
      </w:r>
      <w:r>
        <w:t xml:space="preserve">discuss</w:t>
      </w:r>
      <w:r>
        <w:t xml:space="preserve"> </w:t>
      </w:r>
      <w:r>
        <w:t xml:space="preserve">how</w:t>
      </w:r>
      <w:r>
        <w:t xml:space="preserve"> </w:t>
      </w:r>
      <w:r>
        <w:t xml:space="preserve">sample-centred</w:t>
      </w:r>
      <w:r>
        <w:t xml:space="preserve"> </w:t>
      </w:r>
      <w:r>
        <w:t xml:space="preserve">integration,</w:t>
      </w:r>
      <w:r>
        <w:t xml:space="preserve"> </w:t>
      </w:r>
      <w:r>
        <w:t xml:space="preserve">contextual</w:t>
      </w:r>
      <w:r>
        <w:t xml:space="preserve"> </w:t>
      </w:r>
      <w:r>
        <w:t xml:space="preserve">quality</w:t>
      </w:r>
      <w:r>
        <w:t xml:space="preserve"> </w:t>
      </w:r>
      <w:r>
        <w:t xml:space="preserve">checks</w:t>
      </w:r>
      <w:r>
        <w:t xml:space="preserve"> </w:t>
      </w:r>
      <w:r>
        <w:t xml:space="preserve">and</w:t>
      </w:r>
      <w:r>
        <w:t xml:space="preserve"> </w:t>
      </w:r>
      <w:r>
        <w:t xml:space="preserve">controlled</w:t>
      </w:r>
      <w:r>
        <w:t xml:space="preserve"> </w:t>
      </w:r>
      <w:r>
        <w:t xml:space="preserve">publication</w:t>
      </w:r>
      <w:r>
        <w:t xml:space="preserve"> </w:t>
      </w:r>
      <w:r>
        <w:t xml:space="preserve">can</w:t>
      </w:r>
      <w:r>
        <w:t xml:space="preserve"> </w:t>
      </w:r>
      <w:r>
        <w:t xml:space="preserve">support</w:t>
      </w:r>
      <w:r>
        <w:t xml:space="preserve"> </w:t>
      </w:r>
      <w:r>
        <w:t xml:space="preserve">soil</w:t>
      </w:r>
      <w:r>
        <w:t xml:space="preserve"> </w:t>
      </w:r>
      <w:r>
        <w:t xml:space="preserve">research,</w:t>
      </w:r>
      <w:r>
        <w:t xml:space="preserve"> </w:t>
      </w:r>
      <w:r>
        <w:t xml:space="preserve">while</w:t>
      </w:r>
      <w:r>
        <w:t xml:space="preserve"> </w:t>
      </w:r>
      <w:r>
        <w:t xml:space="preserve">distinguishing</w:t>
      </w:r>
      <w:r>
        <w:t xml:space="preserve"> </w:t>
      </w:r>
      <w:r>
        <w:t xml:space="preserve">linked-record</w:t>
      </w:r>
      <w:r>
        <w:t xml:space="preserve"> </w:t>
      </w:r>
      <w:r>
        <w:t xml:space="preserve">coverage</w:t>
      </w:r>
      <w:r>
        <w:t xml:space="preserve"> </w:t>
      </w:r>
      <w:r>
        <w:t xml:space="preserve">from</w:t>
      </w:r>
      <w:r>
        <w:t xml:space="preserve"> </w:t>
      </w:r>
      <w:r>
        <w:t xml:space="preserve">scientific</w:t>
      </w:r>
      <w:r>
        <w:t xml:space="preserve"> </w:t>
      </w:r>
      <w:r>
        <w:t xml:space="preserve">representativeness</w:t>
      </w:r>
      <w:r>
        <w:t xml:space="preserve"> </w:t>
      </w:r>
      <w:r>
        <w:t xml:space="preserve">and</w:t>
      </w:r>
      <w:r>
        <w:t xml:space="preserve"> </w:t>
      </w:r>
      <w:r>
        <w:t xml:space="preserve">detected</w:t>
      </w:r>
      <w:r>
        <w:t xml:space="preserve"> </w:t>
      </w:r>
      <w:r>
        <w:t xml:space="preserve">anomalies</w:t>
      </w:r>
      <w:r>
        <w:t xml:space="preserve"> </w:t>
      </w:r>
      <w:r>
        <w:t xml:space="preserve">from</w:t>
      </w:r>
      <w:r>
        <w:t xml:space="preserve"> </w:t>
      </w:r>
      <w:r>
        <w:t xml:space="preserve">verified</w:t>
      </w:r>
      <w:r>
        <w:t xml:space="preserve"> </w:t>
      </w:r>
      <w:r>
        <w:t xml:space="preserve">corrections.</w:t>
      </w:r>
    </w:p>
    <w:p>
      <w:pPr>
        <w:pStyle w:val="FirstParagraph"/>
      </w:pPr>
      <w:r>
        <w:rPr>
          <w:bCs/>
          <w:b/>
        </w:rPr>
        <w:t xml:space="preserve">Keywords:</w:t>
      </w:r>
      <w:r>
        <w:t xml:space="preserve"> </w:t>
      </w:r>
      <w:r>
        <w:t xml:space="preserve">citizen science; FAIR data; soil monitoring; research-data infrastructure; quality assurance; privacy; provenance; interoperability.</w:t>
      </w:r>
    </w:p>
    <w:bookmarkStart w:id="20" w:name="introduction"/>
    <w:p>
      <w:pPr>
        <w:pStyle w:val="Heading1"/>
      </w:pPr>
      <w:r>
        <w:t xml:space="preserve">Introduction</w:t>
      </w:r>
    </w:p>
    <w:p>
      <w:pPr>
        <w:pStyle w:val="FirstParagraph"/>
      </w:pPr>
      <w:r>
        <w:t xml:space="preserve">Citizen science expands the geographical reach of environmental observations and creates opportunities for public participation in monitoring</w:t>
      </w:r>
      <w:r>
        <w:t xml:space="preserve"> </w:t>
      </w:r>
      <w:r>
        <w:t xml:space="preserve">(Bonney et al. 2009, 2014)</w:t>
      </w:r>
      <w:r>
        <w:t xml:space="preserve">. In soil science, a participant’s field record may be only the beginning of the research lifecycle of a physical sample</w:t>
      </w:r>
      <w:r>
        <w:t xml:space="preserve"> </w:t>
      </w:r>
      <w:r>
        <w:t xml:space="preserve">(Peiro et al. 2026)</w:t>
      </w:r>
      <w:r>
        <w:t xml:space="preserve">. A soil specimen can subsequently be transported to a laboratory, subjected to elemental analysis or microbial sequencing, and associated with analytical results produced long after collection. Photographs, sampling metadata and measurements may therefore originate from different organisations, data systems and production schedules.</w:t>
      </w:r>
    </w:p>
    <w:p>
      <w:pPr>
        <w:pStyle w:val="BodyText"/>
      </w:pPr>
      <w:r>
        <w:t xml:space="preserve">This separation poses a data-integration problem distinct from initial observation capture. Research reuse requires consistent identities for physical samples, traceable links among their derived data and methods, and the ability to incorporate new results without rewriting the original observation. Participant-facing applications can evolve independently of laboratory information systems. At the same time, incomplete positions, application-default coordinates and discrepancies between planned kit allocations and actual sampling countries require contextual quality assessment rather than automatic rejection. Public release also requires safeguards for sensitive coordinates and potentially identifying images.</w:t>
      </w:r>
    </w:p>
    <w:p>
      <w:pPr>
        <w:pStyle w:val="BodyText"/>
      </w:pPr>
      <w:r>
        <w:t xml:space="preserve">Established citizen-science services such as CitSci.org and eBird demonstrate the importance of data curation, quality control and sharing</w:t>
      </w:r>
      <w:r>
        <w:t xml:space="preserve"> </w:t>
      </w:r>
      <w:r>
        <w:t xml:space="preserve">(Wang et al. 2015; Sullivan et al. 2014)</w:t>
      </w:r>
      <w:r>
        <w:t xml:space="preserve">. Our focus is complementary: preserving an application-independent, sample-centred research representation across the successive stages of collection, laboratory enrichment, quality assessment and publication. In this context, FAIR principles provide a framework for improving the findability, accessibility, interoperability and reusability of research outputs</w:t>
      </w:r>
      <w:r>
        <w:t xml:space="preserve"> </w:t>
      </w:r>
      <w:r>
        <w:t xml:space="preserve">(Wilkinson et al. 2016)</w:t>
      </w:r>
      <w:r>
        <w:t xml:space="preserve">, without implying that a repository’s implementation alone proves full FAIR compliance.</w:t>
      </w:r>
    </w:p>
    <w:p>
      <w:pPr>
        <w:pStyle w:val="BodyText"/>
      </w:pPr>
      <w:r>
        <w:t xml:space="preserve">We present</w:t>
      </w:r>
      <w:r>
        <w:t xml:space="preserve"> </w:t>
      </w:r>
      <w:r>
        <w:rPr>
          <w:smallCaps/>
        </w:rPr>
        <w:t xml:space="preserve">ECHOREPO</w:t>
      </w:r>
      <w:r>
        <w:t xml:space="preserve">, an open-source infrastructure developed for the ECHO European soil citizen-science project</w:t>
      </w:r>
      <w:r>
        <w:t xml:space="preserve"> </w:t>
      </w:r>
      <w:r>
        <w:t xml:space="preserve">(European Commission 2023)</w:t>
      </w:r>
      <w:r>
        <w:t xml:space="preserve">. We describe its source-independent architecture, canonical sample-linked model, quality-assurance and privacy decisions, and versioned publication workflow. We then examine the coverage of linked data domains in a 10,554-sample canonical snapshot and the interpretation of geographical and allocation-consistency flags. The contribution is an implemented and evaluated data-lifecycle pattern, not a universal platform or an inference about ecological relationships from the available records.</w:t>
      </w:r>
    </w:p>
    <w:bookmarkEnd w:id="20"/>
    <w:bookmarkStart w:id="41" w:name="materials-and-methods"/>
    <w:p>
      <w:pPr>
        <w:pStyle w:val="Heading1"/>
      </w:pPr>
      <w:r>
        <w:t xml:space="preserve">Materials and methods</w:t>
      </w:r>
    </w:p>
    <w:bookmarkStart w:id="25" w:name="study-context-and-architecture"/>
    <w:p>
      <w:pPr>
        <w:pStyle w:val="Heading2"/>
      </w:pPr>
      <w:r>
        <w:t xml:space="preserve">Study context and architecture</w:t>
      </w:r>
    </w:p>
    <w:p>
      <w:pPr>
        <w:pStyle w:val="FirstParagraph"/>
      </w:pPr>
      <w:r>
        <w:t xml:space="preserve">ECHOREPO was developed within ECHO (Engaging Citizens in Soil Science: The Road to Healthier Soils; Horizon Europe Grant No. 101112869, with UKRI support under Grant No. 10068004). Participants enter observations, coordinates and photographs in the EchoSoil mobile application, which uses an independent Firebase-based backend and authentication system. Dedicated ingestion routines retrieve source records, reconcile identifiers and transform the incoming representation into a canonical research model. The repository is therefore not a direct extension of the mobile application’s database.</w:t>
      </w:r>
    </w:p>
    <w:p>
      <w:pPr>
        <w:pStyle w:val="BodyText"/>
      </w:pPr>
      <w:r>
        <w:t xml:space="preserve">The architecture separates acquisition, ingestion and harmonisation, canonical storage, and controlled publication (Figure </w:t>
      </w:r>
      <w:hyperlink w:anchor="fig:architecture">
        <w:r>
          <w:rPr>
            <w:rStyle w:val="Hyperlink"/>
          </w:rPr>
          <w:t xml:space="preserve">1</w:t>
        </w:r>
      </w:hyperlink>
      <w:r>
        <w:t xml:space="preserve">). The implementation uses Flask for web/API access, PostgreSQL for structured research data, MinIO-compatible object storage for images and other files, Keycloak/OpenID Connect for authenticated use, and Docker Compose for deployment. These are concrete implementation choices, not prerequisites of the architectural pattern. The defining boundary is between source-specific adapters and the canonical research-data representation.</w:t>
      </w:r>
    </w:p>
    <w:p>
      <w:pPr>
        <w:pStyle w:val="CaptionedFigure"/>
      </w:pPr>
      <w:bookmarkStart w:id="24" w:name="fig:architecture"/>
      <w:r>
        <w:drawing>
          <wp:inline>
            <wp:extent cx="5334000" cy="1266129"/>
            <wp:effectExtent b="0" l="0" r="0" t="0"/>
            <wp:docPr descr="Functional architecture of ECHOREPO. Source-specific acquisition and analytical systems feed a stable canonical repository; research products are generated through an explicit publication boundary." title="" id="22" name="Picture"/>
            <a:graphic>
              <a:graphicData uri="http://schemas.openxmlformats.org/drawingml/2006/picture">
                <pic:pic>
                  <pic:nvPicPr>
                    <pic:cNvPr descr="figures/diagram-1.png" id="23" name="Picture"/>
                    <pic:cNvPicPr>
                      <a:picLocks noChangeArrowheads="1" noChangeAspect="1"/>
                    </pic:cNvPicPr>
                  </pic:nvPicPr>
                  <pic:blipFill>
                    <a:blip r:embed="rId21"/>
                    <a:stretch>
                      <a:fillRect/>
                    </a:stretch>
                  </pic:blipFill>
                  <pic:spPr bwMode="auto">
                    <a:xfrm>
                      <a:off x="0" y="0"/>
                      <a:ext cx="5334000" cy="1266129"/>
                    </a:xfrm>
                    <a:prstGeom prst="rect">
                      <a:avLst/>
                    </a:prstGeom>
                    <a:noFill/>
                    <a:ln w="9525">
                      <a:noFill/>
                      <a:headEnd/>
                      <a:tailEnd/>
                    </a:ln>
                  </pic:spPr>
                </pic:pic>
              </a:graphicData>
            </a:graphic>
          </wp:inline>
        </w:drawing>
      </w:r>
      <w:bookmarkEnd w:id="24"/>
    </w:p>
    <w:p>
      <w:pPr>
        <w:pStyle w:val="ImageCaption"/>
      </w:pPr>
      <w:r>
        <w:t xml:space="preserve">Functional architecture of ECHOREPO. Source-specific acquisition and analytical systems feed a stable canonical repository; research products are generated through an explicit publication boundary.</w:t>
      </w:r>
    </w:p>
    <w:bookmarkEnd w:id="25"/>
    <w:bookmarkStart w:id="31" w:name="sample-centred-data-integration"/>
    <w:p>
      <w:pPr>
        <w:pStyle w:val="Heading2"/>
      </w:pPr>
      <w:r>
        <w:t xml:space="preserve">Sample-centred data integration</w:t>
      </w:r>
    </w:p>
    <w:p>
      <w:pPr>
        <w:pStyle w:val="FirstParagraph"/>
      </w:pPr>
      <w:r>
        <w:t xml:space="preserve">A physical soil sample is the principal research entity. Its stable</w:t>
      </w:r>
      <w:r>
        <w:t xml:space="preserve"> </w:t>
      </w:r>
      <w:r>
        <w:rPr>
          <w:rStyle w:val="VerbatimChar"/>
        </w:rPr>
        <w:t xml:space="preserve">sample_id</w:t>
      </w:r>
      <w:r>
        <w:t xml:space="preserve"> </w:t>
      </w:r>
      <w:r>
        <w:t xml:space="preserve">links participant observations, images and subsequent analytical data without requiring those resources to share a common file format or production schedule. The canonical publication model contains six separate CSV tables (Table </w:t>
      </w:r>
      <w:hyperlink w:anchor="tab:canonical">
        <w:r>
          <w:rPr>
            <w:rStyle w:val="Hyperlink"/>
          </w:rPr>
          <w:t xml:space="preserve">1</w:t>
        </w:r>
      </w:hyperlink>
      <w:r>
        <w:t xml:space="preserve">). Field observations are kept at sample level, while photographs, elemental measurements and biodiversity records are represented as linked resources rather than being flattened into a single table.</w:t>
      </w:r>
    </w:p>
    <w:bookmarkStart w:id="26" w:name="tab:canonical"/>
    <w:p>
      <w:pPr>
        <w:pStyle w:val="TableCaption"/>
      </w:pPr>
      <w:r>
        <w:t xml:space="preserve">Canonical tabular resources in the ECHOREPO publication bundle.</w:t>
      </w:r>
    </w:p>
    <w:tbl>
      <w:tblPr>
        <w:tblStyle w:val="Table"/>
        <w:tblW w:type="auto" w:w="0"/>
        <w:tblLook w:firstRow="1" w:lastRow="0" w:firstColumn="0" w:lastColumn="0" w:noHBand="0" w:noVBand="0" w:val="0020"/>
        <w:tblCaption w:val="Canonical tabular resources in the ECHOREPO publication bundle."/>
      </w:tblPr>
      <w:tblGrid>
        <w:gridCol w:w="3960"/>
        <w:gridCol w:w="3960"/>
      </w:tblGrid>
      <w:tr>
        <w:trPr>
          <w:tblHeader w:val="true"/>
        </w:trPr>
        <w:tc>
          <w:tcPr/>
          <w:p>
            <w:pPr>
              <w:pStyle w:val="Compact"/>
              <w:jc w:val="left"/>
            </w:pPr>
            <w:r>
              <w:t xml:space="preserve">Resource</w:t>
            </w:r>
          </w:p>
        </w:tc>
        <w:tc>
          <w:tcPr/>
          <w:p>
            <w:pPr>
              <w:pStyle w:val="Compact"/>
              <w:jc w:val="left"/>
            </w:pPr>
            <w:r>
              <w:t xml:space="preserve">Contents and linkage</w:t>
            </w:r>
          </w:p>
        </w:tc>
      </w:tr>
      <w:tr>
        <w:tc>
          <w:tcPr/>
          <w:p>
            <w:pPr>
              <w:pStyle w:val="Compact"/>
              <w:jc w:val="left"/>
            </w:pPr>
            <w:r>
              <w:rPr>
                <w:rStyle w:val="VerbatimChar"/>
              </w:rPr>
              <w:t xml:space="preserve">samples.csv</w:t>
            </w:r>
          </w:p>
        </w:tc>
        <w:tc>
          <w:tcPr/>
          <w:p>
            <w:pPr>
              <w:pStyle w:val="Compact"/>
              <w:jc w:val="left"/>
            </w:pPr>
            <w:r>
              <w:t xml:space="preserve">Sample-level observations, approximate public coordinates, quality status and licence; one row per sample.</w:t>
            </w:r>
          </w:p>
        </w:tc>
      </w:tr>
      <w:tr>
        <w:tc>
          <w:tcPr/>
          <w:p>
            <w:pPr>
              <w:pStyle w:val="Compact"/>
              <w:jc w:val="left"/>
            </w:pPr>
            <w:r>
              <w:rPr>
                <w:rStyle w:val="VerbatimChar"/>
              </w:rPr>
              <w:t xml:space="preserve">sample_images.csv</w:t>
            </w:r>
          </w:p>
        </w:tc>
        <w:tc>
          <w:tcPr/>
          <w:p>
            <w:pPr>
              <w:pStyle w:val="Compact"/>
              <w:jc w:val="left"/>
            </w:pPr>
            <w:r>
              <w:t xml:space="preserve">Linked image identifiers, URLs and descriptive metadata.</w:t>
            </w:r>
          </w:p>
        </w:tc>
      </w:tr>
      <w:tr>
        <w:tc>
          <w:tcPr/>
          <w:p>
            <w:pPr>
              <w:pStyle w:val="Compact"/>
              <w:jc w:val="left"/>
            </w:pPr>
            <w:r>
              <w:rPr>
                <w:rStyle w:val="VerbatimChar"/>
              </w:rPr>
              <w:t xml:space="preserve">sample_parameters.csv</w:t>
            </w:r>
          </w:p>
        </w:tc>
        <w:tc>
          <w:tcPr/>
          <w:p>
            <w:pPr>
              <w:pStyle w:val="Compact"/>
              <w:jc w:val="left"/>
            </w:pPr>
            <w:r>
              <w:t xml:space="preserve">Laboratory parameter values, units, method codes and timestamps, linked to samples and definitions.</w:t>
            </w:r>
          </w:p>
        </w:tc>
      </w:tr>
      <w:tr>
        <w:tc>
          <w:tcPr/>
          <w:p>
            <w:pPr>
              <w:pStyle w:val="Compact"/>
              <w:jc w:val="left"/>
            </w:pPr>
            <w:r>
              <w:rPr>
                <w:rStyle w:val="VerbatimChar"/>
              </w:rPr>
              <w:t xml:space="preserve">sample_biodiversity.csv</w:t>
            </w:r>
          </w:p>
        </w:tc>
        <w:tc>
          <w:tcPr/>
          <w:p>
            <w:pPr>
              <w:pStyle w:val="Compact"/>
              <w:jc w:val="left"/>
            </w:pPr>
            <w:r>
              <w:t xml:space="preserve">Sample-linked microbial taxonomic results, including marker, read count and relative abundance.</w:t>
            </w:r>
          </w:p>
        </w:tc>
      </w:tr>
      <w:tr>
        <w:tc>
          <w:tcPr/>
          <w:p>
            <w:pPr>
              <w:pStyle w:val="Compact"/>
              <w:jc w:val="left"/>
            </w:pPr>
            <w:r>
              <w:rPr>
                <w:rStyle w:val="VerbatimChar"/>
              </w:rPr>
              <w:t xml:space="preserve">parameter_definitions.csv</w:t>
            </w:r>
          </w:p>
        </w:tc>
        <w:tc>
          <w:tcPr/>
          <w:p>
            <w:pPr>
              <w:pStyle w:val="Compact"/>
              <w:jc w:val="left"/>
            </w:pPr>
            <w:r>
              <w:t xml:space="preserve">Analytical parameter codes, descriptions, reference units and semantic identifiers.</w:t>
            </w:r>
          </w:p>
        </w:tc>
      </w:tr>
      <w:tr>
        <w:tc>
          <w:tcPr/>
          <w:p>
            <w:pPr>
              <w:pStyle w:val="Compact"/>
              <w:jc w:val="left"/>
            </w:pPr>
            <w:r>
              <w:rPr>
                <w:rStyle w:val="VerbatimChar"/>
              </w:rPr>
              <w:t xml:space="preserve">analysis_methods.csv</w:t>
            </w:r>
          </w:p>
        </w:tc>
        <w:tc>
          <w:tcPr/>
          <w:p>
            <w:pPr>
              <w:pStyle w:val="Compact"/>
              <w:jc w:val="left"/>
            </w:pPr>
            <w:r>
              <w:t xml:space="preserve">Analytical method codes and associated descriptions or method identifiers.</w:t>
            </w:r>
          </w:p>
        </w:tc>
      </w:tr>
    </w:tbl>
    <w:bookmarkEnd w:id="26"/>
    <w:p>
      <w:pPr>
        <w:pStyle w:val="BodyText"/>
      </w:pPr>
      <w:r>
        <w:t xml:space="preserve">In the published table relations,</w:t>
      </w:r>
      <w:r>
        <w:t xml:space="preserve"> </w:t>
      </w:r>
      <w:r>
        <w:rPr>
          <w:rStyle w:val="VerbatimChar"/>
        </w:rPr>
        <w:t xml:space="preserve">sample_id</w:t>
      </w:r>
      <w:r>
        <w:t xml:space="preserve"> </w:t>
      </w:r>
      <w:r>
        <w:t xml:space="preserve">connects the sample-associated resources, while</w:t>
      </w:r>
      <w:r>
        <w:t xml:space="preserve"> </w:t>
      </w:r>
      <w:r>
        <w:rPr>
          <w:rStyle w:val="VerbatimChar"/>
        </w:rPr>
        <w:t xml:space="preserve">parameter_code</w:t>
      </w:r>
      <w:r>
        <w:t xml:space="preserve"> </w:t>
      </w:r>
      <w:r>
        <w:t xml:space="preserve">and</w:t>
      </w:r>
      <w:r>
        <w:t xml:space="preserve"> </w:t>
      </w:r>
      <w:r>
        <w:rPr>
          <w:rStyle w:val="VerbatimChar"/>
        </w:rPr>
        <w:t xml:space="preserve">method_code</w:t>
      </w:r>
      <w:r>
        <w:t xml:space="preserve"> </w:t>
      </w:r>
      <w:r>
        <w:t xml:space="preserve">connect analytical results to their definition tables. Images additionally have</w:t>
      </w:r>
      <w:r>
        <w:t xml:space="preserve"> </w:t>
      </w:r>
      <w:r>
        <w:rPr>
          <w:rStyle w:val="VerbatimChar"/>
        </w:rPr>
        <w:t xml:space="preserve">image_id</w:t>
      </w:r>
      <w:r>
        <w:t xml:space="preserve">; biodiversity records contain marker and source-file fields. These identifiers provide more than a shared sample key, but the six-table export does not assert a separate, universal analytical-run identifier. The public biodiversity table reports read counts and relative abundances; specialist OTU matrices may be distributed as distinct analytical products.</w:t>
      </w:r>
    </w:p>
    <w:p>
      <w:pPr>
        <w:pStyle w:val="CaptionedFigure"/>
      </w:pPr>
      <w:bookmarkStart w:id="30" w:name="fig:data-model"/>
      <w:r>
        <w:drawing>
          <wp:inline>
            <wp:extent cx="5157409" cy="2240038"/>
            <wp:effectExtent b="0" l="0" r="0" t="0"/>
            <wp:docPr descr="Simplified relationships among the six canonical CSV resources. Arrows indicate referential linkage, not a required order of data processing." title="" id="28" name="Picture"/>
            <a:graphic>
              <a:graphicData uri="http://schemas.openxmlformats.org/drawingml/2006/picture">
                <pic:pic>
                  <pic:nvPicPr>
                    <pic:cNvPr descr="figures/diagram-2.png" id="29" name="Picture"/>
                    <pic:cNvPicPr>
                      <a:picLocks noChangeArrowheads="1" noChangeAspect="1"/>
                    </pic:cNvPicPr>
                  </pic:nvPicPr>
                  <pic:blipFill>
                    <a:blip r:embed="rId27"/>
                    <a:stretch>
                      <a:fillRect/>
                    </a:stretch>
                  </pic:blipFill>
                  <pic:spPr bwMode="auto">
                    <a:xfrm>
                      <a:off x="0" y="0"/>
                      <a:ext cx="5157409" cy="2240038"/>
                    </a:xfrm>
                    <a:prstGeom prst="rect">
                      <a:avLst/>
                    </a:prstGeom>
                    <a:noFill/>
                    <a:ln w="9525">
                      <a:noFill/>
                      <a:headEnd/>
                      <a:tailEnd/>
                    </a:ln>
                  </pic:spPr>
                </pic:pic>
              </a:graphicData>
            </a:graphic>
          </wp:inline>
        </w:drawing>
      </w:r>
      <w:bookmarkEnd w:id="30"/>
    </w:p>
    <w:p>
      <w:pPr>
        <w:pStyle w:val="ImageCaption"/>
      </w:pPr>
      <w:r>
        <w:t xml:space="preserve">Simplified relationships among the six canonical CSV resources. Arrows indicate referential linkage, not a required order of data processing.</w:t>
      </w:r>
    </w:p>
    <w:p>
      <w:pPr>
        <w:pStyle w:val="BodyText"/>
      </w:pPr>
      <w:r>
        <w:t xml:space="preserve">Laboratory enrichment may include X-ray fluorescence (XRF) measurements of elemental composition and microbial biodiversity information derived from 16S rRNA gene and internal transcribed spacer (ITS) amplicon sequencing. These outputs may arrive later and from different organisations. Retaining source identifiers, methods, source-file references and relevant timestamps makes progressively enriched records traceable without imposing one uniform representation on heterogeneous analyses.</w:t>
      </w:r>
    </w:p>
    <w:bookmarkEnd w:id="31"/>
    <w:bookmarkStart w:id="36" w:name="illustrative-sample-journeys"/>
    <w:p>
      <w:pPr>
        <w:pStyle w:val="Heading2"/>
      </w:pPr>
      <w:r>
        <w:t xml:space="preserve">Illustrative sample journeys</w:t>
      </w:r>
    </w:p>
    <w:p>
      <w:pPr>
        <w:pStyle w:val="FirstParagraph"/>
      </w:pPr>
      <w:r>
        <w:t xml:space="preserve">Figure </w:t>
      </w:r>
      <w:hyperlink w:anchor="fig:sample-journeys">
        <w:r>
          <w:rPr>
            <w:rStyle w:val="Hyperlink"/>
          </w:rPr>
          <w:t xml:space="preserve">3</w:t>
        </w:r>
      </w:hyperlink>
      <w:r>
        <w:t xml:space="preserve"> </w:t>
      </w:r>
      <w:r>
        <w:t xml:space="preserve">contrasts two</w:t>
      </w:r>
      <w:r>
        <w:t xml:space="preserve"> </w:t>
      </w:r>
      <w:r>
        <w:rPr>
          <w:iCs/>
          <w:i/>
        </w:rPr>
        <w:t xml:space="preserve">schematic</w:t>
      </w:r>
      <w:r>
        <w:t xml:space="preserve"> </w:t>
      </w:r>
      <w:r>
        <w:t xml:space="preserve">sample journeys to clarify the scientific purpose of the model. In the first, one soil sample is recorded in the field and later linked to photographs, X-ray fluorescence measurements and taxonomic summaries from 16S or ITS analyses. Its stable identifier supports a joint query without asserting that these measurements were collected simultaneously or are biologically correlated. In the second, a QR-labelled kit is originally assigned to one country but its source record indicates collection in another. The repository records the discrepancy for inspection rather than automatically treating the position as erroneous or discarding associated observations. These are illustrative workflows,</w:t>
      </w:r>
      <w:r>
        <w:t xml:space="preserve"> </w:t>
      </w:r>
      <w:r>
        <w:rPr>
          <w:iCs/>
          <w:i/>
        </w:rPr>
        <w:t xml:space="preserve">not</w:t>
      </w:r>
      <w:r>
        <w:t xml:space="preserve"> </w:t>
      </w:r>
      <w:r>
        <w:t xml:space="preserve">two selected empirical records or verified corrections; they do not add cases to the quantitative evaluation.</w:t>
      </w:r>
    </w:p>
    <w:p>
      <w:pPr>
        <w:pStyle w:val="CaptionedFigure"/>
      </w:pPr>
      <w:bookmarkStart w:id="35" w:name="fig:sample-journeys"/>
      <w:r>
        <w:drawing>
          <wp:inline>
            <wp:extent cx="4644571" cy="1785257"/>
            <wp:effectExtent b="0" l="0" r="0" t="0"/>
            <wp:docPr descr="Two illustrative, not empirically selected, sample journeys. Journey A shows how later analytical products can remain linked to a field sample; Journey B shows why an allocation-country discrepancy requires provenance-based interpretation rather than automatic classification as a GPS error. Country labels are placeholders and do not identify actual participants or samples." title="" id="33" name="Picture"/>
            <a:graphic>
              <a:graphicData uri="http://schemas.openxmlformats.org/drawingml/2006/picture">
                <pic:pic>
                  <pic:nvPicPr>
                    <pic:cNvPr descr="figures/diagram-3.png" id="34" name="Picture"/>
                    <pic:cNvPicPr>
                      <a:picLocks noChangeArrowheads="1" noChangeAspect="1"/>
                    </pic:cNvPicPr>
                  </pic:nvPicPr>
                  <pic:blipFill>
                    <a:blip r:embed="rId32"/>
                    <a:stretch>
                      <a:fillRect/>
                    </a:stretch>
                  </pic:blipFill>
                  <pic:spPr bwMode="auto">
                    <a:xfrm>
                      <a:off x="0" y="0"/>
                      <a:ext cx="4644571" cy="1785257"/>
                    </a:xfrm>
                    <a:prstGeom prst="rect">
                      <a:avLst/>
                    </a:prstGeom>
                    <a:noFill/>
                    <a:ln w="9525">
                      <a:noFill/>
                      <a:headEnd/>
                      <a:tailEnd/>
                    </a:ln>
                  </pic:spPr>
                </pic:pic>
              </a:graphicData>
            </a:graphic>
          </wp:inline>
        </w:drawing>
      </w:r>
      <w:bookmarkEnd w:id="35"/>
    </w:p>
    <w:p>
      <w:pPr>
        <w:pStyle w:val="ImageCaption"/>
      </w:pPr>
      <w:r>
        <w:t xml:space="preserve">Two illustrative, not empirically selected, sample journeys. Journey A shows how later analytical products can remain linked to a field sample; Journey B shows why an allocation-country discrepancy requires provenance-based interpretation rather than automatic classification as a GPS error. Country labels are placeholders and do not identify actual participants or samples.</w:t>
      </w:r>
    </w:p>
    <w:bookmarkEnd w:id="36"/>
    <w:bookmarkStart w:id="37" w:name="evaluation-metrics-and-data-scope"/>
    <w:p>
      <w:pPr>
        <w:pStyle w:val="Heading2"/>
      </w:pPr>
      <w:r>
        <w:t xml:space="preserve">Evaluation metrics and data scope</w:t>
      </w:r>
    </w:p>
    <w:p>
      <w:pPr>
        <w:pStyle w:val="FirstParagraph"/>
      </w:pPr>
      <w:r>
        <w:t xml:space="preserve">Data-domain coverage was calculated from the ECHOREPO version 12 canonical dataset snapshot dated 29 October 2026, archived on Zenodo</w:t>
      </w:r>
      <w:r>
        <w:t xml:space="preserve"> </w:t>
      </w:r>
      <w:r>
        <w:t xml:space="preserve">(ECHO Consortium 2026)</w:t>
      </w:r>
      <w:r>
        <w:t xml:space="preserve">. The denominator is the number of distinct non-empty</w:t>
      </w:r>
      <w:r>
        <w:t xml:space="preserve"> </w:t>
      </w:r>
      <w:r>
        <w:rPr>
          <w:rStyle w:val="VerbatimChar"/>
        </w:rPr>
        <w:t xml:space="preserve">sample_id</w:t>
      </w:r>
      <w:r>
        <w:t xml:space="preserve"> </w:t>
      </w:r>
      <w:r>
        <w:t xml:space="preserve">values in</w:t>
      </w:r>
      <w:r>
        <w:t xml:space="preserve"> </w:t>
      </w:r>
      <w:r>
        <w:rPr>
          <w:rStyle w:val="VerbatimChar"/>
        </w:rPr>
        <w:t xml:space="preserve">samples.csv</w:t>
      </w:r>
      <w:r>
        <w:t xml:space="preserve">. For each of the three supplementary domains (photographs, laboratory parameters and biodiversity), a sample is counted once if at least one row with the same identifier appears in the corresponding canonical CSV. The number of domains associated with each sample is then counted from zero to three; repeated measurements, images or taxonomic rows do not inflate sample coverage. The figures consequently describe the</w:t>
      </w:r>
      <w:r>
        <w:t xml:space="preserve"> </w:t>
      </w:r>
      <w:r>
        <w:rPr>
          <w:iCs/>
          <w:i/>
        </w:rPr>
        <w:t xml:space="preserve">published canonical representation</w:t>
      </w:r>
      <w:r>
        <w:t xml:space="preserve">, not the number of images, laboratory determinations, sequencing reads or planned analyses. The laboratory canonicalisation excludes oxide-form parameter rows and values below its default export threshold of 0.01; biodiversity coverage concerns exported taxonomic summaries rather than raw marker-by-feature matrices.</w:t>
      </w:r>
    </w:p>
    <w:p>
      <w:pPr>
        <w:pStyle w:val="BodyText"/>
      </w:pPr>
      <w:r>
        <w:t xml:space="preserve">The QA tally separately classifies application-default coordinates and discrepancies between a QR code’s planned allocation country and the recorded country of collection. These are screening classes, not a ground-truth classification of coordinate errors. Country comparison is performed using source-side information, not privacy-displaced public map coordinates. The QA summary reports 396 flagged records, but a record-level QA export was not available for an independent identifier-by-identifier comparison with the canonical snapshot. Percentages using the 10,554-sample denominator are therefore explicitly conditional on matching assessment populations.</w:t>
      </w:r>
    </w:p>
    <w:bookmarkEnd w:id="37"/>
    <w:bookmarkStart w:id="38" w:name="Xacb5847810c840113ce2b65086cb936d5b1be93"/>
    <w:p>
      <w:pPr>
        <w:pStyle w:val="Heading2"/>
      </w:pPr>
      <w:r>
        <w:t xml:space="preserve">Quality assurance and provenance-assisted assessment</w:t>
      </w:r>
    </w:p>
    <w:p>
      <w:pPr>
        <w:pStyle w:val="FirstParagraph"/>
      </w:pPr>
      <w:r>
        <w:t xml:space="preserve">The quality-assurance (QA) workflow flags inconsistent source records while retaining their sample identifiers and provenance. The present assessment distinguishes two classes. First,</w:t>
      </w:r>
      <w:r>
        <w:t xml:space="preserve"> </w:t>
      </w:r>
      <w:r>
        <w:rPr>
          <w:iCs/>
          <w:i/>
        </w:rPr>
        <w:t xml:space="preserve">application-default coordinates</w:t>
      </w:r>
      <w:r>
        <w:t xml:space="preserve"> </w:t>
      </w:r>
      <w:r>
        <w:t xml:space="preserve">are placeholder positions recorded when the mobile workflow does not obtain a usable location; they cannot be treated as measured sampling positions. Second, a</w:t>
      </w:r>
      <w:r>
        <w:t xml:space="preserve"> </w:t>
      </w:r>
      <w:r>
        <w:rPr>
          <w:iCs/>
          <w:i/>
        </w:rPr>
        <w:t xml:space="preserve">planned-country mismatch</w:t>
      </w:r>
      <w:r>
        <w:t xml:space="preserve"> </w:t>
      </w:r>
      <w:r>
        <w:t xml:space="preserve">occurs when the country assigned to a QR code for sample distribution differs from the country associated with its actual recorded collection location. This comparison is independent of the jittered public map coordinates. A planned-country mismatch can arise from a legitimate cross-country redistribution of sampling kits, outdated allocation metadata or an inaccurate location; it does not alone establish an erroneous GPS record.</w:t>
      </w:r>
    </w:p>
    <w:p>
      <w:pPr>
        <w:pStyle w:val="BodyText"/>
      </w:pPr>
      <w:r>
        <w:t xml:space="preserve">Flagged records can be investigated using the QR/sample identifier, kit-allocation history, source observations and other appropriately protected provenance. A correction should be made only when supported by evidence; otherwise the flag remains unresolved or qualified rather than being silently overwritten. Thus, detection, interpretation and verified recovery are distinct stages. The classification cannot by itself identify causes such as device malfunction, participant error or workflow interruption, and recovery outcomes were not measured in this evaluation</w:t>
      </w:r>
      <w:r>
        <w:t xml:space="preserve"> </w:t>
      </w:r>
      <w:r>
        <w:t xml:space="preserve">(Kosmala et al. 2016)</w:t>
      </w:r>
      <w:r>
        <w:t xml:space="preserve">.</w:t>
      </w:r>
    </w:p>
    <w:bookmarkEnd w:id="38"/>
    <w:bookmarkStart w:id="39" w:name="Xdd3d901ccdf3df0fe5ae3f685a9933d1a89565d"/>
    <w:p>
      <w:pPr>
        <w:pStyle w:val="Heading2"/>
      </w:pPr>
      <w:r>
        <w:t xml:space="preserve">Geographical privacy and image protection</w:t>
      </w:r>
    </w:p>
    <w:p>
      <w:pPr>
        <w:pStyle w:val="FirstParagraph"/>
      </w:pPr>
      <w:r>
        <w:t xml:space="preserve">Exact source coordinates are retained in the controlled-access environment and assessed for QA before deriving public positions. Public sample coordinates are deterministically displaced within a configurable maximum distance, currently 1,000 m by default. This is a pragmatic compromise intended to reduce precision around individual properties while maintaining regional-scale utility; it is</w:t>
      </w:r>
      <w:r>
        <w:t xml:space="preserve"> </w:t>
      </w:r>
      <w:r>
        <w:rPr>
          <w:iCs/>
          <w:i/>
        </w:rPr>
        <w:t xml:space="preserve">not</w:t>
      </w:r>
      <w:r>
        <w:t xml:space="preserve"> </w:t>
      </w:r>
      <w:r>
        <w:t xml:space="preserve">a formally validated anonymity threshold. The field</w:t>
      </w:r>
      <w:r>
        <w:t xml:space="preserve"> </w:t>
      </w:r>
      <w:r>
        <w:rPr>
          <w:rStyle w:val="VerbatimChar"/>
        </w:rPr>
        <w:t xml:space="preserve">coordinate_obfuscation_radius_m</w:t>
      </w:r>
      <w:r>
        <w:t xml:space="preserve"> </w:t>
      </w:r>
      <w:r>
        <w:t xml:space="preserve">documents the configured radius in the published sample table.</w:t>
      </w:r>
    </w:p>
    <w:p>
      <w:pPr>
        <w:pStyle w:val="BodyText"/>
      </w:pPr>
      <w:r>
        <w:t xml:space="preserve">Displacement is not constrained to coastlines or administrative boundaries. Consequently, a valid sample close to a border may appear in a neighbouring country, or a coastal sample may appear at sea. These visual artefacts do not indicate that the source coordinates failed QA: country-mismatch checks operate on underlying coordinates. ECHOREPO also supports sample exploration by EEA 2016 biogeographical regions</w:t>
      </w:r>
      <w:r>
        <w:t xml:space="preserve"> </w:t>
      </w:r>
      <w:r>
        <w:t xml:space="preserve">(European Environment Agency 2016)</w:t>
      </w:r>
      <w:r>
        <w:t xml:space="preserve">; membership is precomputed from underlying coordinates rather than inferred from the public marker position. Analysts should not use displaced positions for parcel-level, boundary-sensitive or fine-resolution spatial inference.</w:t>
      </w:r>
    </w:p>
    <w:p>
      <w:pPr>
        <w:pStyle w:val="BodyText"/>
      </w:pPr>
      <w:r>
        <w:t xml:space="preserve">Photographs require complementary protection. The MinIO image-redaction workflow locally detects text regions (potentially including street signs, building numbers and registration plates), frontal faces and QR codes, then strongly blurs or masks detected areas. Image re-encoding removes embedded EXIF fields, including GPS metadata. Object-version markers and detection counts support resumable processing and auditing. Detection is imperfect, especially for oblique or small text, non-frontal faces and low-quality images. Moreover, the standalone redactor operates</w:t>
      </w:r>
      <w:r>
        <w:t xml:space="preserve"> </w:t>
      </w:r>
      <w:r>
        <w:rPr>
          <w:iCs/>
          <w:i/>
        </w:rPr>
        <w:t xml:space="preserve">after</w:t>
      </w:r>
      <w:r>
        <w:t xml:space="preserve"> </w:t>
      </w:r>
      <w:r>
        <w:t xml:space="preserve">image mirroring; without private staging, it does not guarantee that an unredacted object was never briefly accessible. These are limitations of the current implementation, not guarantees of anonymity.</w:t>
      </w:r>
    </w:p>
    <w:bookmarkEnd w:id="39"/>
    <w:bookmarkStart w:id="40" w:name="Xe86a3317fd6399221d293db9c156a4ff003dc28"/>
    <w:p>
      <w:pPr>
        <w:pStyle w:val="Heading2"/>
      </w:pPr>
      <w:r>
        <w:t xml:space="preserve">Canonical publication and Zenodo synchronisation</w:t>
      </w:r>
    </w:p>
    <w:p>
      <w:pPr>
        <w:pStyle w:val="FirstParagraph"/>
      </w:pPr>
      <w:r>
        <w:t xml:space="preserve">Operational tables evolve as new observations and analytical results are ingested. Stable publication products are instead generated through canonical export interfaces. The Zenodo synchronisation routine retrieves an authenticated export bundle from ECHOREPO, extracts and validates the six canonical CSV resources, checks declared schemas and selected reference integrity, and generates a</w:t>
      </w:r>
      <w:r>
        <w:t xml:space="preserve"> </w:t>
      </w:r>
      <w:r>
        <w:rPr>
          <w:rStyle w:val="VerbatimChar"/>
        </w:rPr>
        <w:t xml:space="preserve">file.json</w:t>
      </w:r>
      <w:r>
        <w:t xml:space="preserve"> </w:t>
      </w:r>
      <w:r>
        <w:t xml:space="preserve">metadata document following CSV on the Web (CSVW)</w:t>
      </w:r>
      <w:r>
        <w:t xml:space="preserve"> </w:t>
      </w:r>
      <w:r>
        <w:t xml:space="preserve">(W3C 2015)</w:t>
      </w:r>
      <w:r>
        <w:t xml:space="preserve">. The metadata describes columns, types, identifiers and primary/foreign-key relationships; it also records dataset-level information and selected semantic mappings. The original ZIP may optionally be retained alongside the individual resources.</w:t>
      </w:r>
    </w:p>
    <w:p>
      <w:pPr>
        <w:pStyle w:val="BodyText"/>
      </w:pPr>
      <w:r>
        <w:t xml:space="preserve">For updates, the publication routine creates a new version draft of an existing Zenodo deposition, replaces the files as configured, uploads the validated resources and CSVW document, verifies the remote filenames, and publishes the release. It records the deposition, version and concept identifiers together with publication status and source-file information in a local log. The result is an independently citable snapshot, distinct from the mutable operational database</w:t>
      </w:r>
      <w:r>
        <w:t xml:space="preserve"> </w:t>
      </w:r>
      <w:r>
        <w:t xml:space="preserve">(Zenodo 2026; ECHO Consortium 2026)</w:t>
      </w:r>
      <w:r>
        <w:t xml:space="preserve">.</w:t>
      </w:r>
    </w:p>
    <w:p>
      <w:pPr>
        <w:pStyle w:val="BodyText"/>
      </w:pPr>
      <w:r>
        <w:t xml:space="preserve">The published metadata and persistent identifiers are designed to support indexing and discovery through infrastructures such as OpenAIRE and SoilWise</w:t>
      </w:r>
      <w:r>
        <w:t xml:space="preserve"> </w:t>
      </w:r>
      <w:r>
        <w:t xml:space="preserve">(SoilWise 2026)</w:t>
      </w:r>
      <w:r>
        <w:t xml:space="preserve">. Nevertheless, a Zenodo deposit and CSVW document are evidence of implemented FAIR-oriented mechanisms, not proof of complete FAIR compliance or independently verified discovery in every external catalogue.</w:t>
      </w:r>
    </w:p>
    <w:bookmarkEnd w:id="40"/>
    <w:bookmarkEnd w:id="41"/>
    <w:bookmarkStart w:id="51" w:name="results"/>
    <w:p>
      <w:pPr>
        <w:pStyle w:val="Heading1"/>
      </w:pPr>
      <w:r>
        <w:t xml:space="preserve">Results</w:t>
      </w:r>
    </w:p>
    <w:bookmarkStart w:id="47" w:name="X5168b88786d1f008070ba541f93d77f8439110f"/>
    <w:p>
      <w:pPr>
        <w:pStyle w:val="Heading2"/>
      </w:pPr>
      <w:r>
        <w:t xml:space="preserve">Coverage and integration of canonical research data</w:t>
      </w:r>
    </w:p>
    <w:p>
      <w:pPr>
        <w:pStyle w:val="FirstParagraph"/>
      </w:pPr>
      <w:r>
        <w:t xml:space="preserve">The evaluated canonical snapshot contains 10,554 unique soil samples. Among these, 8,744 samples (82.85%) have associated photographic records, 6,443 (61.05%) laboratory measurements and 1,200 (11.37%) microbial biodiversity results (Table </w:t>
      </w:r>
      <w:hyperlink w:anchor="tab:coverage">
        <w:r>
          <w:rPr>
            <w:rStyle w:val="Hyperlink"/>
          </w:rPr>
          <w:t xml:space="preserve">2</w:t>
        </w:r>
      </w:hyperlink>
      <w:r>
        <w:t xml:space="preserve">). These are counts of distinct sample identifiers represented in the respective canonical resources, rather than counts of photographs, analytical observations or taxonomic rows.</w:t>
      </w:r>
    </w:p>
    <w:bookmarkStart w:id="42" w:name="tab:coverage"/>
    <w:p>
      <w:pPr>
        <w:pStyle w:val="TableCaption"/>
      </w:pPr>
      <w:r>
        <w:t xml:space="preserve">Coverage of additional data domains in the evaluated ECHOREPO canonical snapshot (</w:t>
      </w:r>
      <m:oMath>
        <m:r>
          <m:t>n</m:t>
        </m:r>
        <m:r>
          <m:rPr>
            <m:sty m:val="p"/>
          </m:rPr>
          <m:t>=</m:t>
        </m:r>
        <m:r>
          <m:t>10</m:t>
        </m:r>
        <m:r>
          <m:rPr>
            <m:sty m:val="p"/>
          </m:rPr>
          <m:t>,</m:t>
        </m:r>
        <m:r>
          <m:t>554</m:t>
        </m:r>
      </m:oMath>
      <w:r>
        <w:t xml:space="preserve"> </w:t>
      </w:r>
      <w:r>
        <w:t xml:space="preserve">unique samples). Percentages are relative to the sample count, and the three additional domains are photographs, laboratory measurements and biodiversity results. Categories describing domain coverage overlap unless stated otherwise.</w:t>
      </w:r>
    </w:p>
    <w:tbl>
      <w:tblPr>
        <w:tblStyle w:val="Table"/>
        <w:tblW w:type="auto" w:w="0"/>
        <w:tblLook w:firstRow="1" w:lastRow="0" w:firstColumn="0" w:lastColumn="0" w:noHBand="0" w:noVBand="0" w:val="0020"/>
        <w:tblCaption w:val="Coverage of additional data domains in the evaluated ECHOREPO canonical snapshot (n=10{,}554 unique samples). Percentages are relative to the sample count, and the three additional domains are photographs, laboratory measurements and biodiversity results. Categories describing domain coverage overlap unless stated otherwise."/>
      </w:tblPr>
      <w:tblGrid>
        <w:gridCol w:w="2640"/>
        <w:gridCol w:w="2640"/>
        <w:gridCol w:w="2640"/>
      </w:tblGrid>
      <w:tr>
        <w:trPr>
          <w:tblHeader w:val="true"/>
        </w:trPr>
        <w:tc>
          <w:tcPr/>
          <w:p>
            <w:pPr>
              <w:pStyle w:val="Compact"/>
              <w:jc w:val="left"/>
            </w:pPr>
            <w:r>
              <w:t xml:space="preserve">Canonical data coverage</w:t>
            </w:r>
          </w:p>
        </w:tc>
        <w:tc>
          <w:tcPr/>
          <w:p>
            <w:pPr>
              <w:pStyle w:val="Compact"/>
              <w:jc w:val="right"/>
            </w:pPr>
            <w:r>
              <w:t xml:space="preserve">Samples</w:t>
            </w:r>
          </w:p>
        </w:tc>
        <w:tc>
          <w:tcPr/>
          <w:p>
            <w:pPr>
              <w:pStyle w:val="Compact"/>
              <w:jc w:val="right"/>
            </w:pPr>
            <w:r>
              <w:t xml:space="preserve">Share (%)</w:t>
            </w:r>
          </w:p>
        </w:tc>
      </w:tr>
      <w:tr>
        <w:tc>
          <w:tcPr/>
          <w:p>
            <w:pPr>
              <w:pStyle w:val="Compact"/>
              <w:jc w:val="left"/>
            </w:pPr>
            <w:r>
              <w:t xml:space="preserve">Unique soil samples</w:t>
            </w:r>
          </w:p>
        </w:tc>
        <w:tc>
          <w:tcPr/>
          <w:p>
            <w:pPr>
              <w:pStyle w:val="Compact"/>
              <w:jc w:val="right"/>
            </w:pPr>
            <w:r>
              <w:t xml:space="preserve">10,554</w:t>
            </w:r>
          </w:p>
        </w:tc>
        <w:tc>
          <w:tcPr/>
          <w:p>
            <w:pPr>
              <w:pStyle w:val="Compact"/>
              <w:jc w:val="right"/>
            </w:pPr>
            <w:r>
              <w:t xml:space="preserve">100.00</w:t>
            </w:r>
          </w:p>
        </w:tc>
      </w:tr>
      <w:tr>
        <w:tc>
          <w:tcPr/>
          <w:p>
            <w:pPr>
              <w:pStyle w:val="Compact"/>
              <w:jc w:val="left"/>
            </w:pPr>
            <w:r>
              <w:t xml:space="preserve">Samples with photographs</w:t>
            </w:r>
          </w:p>
        </w:tc>
        <w:tc>
          <w:tcPr/>
          <w:p>
            <w:pPr>
              <w:pStyle w:val="Compact"/>
              <w:jc w:val="right"/>
            </w:pPr>
            <w:r>
              <w:t xml:space="preserve">8,744</w:t>
            </w:r>
          </w:p>
        </w:tc>
        <w:tc>
          <w:tcPr/>
          <w:p>
            <w:pPr>
              <w:pStyle w:val="Compact"/>
              <w:jc w:val="right"/>
            </w:pPr>
            <w:r>
              <w:t xml:space="preserve">82.85</w:t>
            </w:r>
          </w:p>
        </w:tc>
      </w:tr>
      <w:tr>
        <w:tc>
          <w:tcPr/>
          <w:p>
            <w:pPr>
              <w:pStyle w:val="Compact"/>
              <w:jc w:val="left"/>
            </w:pPr>
            <w:r>
              <w:t xml:space="preserve">Samples with laboratory measurements</w:t>
            </w:r>
          </w:p>
        </w:tc>
        <w:tc>
          <w:tcPr/>
          <w:p>
            <w:pPr>
              <w:pStyle w:val="Compact"/>
              <w:jc w:val="right"/>
            </w:pPr>
            <w:r>
              <w:t xml:space="preserve">6,443</w:t>
            </w:r>
          </w:p>
        </w:tc>
        <w:tc>
          <w:tcPr/>
          <w:p>
            <w:pPr>
              <w:pStyle w:val="Compact"/>
              <w:jc w:val="right"/>
            </w:pPr>
            <w:r>
              <w:t xml:space="preserve">61.05</w:t>
            </w:r>
          </w:p>
        </w:tc>
      </w:tr>
      <w:tr>
        <w:tc>
          <w:tcPr/>
          <w:p>
            <w:pPr>
              <w:pStyle w:val="Compact"/>
              <w:jc w:val="left"/>
            </w:pPr>
            <w:r>
              <w:t xml:space="preserve">Samples with biodiversity results</w:t>
            </w:r>
          </w:p>
        </w:tc>
        <w:tc>
          <w:tcPr/>
          <w:p>
            <w:pPr>
              <w:pStyle w:val="Compact"/>
              <w:jc w:val="right"/>
            </w:pPr>
            <w:r>
              <w:t xml:space="preserve">1,200</w:t>
            </w:r>
          </w:p>
        </w:tc>
        <w:tc>
          <w:tcPr/>
          <w:p>
            <w:pPr>
              <w:pStyle w:val="Compact"/>
              <w:jc w:val="right"/>
            </w:pPr>
            <w:r>
              <w:t xml:space="preserve">11.37</w:t>
            </w:r>
          </w:p>
        </w:tc>
      </w:tr>
      <w:tr>
        <w:tc>
          <w:tcPr/>
          <w:p>
            <w:pPr>
              <w:pStyle w:val="Compact"/>
              <w:jc w:val="left"/>
            </w:pPr>
            <w:r>
              <w:t xml:space="preserve">At least one additional data domain</w:t>
            </w:r>
          </w:p>
        </w:tc>
        <w:tc>
          <w:tcPr/>
          <w:p>
            <w:pPr>
              <w:pStyle w:val="Compact"/>
              <w:jc w:val="right"/>
            </w:pPr>
            <w:r>
              <w:t xml:space="preserve">9,876</w:t>
            </w:r>
          </w:p>
        </w:tc>
        <w:tc>
          <w:tcPr/>
          <w:p>
            <w:pPr>
              <w:pStyle w:val="Compact"/>
              <w:jc w:val="right"/>
            </w:pPr>
            <w:r>
              <w:t xml:space="preserve">93.58</w:t>
            </w:r>
          </w:p>
        </w:tc>
      </w:tr>
      <w:tr>
        <w:tc>
          <w:tcPr/>
          <w:p>
            <w:pPr>
              <w:pStyle w:val="Compact"/>
              <w:jc w:val="left"/>
            </w:pPr>
            <w:r>
              <w:t xml:space="preserve">At least two additional data domains</w:t>
            </w:r>
          </w:p>
        </w:tc>
        <w:tc>
          <w:tcPr/>
          <w:p>
            <w:pPr>
              <w:pStyle w:val="Compact"/>
              <w:jc w:val="right"/>
            </w:pPr>
            <w:r>
              <w:t xml:space="preserve">5,514</w:t>
            </w:r>
          </w:p>
        </w:tc>
        <w:tc>
          <w:tcPr/>
          <w:p>
            <w:pPr>
              <w:pStyle w:val="Compact"/>
              <w:jc w:val="right"/>
            </w:pPr>
            <w:r>
              <w:t xml:space="preserve">52.25</w:t>
            </w:r>
          </w:p>
        </w:tc>
      </w:tr>
      <w:tr>
        <w:tc>
          <w:tcPr/>
          <w:p>
            <w:pPr>
              <w:pStyle w:val="Compact"/>
              <w:jc w:val="left"/>
            </w:pPr>
            <w:r>
              <w:t xml:space="preserve">Exactly two additional data domains</w:t>
            </w:r>
          </w:p>
        </w:tc>
        <w:tc>
          <w:tcPr/>
          <w:p>
            <w:pPr>
              <w:pStyle w:val="Compact"/>
              <w:jc w:val="right"/>
            </w:pPr>
            <w:r>
              <w:t xml:space="preserve">4,517</w:t>
            </w:r>
          </w:p>
        </w:tc>
        <w:tc>
          <w:tcPr/>
          <w:p>
            <w:pPr>
              <w:pStyle w:val="Compact"/>
              <w:jc w:val="right"/>
            </w:pPr>
            <w:r>
              <w:t xml:space="preserve">42.80</w:t>
            </w:r>
          </w:p>
        </w:tc>
      </w:tr>
      <w:tr>
        <w:tc>
          <w:tcPr/>
          <w:p>
            <w:pPr>
              <w:pStyle w:val="Compact"/>
              <w:jc w:val="left"/>
            </w:pPr>
            <w:r>
              <w:t xml:space="preserve">All three additional data domains</w:t>
            </w:r>
          </w:p>
        </w:tc>
        <w:tc>
          <w:tcPr/>
          <w:p>
            <w:pPr>
              <w:pStyle w:val="Compact"/>
              <w:jc w:val="right"/>
            </w:pPr>
            <w:r>
              <w:t xml:space="preserve">997</w:t>
            </w:r>
          </w:p>
        </w:tc>
        <w:tc>
          <w:tcPr/>
          <w:p>
            <w:pPr>
              <w:pStyle w:val="Compact"/>
              <w:jc w:val="right"/>
            </w:pPr>
            <w:r>
              <w:t xml:space="preserve">9.45</w:t>
            </w:r>
          </w:p>
        </w:tc>
      </w:tr>
    </w:tbl>
    <w:bookmarkEnd w:id="42"/>
    <w:p>
      <w:pPr>
        <w:pStyle w:val="BodyText"/>
      </w:pPr>
      <w:r>
        <w:t xml:space="preserve">In particular, 5,514 samples (52.25%) are represented in at least two additional domains, including 997 (9.45%) linked to all three. The distribution of zero, one, two and three supplementary domains comprises 678 (6.42%), 4,362 (41.33%), 4,517 (42.80%) and 997 (9.45%) samples, respectively (Figure </w:t>
      </w:r>
      <w:hyperlink w:anchor="fig:domain-coverage">
        <w:r>
          <w:rPr>
            <w:rStyle w:val="Hyperlink"/>
          </w:rPr>
          <w:t xml:space="preserve">4</w:t>
        </w:r>
      </w:hyperlink>
      <w:r>
        <w:t xml:space="preserve">). Remarkably, 997 of the 1,200 biodiversity-linked samples (83.08%) also have both photographs and laboratory results. This demonstrates cross-domain linkage in an operational data product rather than merely the ability of the schema to represent those links. These proportions describe</w:t>
      </w:r>
      <w:r>
        <w:t xml:space="preserve"> </w:t>
      </w:r>
      <w:r>
        <w:rPr>
          <w:iCs/>
          <w:i/>
        </w:rPr>
        <w:t xml:space="preserve">canonical publication coverage</w:t>
      </w:r>
      <w:r>
        <w:t xml:space="preserve">, not the completion rate of planned analyses: the canonical laboratory resource omits some parameter rows according to its export rules (including oxide forms and values below the default threshold of 0.01), and the biodiversity export contains taxonomic abundance summaries rather than raw sequencing tables.</w:t>
      </w:r>
    </w:p>
    <w:p>
      <w:pPr>
        <w:pStyle w:val="CaptionedFigure"/>
      </w:pPr>
      <w:bookmarkStart w:id="46" w:name="fig:domain-coverage"/>
      <w:r>
        <w:drawing>
          <wp:inline>
            <wp:extent cx="4417180" cy="1427238"/>
            <wp:effectExtent b="0" l="0" r="0" t="0"/>
            <wp:docPr descr="Number of additional data domains linked to each sample in the 29 October 2026 canonical dataset (n = 10,554). The additional domains are photographs, laboratory parameters and microbial biodiversity summaries. Presence is determined from sample-identifier linkage, not an independent assessment of scientific completeness or sample representativeness." title="" id="44" name="Picture"/>
            <a:graphic>
              <a:graphicData uri="http://schemas.openxmlformats.org/drawingml/2006/picture">
                <pic:pic>
                  <pic:nvPicPr>
                    <pic:cNvPr descr="figures/diagram-4.png" id="45" name="Picture"/>
                    <pic:cNvPicPr>
                      <a:picLocks noChangeArrowheads="1" noChangeAspect="1"/>
                    </pic:cNvPicPr>
                  </pic:nvPicPr>
                  <pic:blipFill>
                    <a:blip r:embed="rId43"/>
                    <a:stretch>
                      <a:fillRect/>
                    </a:stretch>
                  </pic:blipFill>
                  <pic:spPr bwMode="auto">
                    <a:xfrm>
                      <a:off x="0" y="0"/>
                      <a:ext cx="4417180" cy="1427238"/>
                    </a:xfrm>
                    <a:prstGeom prst="rect">
                      <a:avLst/>
                    </a:prstGeom>
                    <a:noFill/>
                    <a:ln w="9525">
                      <a:noFill/>
                      <a:headEnd/>
                      <a:tailEnd/>
                    </a:ln>
                  </pic:spPr>
                </pic:pic>
              </a:graphicData>
            </a:graphic>
          </wp:inline>
        </w:drawing>
      </w:r>
      <w:bookmarkEnd w:id="46"/>
    </w:p>
    <w:p>
      <w:pPr>
        <w:pStyle w:val="ImageCaption"/>
      </w:pPr>
      <w:r>
        <w:t xml:space="preserve">Number of additional data domains linked to each sample in the 29 October 2026 canonical dataset (n = 10,554). The additional domains are photographs, laboratory parameters and microbial biodiversity summaries. Presence is determined from sample-identifier linkage, not an independent assessment of scientific completeness or sample representativeness.</w:t>
      </w:r>
    </w:p>
    <w:bookmarkEnd w:id="47"/>
    <w:bookmarkStart w:id="49" w:name="X998e8dbec75c13db6dca19bb4bbee6e7c7a8112"/>
    <w:p>
      <w:pPr>
        <w:pStyle w:val="Heading2"/>
      </w:pPr>
      <w:r>
        <w:t xml:space="preserve">Geographical and sample-allocation quality flags</w:t>
      </w:r>
    </w:p>
    <w:p>
      <w:pPr>
        <w:pStyle w:val="FirstParagraph"/>
      </w:pPr>
      <w:r>
        <w:t xml:space="preserve">The geographical and allocation-consistency assessment identified 396 flagged samples. On the assumption that the QA assessment covers the same 10,554-sample snapshot, this corresponds to 3.75% of all samples (Table </w:t>
      </w:r>
      <w:hyperlink w:anchor="tab:qa">
        <w:r>
          <w:rPr>
            <w:rStyle w:val="Hyperlink"/>
          </w:rPr>
          <w:t xml:space="preserve">3</w:t>
        </w:r>
      </w:hyperlink>
      <w:r>
        <w:t xml:space="preserve">). The two reported categories are mutually exclusive: 95 records (0.90%) contain application-default coordinates, indicating that a usable sampling position was not obtained, while 301 records (2.85%) differ between the country planned for their QR code and the actual sampling country.</w:t>
      </w:r>
    </w:p>
    <w:bookmarkStart w:id="48" w:name="tab:qa"/>
    <w:p>
      <w:pPr>
        <w:pStyle w:val="TableCaption"/>
      </w:pPr>
      <w:r>
        <w:t xml:space="preserve">Geographical and allocation-consistency flags (</w:t>
      </w:r>
      <m:oMath>
        <m:r>
          <m:t>n</m:t>
        </m:r>
        <m:r>
          <m:rPr>
            <m:sty m:val="p"/>
          </m:rPr>
          <m:t>=</m:t>
        </m:r>
        <m:r>
          <m:t>10</m:t>
        </m:r>
        <m:r>
          <m:rPr>
            <m:sty m:val="p"/>
          </m:rPr>
          <m:t>,</m:t>
        </m:r>
        <m:r>
          <m:t>554</m:t>
        </m:r>
      </m:oMath>
      <w:r>
        <w:t xml:space="preserve">, assuming the flag report covers the full canonical snapshot). These are screening outcomes, not confirmed geographical errors.</w:t>
      </w:r>
    </w:p>
    <w:tbl>
      <w:tblPr>
        <w:tblStyle w:val="Table"/>
        <w:tblW w:type="auto" w:w="0"/>
        <w:tblLook w:firstRow="1" w:lastRow="0" w:firstColumn="0" w:lastColumn="0" w:noHBand="0" w:noVBand="0" w:val="0020"/>
        <w:tblCaption w:val="Geographical and allocation-consistency flags (n=10{,}554, assuming the flag report covers the full canonical snapshot). These are screening outcomes, not confirmed geographical errors."/>
      </w:tblPr>
      <w:tblGrid>
        <w:gridCol w:w="2640"/>
        <w:gridCol w:w="2640"/>
        <w:gridCol w:w="2640"/>
      </w:tblGrid>
      <w:tr>
        <w:trPr>
          <w:tblHeader w:val="true"/>
        </w:trPr>
        <w:tc>
          <w:tcPr/>
          <w:p>
            <w:pPr>
              <w:pStyle w:val="Compact"/>
              <w:jc w:val="left"/>
            </w:pPr>
            <w:r>
              <w:t xml:space="preserve">Screening outcome</w:t>
            </w:r>
          </w:p>
        </w:tc>
        <w:tc>
          <w:tcPr/>
          <w:p>
            <w:pPr>
              <w:pStyle w:val="Compact"/>
              <w:jc w:val="right"/>
            </w:pPr>
            <w:r>
              <w:t xml:space="preserve">Samples</w:t>
            </w:r>
          </w:p>
        </w:tc>
        <w:tc>
          <w:tcPr/>
          <w:p>
            <w:pPr>
              <w:pStyle w:val="Compact"/>
              <w:jc w:val="right"/>
            </w:pPr>
            <w:r>
              <w:t xml:space="preserve">Share (%)</w:t>
            </w:r>
          </w:p>
        </w:tc>
      </w:tr>
      <w:tr>
        <w:tc>
          <w:tcPr/>
          <w:p>
            <w:pPr>
              <w:pStyle w:val="Compact"/>
              <w:jc w:val="left"/>
            </w:pPr>
            <w:r>
              <w:t xml:space="preserve">Application-default coordinates</w:t>
            </w:r>
          </w:p>
        </w:tc>
        <w:tc>
          <w:tcPr/>
          <w:p>
            <w:pPr>
              <w:pStyle w:val="Compact"/>
              <w:jc w:val="right"/>
            </w:pPr>
            <w:r>
              <w:t xml:space="preserve">95</w:t>
            </w:r>
          </w:p>
        </w:tc>
        <w:tc>
          <w:tcPr/>
          <w:p>
            <w:pPr>
              <w:pStyle w:val="Compact"/>
              <w:jc w:val="right"/>
            </w:pPr>
            <w:r>
              <w:t xml:space="preserve">0.90</w:t>
            </w:r>
          </w:p>
        </w:tc>
      </w:tr>
      <w:tr>
        <w:tc>
          <w:tcPr/>
          <w:p>
            <w:pPr>
              <w:pStyle w:val="Compact"/>
              <w:jc w:val="left"/>
            </w:pPr>
            <w:r>
              <w:t xml:space="preserve">Planned-country mismatch</w:t>
            </w:r>
          </w:p>
        </w:tc>
        <w:tc>
          <w:tcPr/>
          <w:p>
            <w:pPr>
              <w:pStyle w:val="Compact"/>
              <w:jc w:val="right"/>
            </w:pPr>
            <w:r>
              <w:t xml:space="preserve">301</w:t>
            </w:r>
          </w:p>
        </w:tc>
        <w:tc>
          <w:tcPr/>
          <w:p>
            <w:pPr>
              <w:pStyle w:val="Compact"/>
              <w:jc w:val="right"/>
            </w:pPr>
            <w:r>
              <w:t xml:space="preserve">2.85</w:t>
            </w:r>
          </w:p>
        </w:tc>
      </w:tr>
      <w:tr>
        <w:tc>
          <w:tcPr/>
          <w:p>
            <w:pPr>
              <w:pStyle w:val="Compact"/>
              <w:jc w:val="left"/>
            </w:pPr>
            <w:r>
              <w:t xml:space="preserve">Neither of these flags</w:t>
            </w:r>
          </w:p>
        </w:tc>
        <w:tc>
          <w:tcPr/>
          <w:p>
            <w:pPr>
              <w:pStyle w:val="Compact"/>
              <w:jc w:val="right"/>
            </w:pPr>
            <w:r>
              <w:t xml:space="preserve">10,158</w:t>
            </w:r>
          </w:p>
        </w:tc>
        <w:tc>
          <w:tcPr/>
          <w:p>
            <w:pPr>
              <w:pStyle w:val="Compact"/>
              <w:jc w:val="right"/>
            </w:pPr>
            <w:r>
              <w:t xml:space="preserve">96.25</w:t>
            </w:r>
          </w:p>
        </w:tc>
      </w:tr>
      <w:tr>
        <w:tc>
          <w:tcPr/>
          <w:p>
            <w:pPr>
              <w:pStyle w:val="Compact"/>
              <w:jc w:val="left"/>
            </w:pPr>
            <w:r>
              <w:t xml:space="preserve">Total</w:t>
            </w:r>
          </w:p>
        </w:tc>
        <w:tc>
          <w:tcPr/>
          <w:p>
            <w:pPr>
              <w:pStyle w:val="Compact"/>
              <w:jc w:val="right"/>
            </w:pPr>
            <w:r>
              <w:t xml:space="preserve">10,554</w:t>
            </w:r>
          </w:p>
        </w:tc>
        <w:tc>
          <w:tcPr/>
          <w:p>
            <w:pPr>
              <w:pStyle w:val="Compact"/>
              <w:jc w:val="right"/>
            </w:pPr>
            <w:r>
              <w:t xml:space="preserve">100.00</w:t>
            </w:r>
          </w:p>
        </w:tc>
      </w:tr>
    </w:tbl>
    <w:bookmarkEnd w:id="48"/>
    <w:p>
      <w:pPr>
        <w:pStyle w:val="BodyText"/>
      </w:pPr>
      <w:r>
        <w:t xml:space="preserve">The 301 country discrepancies cannot be interpreted as GPS failures without further evidence: samples may have been legitimately collected outside their originally allocated country, and kit-allocation metadata may not reflect subsequent redistribution. Conversely, an application-default coordinate does not establish where sampling occurred. Accordingly, 3.75% is a</w:t>
      </w:r>
      <w:r>
        <w:t xml:space="preserve"> </w:t>
      </w:r>
      <w:r>
        <w:rPr>
          <w:iCs/>
          <w:i/>
        </w:rPr>
        <w:t xml:space="preserve">flag rate</w:t>
      </w:r>
      <w:r>
        <w:t xml:space="preserve"> </w:t>
      </w:r>
      <w:r>
        <w:t xml:space="preserve">within these screening categories, not a verified coordinate-error rate or a measurement of successfully recovered records. Investigation and documented resolution would require separate outcome data. This classification is not directly comparable to differently defined or earlier geographical-QA snapshots.</w:t>
      </w:r>
    </w:p>
    <w:bookmarkEnd w:id="49"/>
    <w:bookmarkStart w:id="50" w:name="Xa9889ce363be90603f63da1a42009822deef0e1"/>
    <w:p>
      <w:pPr>
        <w:pStyle w:val="Heading2"/>
      </w:pPr>
      <w:r>
        <w:t xml:space="preserve">Independent publication of research resources</w:t>
      </w:r>
    </w:p>
    <w:p>
      <w:pPr>
        <w:pStyle w:val="FirstParagraph"/>
      </w:pPr>
      <w:r>
        <w:t xml:space="preserve">The canonical sample-centred exports provide an independently interpretable representation of the operational dataset: common sample identifiers link the four sample-related tables, while parameter and method codes connect laboratory results to their definition tables. The observed domain coverage in Table </w:t>
      </w:r>
      <w:hyperlink w:anchor="tab:coverage">
        <w:r>
          <w:rPr>
            <w:rStyle w:val="Hyperlink"/>
          </w:rPr>
          <w:t xml:space="preserve">2</w:t>
        </w:r>
      </w:hyperlink>
      <w:r>
        <w:t xml:space="preserve"> </w:t>
      </w:r>
      <w:r>
        <w:t xml:space="preserve">demonstrates that these relations are populated across different forms of evidence; it does not imply that every sample has undergone all planned analyses.</w:t>
      </w:r>
    </w:p>
    <w:p>
      <w:pPr>
        <w:pStyle w:val="BodyText"/>
      </w:pPr>
      <w:r>
        <w:t xml:space="preserve">The ECHOREPO version 12 dataset, deposited by the ECHO Consortium for the 29 October 2026 snapshot</w:t>
      </w:r>
      <w:r>
        <w:t xml:space="preserve"> </w:t>
      </w:r>
      <w:r>
        <w:t xml:space="preserve">(ECHO Consortium 2026)</w:t>
      </w:r>
      <w:r>
        <w:t xml:space="preserve">, comprises six canonical CSV resources accompanied by a CSV on the Web metadata document,</w:t>
      </w:r>
      <w:r>
        <w:t xml:space="preserve"> </w:t>
      </w:r>
      <w:r>
        <w:rPr>
          <w:rStyle w:val="VerbatimChar"/>
        </w:rPr>
        <w:t xml:space="preserve">file.json</w:t>
      </w:r>
      <w:r>
        <w:t xml:space="preserve">. The export-and-publish workflow checks resource schemas and reference integrity before deposit. This provides an independently identifiable, versioned data product corresponding to the dated canonical snapshot used for the coverage analysis; the record-level QA report still requires independent population reconciliation. Appearance in any particular SoilWise catalogue also requires separate confirmation.</w:t>
      </w:r>
    </w:p>
    <w:bookmarkEnd w:id="50"/>
    <w:bookmarkEnd w:id="51"/>
    <w:bookmarkStart w:id="54" w:name="discussion"/>
    <w:p>
      <w:pPr>
        <w:pStyle w:val="Heading1"/>
      </w:pPr>
      <w:r>
        <w:t xml:space="preserve">Discussion</w:t>
      </w:r>
    </w:p>
    <w:bookmarkStart w:id="52" w:name="design-implications-and-transferability"/>
    <w:p>
      <w:pPr>
        <w:pStyle w:val="Heading2"/>
      </w:pPr>
      <w:r>
        <w:t xml:space="preserve">Design implications and transferability</w:t>
      </w:r>
    </w:p>
    <w:p>
      <w:pPr>
        <w:pStyle w:val="FirstParagraph"/>
      </w:pPr>
      <w:r>
        <w:t xml:space="preserve">The central architectural lesson is that citizen-science acquisition and the durable research-data layer can evolve independently. Isolating source-specific ingestion logic allows the participant application to change while sample identifiers and canonical resources remain accessible. The evaluated data show this integration in practice: 52.25% of samples have records in at least two additional data domains and 9.45% in all three. Among samples represented in the microbial biodiversity resource, 83.08% also have both photographic and laboratory records. These are cross-sectional linkages, not a measurement of how quickly individual samples are enriched over time. The sample-centred model connects evidence produced by different organisations without flattening it into one unwieldy table.</w:t>
      </w:r>
    </w:p>
    <w:p>
      <w:pPr>
        <w:pStyle w:val="BodyText"/>
      </w:pPr>
      <w:r>
        <w:t xml:space="preserve">The QA results illustrate a second lesson: repository-level checks must distinguish position-acquisition failures from disagreements between sampling-allocation metadata and actual collection countries. Of 396 flags, 301 concern planned-country mismatches that may be legitimate rather than erroneous locations. A recovery-oriented design preserves the possibility of correcting an individual defective field while retaining valid observations and associated measurements, but the benefit of recovery requires documented outcomes; it cannot be inferred from detection counts alone.</w:t>
      </w:r>
    </w:p>
    <w:p>
      <w:pPr>
        <w:pStyle w:val="BodyText"/>
      </w:pPr>
      <w:r>
        <w:t xml:space="preserve">Third, location validation and location disclosure answer different questions. The repository must first identify the best-supported geographical information, then produce a public representation with explicit loss of precision. Deterministic jitter supports a consistent map representation, but near coasts and borders it produces legitimate visual displacements. The stated 1,000 m radius is an implementation policy, not a general prescription for environmental citizen science or a proof of privacy.</w:t>
      </w:r>
    </w:p>
    <w:p>
      <w:pPr>
        <w:pStyle w:val="BodyText"/>
      </w:pPr>
      <w:r>
        <w:t xml:space="preserve">Finally, publication requires more than uploading CSV files. The canonical six-resource structure, relational CSVW metadata, machine-checkable validation and Zenodo versioning provide a durable interface between a continuously changing operational system and downstream users. Such a pattern is broadly transferable, although semantic alignment with disciplinary vocabularies and external catalogues remains an ongoing task.</w:t>
      </w:r>
    </w:p>
    <w:bookmarkEnd w:id="52"/>
    <w:bookmarkStart w:id="53" w:name="limitations"/>
    <w:p>
      <w:pPr>
        <w:pStyle w:val="Heading2"/>
      </w:pPr>
      <w:r>
        <w:t xml:space="preserve">Limitations</w:t>
      </w:r>
    </w:p>
    <w:p>
      <w:pPr>
        <w:pStyle w:val="FirstParagraph"/>
      </w:pPr>
      <w:r>
        <w:t xml:space="preserve">The evaluation concerns one soil-science deployment and does not compare alternative repository architectures. The canonical model, quality checks and acquisition adapter require adaptation for other domains; architecture-level transferability is not equivalent to a second deployment. The domain-coverage figures describe the canonical export and are affected by publication-specific filtering. Biodiversity and laboratory samples are not necessarily representative subsets of the full campaign, so the linkage rates must not be interpreted as evidence of geographic balance, unbiased analytical selection or ecological association. The illustrative sample journeys show possible research uses, not demonstrated case histories. The QA figures report only two categories of flags, without independent ground-truth verification, documented recovery outcomes or systematic attribution of causes. The flag percentages assume that the QA assessment covers the same 10,554 samples; this must be confirmed before final submission. Other forms of data heterogeneity are managed operationally but are not evaluated quantitatively here.</w:t>
      </w:r>
    </w:p>
    <w:p>
      <w:pPr>
        <w:pStyle w:val="BodyText"/>
      </w:pPr>
      <w:r>
        <w:t xml:space="preserve">Spatial jitter is not a formal anonymisation mechanism; location risk varies with geography and available auxiliary information. Automated photo redaction can miss identifying features, and the current post-mirror workflow does not guarantee protection before a newly mirrored file becomes reachable. FAIR-oriented metadata and versioned deposits facilitate reuse but do not by themselves establish complete semantic interoperability or independently verified SoilWise indexing. Because the operational repository is changing, all reported counts and publications should be interpreted with their stated snapshot or version.</w:t>
      </w:r>
    </w:p>
    <w:bookmarkEnd w:id="53"/>
    <w:bookmarkEnd w:id="54"/>
    <w:bookmarkStart w:id="55" w:name="conclusions"/>
    <w:p>
      <w:pPr>
        <w:pStyle w:val="Heading1"/>
      </w:pPr>
      <w:r>
        <w:t xml:space="preserve">Conclusions</w:t>
      </w:r>
    </w:p>
    <w:p>
      <w:pPr>
        <w:pStyle w:val="FirstParagraph"/>
      </w:pPr>
      <w:r>
        <w:t xml:space="preserve">ECHOREPO separates participant-facing acquisition from the long-term management of heterogeneous soil research data. In the version 12 dataset of 10,554 samples, 52.25% are represented in at least two additional data domains, and 83.08% of biodiversity-linked samples also have photographic and laboratory records. These measurements establish implemented cross-domain linkage, rather than ecological associations. Quality screening flagged 396 cases of default coordinates or planned-country disagreement, demonstrating why repository-level assessment must distinguish missing positions from potentially legitimate allocation changes. Stable identifiers, provenance-aware QA, controlled privacy transformations and independently versioned, CSVW-described outputs offer a reusable approach, subject to stated limits on recovery, privacy and external interoperability.</w:t>
      </w:r>
    </w:p>
    <w:bookmarkEnd w:id="55"/>
    <w:bookmarkStart w:id="59" w:name="code-and-data-availability"/>
    <w:p>
      <w:pPr>
        <w:pStyle w:val="Heading1"/>
      </w:pPr>
      <w:r>
        <w:t xml:space="preserve">Code and data availability</w:t>
      </w:r>
    </w:p>
    <w:p>
      <w:pPr>
        <w:pStyle w:val="FirstParagraph"/>
      </w:pPr>
      <w:r>
        <w:t xml:space="preserve">The ECHOREPO source code is maintained at</w:t>
      </w:r>
      <w:r>
        <w:t xml:space="preserve"> </w:t>
      </w:r>
      <w:hyperlink r:id="rId56">
        <w:r>
          <w:rPr>
            <w:rStyle w:val="Hyperlink"/>
          </w:rPr>
          <w:t xml:space="preserve">https://github.com/echosoil/echorepo-lite</w:t>
        </w:r>
      </w:hyperlink>
      <w:r>
        <w:t xml:space="preserve"> </w:t>
      </w:r>
      <w:r>
        <w:t xml:space="preserve">and has a GitHub-connected Zenodo software archive (</w:t>
      </w:r>
      <w:hyperlink r:id="rId57">
        <w:r>
          <w:rPr>
            <w:rStyle w:val="Hyperlink"/>
          </w:rPr>
          <w:t xml:space="preserve">10.5281/zenodo.21105834</w:t>
        </w:r>
      </w:hyperlink>
      <w:r>
        <w:t xml:space="preserve">)</w:t>
      </w:r>
      <w:r>
        <w:t xml:space="preserve"> </w:t>
      </w:r>
      <w:r>
        <w:t xml:space="preserve">(</w:t>
      </w:r>
      <w:r>
        <w:t xml:space="preserve">“</w:t>
      </w:r>
      <w:r>
        <w:t xml:space="preserve">ECHOREPO Lite software archive</w:t>
      </w:r>
      <w:r>
        <w:t xml:space="preserve">”</w:t>
      </w:r>
      <w:r>
        <w:t xml:space="preserve"> </w:t>
      </w:r>
      <w:r>
        <w:t xml:space="preserve">2026)</w:t>
      </w:r>
      <w:r>
        <w:t xml:space="preserve">. The canonical dataset evaluated here is version 12, dated 29 October 2026 and deposited by the ECHO Consortium (</w:t>
      </w:r>
      <w:hyperlink r:id="rId58">
        <w:r>
          <w:rPr>
            <w:rStyle w:val="Hyperlink"/>
          </w:rPr>
          <w:t xml:space="preserve">10.5281/zenodo.23784504</w:t>
        </w:r>
      </w:hyperlink>
      <w:r>
        <w:t xml:space="preserve">)</w:t>
      </w:r>
      <w:r>
        <w:t xml:space="preserve"> </w:t>
      </w:r>
      <w:r>
        <w:t xml:space="preserve">(ECHO Consortium 2026)</w:t>
      </w:r>
      <w:r>
        <w:t xml:space="preserve">. It provides six linked CSV resources together with CSV on the Web metadata. The definitive software release/commit corresponding to the evaluated export and the coverage-analysis script should be recorded in the final reproducibility package; they are not independently identified by the present evaluation. Public sample locations are privacy-displaced; access to exact source coordinates and potentially identifying source images is subject to project consent, privacy and access restrictions. The sample trajectories in Figure </w:t>
      </w:r>
      <w:hyperlink w:anchor="fig:sample-journeys">
        <w:r>
          <w:rPr>
            <w:rStyle w:val="Hyperlink"/>
          </w:rPr>
          <w:t xml:space="preserve">3</w:t>
        </w:r>
      </w:hyperlink>
      <w:r>
        <w:t xml:space="preserve"> </w:t>
      </w:r>
      <w:r>
        <w:t xml:space="preserve">are illustrative and contain no participant-level data.</w:t>
      </w:r>
    </w:p>
    <w:bookmarkEnd w:id="59"/>
    <w:bookmarkStart w:id="86" w:name="bibliography"/>
    <w:p>
      <w:pPr>
        <w:pStyle w:val="Heading1"/>
      </w:pPr>
      <w:r>
        <w:t xml:space="preserve">References</w:t>
      </w:r>
    </w:p>
    <w:bookmarkStart w:id="85" w:name="refs"/>
    <w:bookmarkStart w:id="61" w:name="ref-bonney2009citizenscience"/>
    <w:p>
      <w:pPr>
        <w:pStyle w:val="Bibliography"/>
      </w:pPr>
      <w:r>
        <w:t xml:space="preserve">Bonney, Rick, Caren B. Cooper, Janis Dickinson, Steve Kelling, Tina Phillips, Kenneth V. Rosenberg, and Jennifer Shirk. 2009.</w:t>
      </w:r>
      <w:r>
        <w:t xml:space="preserve"> </w:t>
      </w:r>
      <w:r>
        <w:t xml:space="preserve">“Citizen Science: A Developing Tool for Expanding Science Knowledge and Scientific Literacy.”</w:t>
      </w:r>
      <w:r>
        <w:t xml:space="preserve"> </w:t>
      </w:r>
      <w:r>
        <w:rPr>
          <w:iCs/>
          <w:i/>
        </w:rPr>
        <w:t xml:space="preserve">BioScience</w:t>
      </w:r>
      <w:r>
        <w:t xml:space="preserve"> </w:t>
      </w:r>
      <w:r>
        <w:t xml:space="preserve">59 (11): 977–84.</w:t>
      </w:r>
      <w:r>
        <w:t xml:space="preserve"> </w:t>
      </w:r>
      <w:hyperlink r:id="rId60">
        <w:r>
          <w:rPr>
            <w:rStyle w:val="Hyperlink"/>
          </w:rPr>
          <w:t xml:space="preserve">https://doi.org/10.1525/bio.2009.59.11.9</w:t>
        </w:r>
      </w:hyperlink>
      <w:r>
        <w:t xml:space="preserve">.</w:t>
      </w:r>
    </w:p>
    <w:bookmarkEnd w:id="61"/>
    <w:bookmarkStart w:id="63" w:name="ref-bonney2014nextsteps"/>
    <w:p>
      <w:pPr>
        <w:pStyle w:val="Bibliography"/>
      </w:pPr>
      <w:r>
        <w:t xml:space="preserve">Bonney, Rick, Jennifer L. Shirk, Tina B. Phillips, Andrea Wiggins, Heidi L. Ballard, Abraham J. Miller-Rushing, and Julia K. Parrish. 2014.</w:t>
      </w:r>
      <w:r>
        <w:t xml:space="preserve"> </w:t>
      </w:r>
      <w:r>
        <w:t xml:space="preserve">“Next Steps for Citizen Science.”</w:t>
      </w:r>
      <w:r>
        <w:t xml:space="preserve"> </w:t>
      </w:r>
      <w:r>
        <w:rPr>
          <w:iCs/>
          <w:i/>
        </w:rPr>
        <w:t xml:space="preserve">Science</w:t>
      </w:r>
      <w:r>
        <w:t xml:space="preserve"> </w:t>
      </w:r>
      <w:r>
        <w:t xml:space="preserve">343 (6178): 1436–37.</w:t>
      </w:r>
      <w:r>
        <w:t xml:space="preserve"> </w:t>
      </w:r>
      <w:hyperlink r:id="rId62">
        <w:r>
          <w:rPr>
            <w:rStyle w:val="Hyperlink"/>
          </w:rPr>
          <w:t xml:space="preserve">https://doi.org/10.1126/science.1251554</w:t>
        </w:r>
      </w:hyperlink>
      <w:r>
        <w:t xml:space="preserve">.</w:t>
      </w:r>
    </w:p>
    <w:bookmarkEnd w:id="63"/>
    <w:bookmarkStart w:id="64" w:name="ref-echorepo2026dataset"/>
    <w:p>
      <w:pPr>
        <w:pStyle w:val="Bibliography"/>
      </w:pPr>
      <w:r>
        <w:t xml:space="preserve">ECHO Consortium. 2026.</w:t>
      </w:r>
      <w:r>
        <w:t xml:space="preserve"> </w:t>
      </w:r>
      <w:r>
        <w:t xml:space="preserve">“</w:t>
      </w:r>
      <w:r>
        <w:t xml:space="preserve">ECHOREPO Soil Dataset: soil observations, parameters, images and biodiversity</w:t>
      </w:r>
      <w:r>
        <w:t xml:space="preserve">.”</w:t>
      </w:r>
      <w:r>
        <w:t xml:space="preserve"> </w:t>
      </w:r>
      <w:r>
        <w:t xml:space="preserve">Zenodo.</w:t>
      </w:r>
      <w:r>
        <w:t xml:space="preserve"> </w:t>
      </w:r>
      <w:hyperlink r:id="rId58">
        <w:r>
          <w:rPr>
            <w:rStyle w:val="Hyperlink"/>
          </w:rPr>
          <w:t xml:space="preserve">https://doi.org/10.5281/zenodo.23784504</w:t>
        </w:r>
      </w:hyperlink>
      <w:r>
        <w:t xml:space="preserve">.</w:t>
      </w:r>
    </w:p>
    <w:bookmarkEnd w:id="64"/>
    <w:bookmarkStart w:id="65" w:name="ref-echorepo2026software"/>
    <w:p>
      <w:pPr>
        <w:pStyle w:val="Bibliography"/>
      </w:pPr>
      <w:r>
        <w:t xml:space="preserve">“</w:t>
      </w:r>
      <w:r>
        <w:t xml:space="preserve">ECHOREPO Lite software archive</w:t>
      </w:r>
      <w:r>
        <w:t xml:space="preserve">.”</w:t>
      </w:r>
      <w:r>
        <w:t xml:space="preserve"> </w:t>
      </w:r>
      <w:r>
        <w:t xml:space="preserve">2026. Zenodo.</w:t>
      </w:r>
      <w:r>
        <w:t xml:space="preserve"> </w:t>
      </w:r>
      <w:hyperlink r:id="rId57">
        <w:r>
          <w:rPr>
            <w:rStyle w:val="Hyperlink"/>
          </w:rPr>
          <w:t xml:space="preserve">https://doi.org/10.5281/zenodo.21105834</w:t>
        </w:r>
      </w:hyperlink>
      <w:r>
        <w:t xml:space="preserve">.</w:t>
      </w:r>
    </w:p>
    <w:bookmarkEnd w:id="65"/>
    <w:bookmarkStart w:id="67" w:name="ref-echo2023project"/>
    <w:p>
      <w:pPr>
        <w:pStyle w:val="Bibliography"/>
      </w:pPr>
      <w:r>
        <w:t xml:space="preserve">European Commission. 2023.</w:t>
      </w:r>
      <w:r>
        <w:t xml:space="preserve"> </w:t>
      </w:r>
      <w:r>
        <w:t xml:space="preserve">“Engaging Citizens in Soil Science: The Road to Healthier Soils.”</w:t>
      </w:r>
      <w:r>
        <w:t xml:space="preserve"> </w:t>
      </w:r>
      <w:hyperlink r:id="rId66">
        <w:r>
          <w:rPr>
            <w:rStyle w:val="Hyperlink"/>
          </w:rPr>
          <w:t xml:space="preserve">https://doi.org/10.3030/101112869</w:t>
        </w:r>
      </w:hyperlink>
      <w:r>
        <w:t xml:space="preserve">.</w:t>
      </w:r>
    </w:p>
    <w:bookmarkEnd w:id="67"/>
    <w:bookmarkStart w:id="68" w:name="ref-eea2016biogeo"/>
    <w:p>
      <w:pPr>
        <w:pStyle w:val="Bibliography"/>
      </w:pPr>
      <w:r>
        <w:t xml:space="preserve">European Environment Agency. 2016.</w:t>
      </w:r>
      <w:r>
        <w:t xml:space="preserve"> </w:t>
      </w:r>
      <w:r>
        <w:t xml:space="preserve">“Biogeographical Regions in Europe: 2016 Spatial Boundaries.”</w:t>
      </w:r>
      <w:r>
        <w:t xml:space="preserve"> </w:t>
      </w:r>
      <w:r>
        <w:t xml:space="preserve">2016.</w:t>
      </w:r>
    </w:p>
    <w:bookmarkEnd w:id="68"/>
    <w:bookmarkStart w:id="70" w:name="ref-kosmala2016quality"/>
    <w:p>
      <w:pPr>
        <w:pStyle w:val="Bibliography"/>
      </w:pPr>
      <w:r>
        <w:t xml:space="preserve">Kosmala, Margaret, Andrea Wiggins, Alexandra Swanson, and Brooke Simmons. 2016.</w:t>
      </w:r>
      <w:r>
        <w:t xml:space="preserve"> </w:t>
      </w:r>
      <w:r>
        <w:t xml:space="preserve">“Assessing Data Quality in Citizen Science.”</w:t>
      </w:r>
      <w:r>
        <w:t xml:space="preserve"> </w:t>
      </w:r>
      <w:r>
        <w:rPr>
          <w:iCs/>
          <w:i/>
        </w:rPr>
        <w:t xml:space="preserve">Frontiers in Ecology and the Environment</w:t>
      </w:r>
      <w:r>
        <w:t xml:space="preserve"> </w:t>
      </w:r>
      <w:r>
        <w:t xml:space="preserve">14 (10): 551–60.</w:t>
      </w:r>
      <w:r>
        <w:t xml:space="preserve"> </w:t>
      </w:r>
      <w:hyperlink r:id="rId69">
        <w:r>
          <w:rPr>
            <w:rStyle w:val="Hyperlink"/>
          </w:rPr>
          <w:t xml:space="preserve">https://doi.org/10.1002/fee.1436</w:t>
        </w:r>
      </w:hyperlink>
      <w:r>
        <w:t xml:space="preserve">.</w:t>
      </w:r>
    </w:p>
    <w:bookmarkEnd w:id="70"/>
    <w:bookmarkStart w:id="72" w:name="ref-peiro2026soil"/>
    <w:p>
      <w:pPr>
        <w:pStyle w:val="Bibliography"/>
      </w:pPr>
      <w:r>
        <w:t xml:space="preserve">Peiro, Alba et al. 2026.</w:t>
      </w:r>
      <w:r>
        <w:t xml:space="preserve"> </w:t>
      </w:r>
      <w:r>
        <w:t xml:space="preserve">“Towards Healthier Soils: Insights for Knowledge Building, Co-Creation and Citizen Engagement in Soil Science.”</w:t>
      </w:r>
      <w:r>
        <w:t xml:space="preserve"> </w:t>
      </w:r>
      <w:r>
        <w:rPr>
          <w:iCs/>
          <w:i/>
        </w:rPr>
        <w:t xml:space="preserve">European Journal of Soil Science</w:t>
      </w:r>
      <w:r>
        <w:t xml:space="preserve"> </w:t>
      </w:r>
      <w:r>
        <w:t xml:space="preserve">77 (5).</w:t>
      </w:r>
      <w:r>
        <w:t xml:space="preserve"> </w:t>
      </w:r>
      <w:hyperlink r:id="rId71">
        <w:r>
          <w:rPr>
            <w:rStyle w:val="Hyperlink"/>
          </w:rPr>
          <w:t xml:space="preserve">https://doi.org/10.1111/ejss.70409</w:t>
        </w:r>
      </w:hyperlink>
      <w:r>
        <w:t xml:space="preserve">.</w:t>
      </w:r>
    </w:p>
    <w:bookmarkEnd w:id="72"/>
    <w:bookmarkStart w:id="74" w:name="ref-soilwise2026faq"/>
    <w:p>
      <w:pPr>
        <w:pStyle w:val="Bibliography"/>
      </w:pPr>
      <w:r>
        <w:t xml:space="preserve">SoilWise. 2026.</w:t>
      </w:r>
      <w:r>
        <w:t xml:space="preserve"> </w:t>
      </w:r>
      <w:r>
        <w:t xml:space="preserve">“Frequently Asked Questions.”</w:t>
      </w:r>
      <w:r>
        <w:t xml:space="preserve"> </w:t>
      </w:r>
      <w:r>
        <w:t xml:space="preserve">2026.</w:t>
      </w:r>
      <w:r>
        <w:t xml:space="preserve"> </w:t>
      </w:r>
      <w:hyperlink r:id="rId73">
        <w:r>
          <w:rPr>
            <w:rStyle w:val="Hyperlink"/>
          </w:rPr>
          <w:t xml:space="preserve">https://soilwise-he.eu/faq/</w:t>
        </w:r>
      </w:hyperlink>
      <w:r>
        <w:t xml:space="preserve">.</w:t>
      </w:r>
    </w:p>
    <w:bookmarkEnd w:id="74"/>
    <w:bookmarkStart w:id="76" w:name="ref-sullivan2014ebird"/>
    <w:p>
      <w:pPr>
        <w:pStyle w:val="Bibliography"/>
      </w:pPr>
      <w:r>
        <w:t xml:space="preserve">Sullivan, Brian L., Jocelyn L. Aycrigg, Jessie H. Barry, et al. 2014.</w:t>
      </w:r>
      <w:r>
        <w:t xml:space="preserve"> </w:t>
      </w:r>
      <w:r>
        <w:t xml:space="preserve">“The</w:t>
      </w:r>
      <w:r>
        <w:t xml:space="preserve"> </w:t>
      </w:r>
      <w:r>
        <w:t xml:space="preserve">eBird</w:t>
      </w:r>
      <w:r>
        <w:t xml:space="preserve"> </w:t>
      </w:r>
      <w:r>
        <w:t xml:space="preserve">Enterprise: An Integrated Approach to Development and Application of Citizen Science.”</w:t>
      </w:r>
      <w:r>
        <w:t xml:space="preserve"> </w:t>
      </w:r>
      <w:r>
        <w:rPr>
          <w:iCs/>
          <w:i/>
        </w:rPr>
        <w:t xml:space="preserve">Biological Conservation</w:t>
      </w:r>
      <w:r>
        <w:t xml:space="preserve"> </w:t>
      </w:r>
      <w:r>
        <w:t xml:space="preserve">169: 31–40.</w:t>
      </w:r>
      <w:r>
        <w:t xml:space="preserve"> </w:t>
      </w:r>
      <w:hyperlink r:id="rId75">
        <w:r>
          <w:rPr>
            <w:rStyle w:val="Hyperlink"/>
          </w:rPr>
          <w:t xml:space="preserve">https://doi.org/10.1016/j.biocon.2013.11.003</w:t>
        </w:r>
      </w:hyperlink>
      <w:r>
        <w:t xml:space="preserve">.</w:t>
      </w:r>
    </w:p>
    <w:bookmarkEnd w:id="76"/>
    <w:bookmarkStart w:id="78" w:name="ref-w3c2015csvw"/>
    <w:p>
      <w:pPr>
        <w:pStyle w:val="Bibliography"/>
      </w:pPr>
      <w:r>
        <w:t xml:space="preserve">W3C. 2015.</w:t>
      </w:r>
      <w:r>
        <w:t xml:space="preserve"> </w:t>
      </w:r>
      <w:r>
        <w:t xml:space="preserve">“Metadata Vocabulary for Tabular Data.”</w:t>
      </w:r>
      <w:r>
        <w:t xml:space="preserve"> </w:t>
      </w:r>
      <w:r>
        <w:t xml:space="preserve">2015.</w:t>
      </w:r>
      <w:r>
        <w:t xml:space="preserve"> </w:t>
      </w:r>
      <w:hyperlink r:id="rId77">
        <w:r>
          <w:rPr>
            <w:rStyle w:val="Hyperlink"/>
          </w:rPr>
          <w:t xml:space="preserve">https://www.w3.org/TR/tabular-metadata/</w:t>
        </w:r>
      </w:hyperlink>
      <w:r>
        <w:t xml:space="preserve">.</w:t>
      </w:r>
    </w:p>
    <w:bookmarkEnd w:id="78"/>
    <w:bookmarkStart w:id="80" w:name="ref-wang2015citsci"/>
    <w:p>
      <w:pPr>
        <w:pStyle w:val="Bibliography"/>
      </w:pPr>
      <w:r>
        <w:t xml:space="preserve">Wang, Yiwei, Nicole Kaplan, Greg Newman, and Russell Scarpino. 2015.</w:t>
      </w:r>
      <w:r>
        <w:t xml:space="preserve"> </w:t>
      </w:r>
      <w:r>
        <w:t xml:space="preserve">“</w:t>
      </w:r>
      <w:r>
        <w:t xml:space="preserve">CitSci.org</w:t>
      </w:r>
      <w:r>
        <w:t xml:space="preserve">: A New Model for Managing, Documenting, and Sharing Citizen Science Data.”</w:t>
      </w:r>
      <w:r>
        <w:t xml:space="preserve"> </w:t>
      </w:r>
      <w:r>
        <w:rPr>
          <w:iCs/>
          <w:i/>
        </w:rPr>
        <w:t xml:space="preserve">PLOS Biology</w:t>
      </w:r>
      <w:r>
        <w:t xml:space="preserve"> </w:t>
      </w:r>
      <w:r>
        <w:t xml:space="preserve">13 (10): e1002280.</w:t>
      </w:r>
      <w:r>
        <w:t xml:space="preserve"> </w:t>
      </w:r>
      <w:hyperlink r:id="rId79">
        <w:r>
          <w:rPr>
            <w:rStyle w:val="Hyperlink"/>
          </w:rPr>
          <w:t xml:space="preserve">https://doi.org/10.1371/journal.pbio.1002280</w:t>
        </w:r>
      </w:hyperlink>
      <w:r>
        <w:t xml:space="preserve">.</w:t>
      </w:r>
    </w:p>
    <w:bookmarkEnd w:id="80"/>
    <w:bookmarkStart w:id="82" w:name="ref-wilkinson2016fair"/>
    <w:p>
      <w:pPr>
        <w:pStyle w:val="Bibliography"/>
      </w:pPr>
      <w:r>
        <w:t xml:space="preserve">Wilkinson, Mark D., Michel Dumontier, IJsbrand Jan Aalbersberg, et al. 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Cs/>
          <w:i/>
        </w:rPr>
        <w:t xml:space="preserve">Scientific Data</w:t>
      </w:r>
      <w:r>
        <w:t xml:space="preserve"> </w:t>
      </w:r>
      <w:r>
        <w:t xml:space="preserve">3: 160018.</w:t>
      </w:r>
      <w:r>
        <w:t xml:space="preserve"> </w:t>
      </w:r>
      <w:hyperlink r:id="rId81">
        <w:r>
          <w:rPr>
            <w:rStyle w:val="Hyperlink"/>
          </w:rPr>
          <w:t xml:space="preserve">https://doi.org/10.1038/sdata.2016.18</w:t>
        </w:r>
      </w:hyperlink>
      <w:r>
        <w:t xml:space="preserve">.</w:t>
      </w:r>
    </w:p>
    <w:bookmarkEnd w:id="82"/>
    <w:bookmarkStart w:id="84" w:name="ref-zenodo2026versioning"/>
    <w:p>
      <w:pPr>
        <w:pStyle w:val="Bibliography"/>
      </w:pPr>
      <w:r>
        <w:t xml:space="preserve">Zenodo. 2026.</w:t>
      </w:r>
      <w:r>
        <w:t xml:space="preserve"> </w:t>
      </w:r>
      <w:r>
        <w:t xml:space="preserve">“</w:t>
      </w:r>
      <w:r>
        <w:t xml:space="preserve">DOI</w:t>
      </w:r>
      <w:r>
        <w:t xml:space="preserve"> </w:t>
      </w:r>
      <w:r>
        <w:t xml:space="preserve">Versioning.”</w:t>
      </w:r>
      <w:r>
        <w:t xml:space="preserve"> </w:t>
      </w:r>
      <w:r>
        <w:t xml:space="preserve">2026.</w:t>
      </w:r>
      <w:r>
        <w:t xml:space="preserve"> </w:t>
      </w:r>
      <w:hyperlink r:id="rId83">
        <w:r>
          <w:rPr>
            <w:rStyle w:val="Hyperlink"/>
          </w:rPr>
          <w:t xml:space="preserve">https://zenodo.org/help/versioning</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hyperlink" Id="rId69" Target="https://doi.org/10.1002/fee.1436" TargetMode="External" /><Relationship Type="http://schemas.openxmlformats.org/officeDocument/2006/relationships/hyperlink" Id="rId75" Target="https://doi.org/10.1016/j.biocon.2013.11.003" TargetMode="External" /><Relationship Type="http://schemas.openxmlformats.org/officeDocument/2006/relationships/hyperlink" Id="rId81" Target="https://doi.org/10.1038/sdata.2016.18" TargetMode="External" /><Relationship Type="http://schemas.openxmlformats.org/officeDocument/2006/relationships/hyperlink" Id="rId71" Target="https://doi.org/10.1111/ejss.70409" TargetMode="External" /><Relationship Type="http://schemas.openxmlformats.org/officeDocument/2006/relationships/hyperlink" Id="rId62" Target="https://doi.org/10.1126/science.1251554" TargetMode="External" /><Relationship Type="http://schemas.openxmlformats.org/officeDocument/2006/relationships/hyperlink" Id="rId79" Target="https://doi.org/10.1371/journal.pbio.1002280" TargetMode="External" /><Relationship Type="http://schemas.openxmlformats.org/officeDocument/2006/relationships/hyperlink" Id="rId60" Target="https://doi.org/10.1525/bio.2009.59.11.9" TargetMode="External" /><Relationship Type="http://schemas.openxmlformats.org/officeDocument/2006/relationships/hyperlink" Id="rId66" Target="https://doi.org/10.3030/101112869" TargetMode="External" /><Relationship Type="http://schemas.openxmlformats.org/officeDocument/2006/relationships/hyperlink" Id="rId57" Target="https://doi.org/10.5281/zenodo.21105834" TargetMode="External" /><Relationship Type="http://schemas.openxmlformats.org/officeDocument/2006/relationships/hyperlink" Id="rId58" Target="https://doi.org/10.5281/zenodo.23784504" TargetMode="External" /><Relationship Type="http://schemas.openxmlformats.org/officeDocument/2006/relationships/hyperlink" Id="rId56" Target="https://github.com/echosoil/echorepo-lite" TargetMode="External" /><Relationship Type="http://schemas.openxmlformats.org/officeDocument/2006/relationships/hyperlink" Id="rId73" Target="https://soilwise-he.eu/faq/" TargetMode="External" /><Relationship Type="http://schemas.openxmlformats.org/officeDocument/2006/relationships/hyperlink" Id="rId77" Target="https://www.w3.org/TR/tabular-metadata/" TargetMode="External" /><Relationship Type="http://schemas.openxmlformats.org/officeDocument/2006/relationships/hyperlink" Id="rId83" Target="https://zenodo.org/help/versioning"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02/fee.1436" TargetMode="External" /><Relationship Type="http://schemas.openxmlformats.org/officeDocument/2006/relationships/hyperlink" Id="rId75" Target="https://doi.org/10.1016/j.biocon.2013.11.003" TargetMode="External" /><Relationship Type="http://schemas.openxmlformats.org/officeDocument/2006/relationships/hyperlink" Id="rId81" Target="https://doi.org/10.1038/sdata.2016.18" TargetMode="External" /><Relationship Type="http://schemas.openxmlformats.org/officeDocument/2006/relationships/hyperlink" Id="rId71" Target="https://doi.org/10.1111/ejss.70409" TargetMode="External" /><Relationship Type="http://schemas.openxmlformats.org/officeDocument/2006/relationships/hyperlink" Id="rId62" Target="https://doi.org/10.1126/science.1251554" TargetMode="External" /><Relationship Type="http://schemas.openxmlformats.org/officeDocument/2006/relationships/hyperlink" Id="rId79" Target="https://doi.org/10.1371/journal.pbio.1002280" TargetMode="External" /><Relationship Type="http://schemas.openxmlformats.org/officeDocument/2006/relationships/hyperlink" Id="rId60" Target="https://doi.org/10.1525/bio.2009.59.11.9" TargetMode="External" /><Relationship Type="http://schemas.openxmlformats.org/officeDocument/2006/relationships/hyperlink" Id="rId66" Target="https://doi.org/10.3030/101112869" TargetMode="External" /><Relationship Type="http://schemas.openxmlformats.org/officeDocument/2006/relationships/hyperlink" Id="rId57" Target="https://doi.org/10.5281/zenodo.21105834" TargetMode="External" /><Relationship Type="http://schemas.openxmlformats.org/officeDocument/2006/relationships/hyperlink" Id="rId58" Target="https://doi.org/10.5281/zenodo.23784504" TargetMode="External" /><Relationship Type="http://schemas.openxmlformats.org/officeDocument/2006/relationships/hyperlink" Id="rId56" Target="https://github.com/echosoil/echorepo-lite" TargetMode="External" /><Relationship Type="http://schemas.openxmlformats.org/officeDocument/2006/relationships/hyperlink" Id="rId73" Target="https://soilwise-he.eu/faq/" TargetMode="External" /><Relationship Type="http://schemas.openxmlformats.org/officeDocument/2006/relationships/hyperlink" Id="rId77" Target="https://www.w3.org/TR/tabular-metadata/" TargetMode="External" /><Relationship Type="http://schemas.openxmlformats.org/officeDocument/2006/relationships/hyperlink" Id="rId83" Target="https://zenodo.org/help/version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citizen observations to FAIR-oriented research data: ECHOREPO and a reusable architecture for soil citizen science</dc:title>
  <dc:creator>Oleg Osychenko, Claudia Cappello, Céline Laurent, Ivan Rodero, Tanja Mimmo Provisional author and affiliation list</dc:creator>
  <cp:keywords/>
  <dcterms:created xsi:type="dcterms:W3CDTF">2026-10-30T00:08:40Z</dcterms:created>
  <dcterms:modified xsi:type="dcterms:W3CDTF">2026-10-30T00:08:40Z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Citizen-collected soil samples can generate observations, photographs, laboratory measurements and microbial biodiversity results through separate organisational workflows, often at different times. Linking this evidence into a durable research resource requires stable sample identities, provenance-aware quality assessment, privacy safeguards and publication independent of the collection application. We present ECHOREPO, an open-source, sample-centred research-data infrastructure developed within the European ECHO citizen-science project. Its canonical publication model comprises six linked CSV resources and CSV on the Web metadata. In the version 12 dataset snapshot of 29 October 2026, 10,554 distinct samples were represented; 5,514 (52.25%) had records in at least two of three supplementary domains (photographs, laboratory measurements and microbial biodiversity). Of 1,200 samples with biodiversity results, 997 (83.08%) also had photographs and laboratory records. Separate geographical and allocation-consistency screening identified 95 application-default coordinate cases and 301 planned-country discrepancies; the latter do not necessarily indicate erroneous locations. A versioned Zenodo dataset and archived source code support independent access and reproducibility. We discuss how sample-centred integration, contextual quality checks and controlled publication can support soil research, while distinguishing linked-record coverage from scientific representativeness and detected anomalies from verified corrections.</vt:lpwstr>
  </property>
  <property fmtid="{D5CDD505-2E9C-101B-9397-08002B2CF9AE}" pid="3" name="bibliography">
    <vt:lpwstr>/paper/echorepo_integrated.bib</vt:lpwstr>
  </property>
  <property fmtid="{D5CDD505-2E9C-101B-9397-08002B2CF9AE}" pid="4" name="date">
    <vt:lpwstr>Internal manuscript draft – 30 October 2026</vt:lpwstr>
  </property>
  <property fmtid="{D5CDD505-2E9C-101B-9397-08002B2CF9AE}" pid="5" name="reference-section-title">
    <vt:lpwstr>References</vt:lpwstr>
  </property>
</Properties>
</file>