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w:t>
      </w:r>
      <w:r>
        <w:t xml:space="preserve"> </w:t>
      </w:r>
      <w:r>
        <w:t xml:space="preserve">citizen</w:t>
      </w:r>
      <w:r>
        <w:t xml:space="preserve"> </w:t>
      </w:r>
      <w:r>
        <w:t xml:space="preserve">observations</w:t>
      </w:r>
      <w:r>
        <w:t xml:space="preserve"> </w:t>
      </w:r>
      <w:r>
        <w:t xml:space="preserve">to</w:t>
      </w:r>
      <w:r>
        <w:t xml:space="preserve"> </w:t>
      </w:r>
      <w:r>
        <w:t xml:space="preserve">FAIR</w:t>
      </w:r>
      <w:r>
        <w:t xml:space="preserve"> </w:t>
      </w:r>
      <w:r>
        <w:t xml:space="preserve">research</w:t>
      </w:r>
      <w:r>
        <w:t xml:space="preserve"> </w:t>
      </w:r>
      <w:r>
        <w:t xml:space="preserve">data:</w:t>
      </w:r>
      <w:r>
        <w:br/>
      </w:r>
      <w:r>
        <w:t xml:space="preserve">ECHOREPO</w:t>
      </w:r>
      <w:r>
        <w:t xml:space="preserve"> </w:t>
      </w:r>
      <w:r>
        <w:t xml:space="preserve">and</w:t>
      </w:r>
      <w:r>
        <w:t xml:space="preserve"> </w:t>
      </w:r>
      <w:r>
        <w:t xml:space="preserve">a</w:t>
      </w:r>
      <w:r>
        <w:t xml:space="preserve"> </w:t>
      </w:r>
      <w:r>
        <w:t xml:space="preserve">reusable</w:t>
      </w:r>
      <w:r>
        <w:t xml:space="preserve"> </w:t>
      </w:r>
      <w:r>
        <w:t xml:space="preserve">architecture</w:t>
      </w:r>
      <w:r>
        <w:t xml:space="preserve"> </w:t>
      </w:r>
      <w:r>
        <w:t xml:space="preserve">for</w:t>
      </w:r>
      <w:r>
        <w:t xml:space="preserve"> </w:t>
      </w:r>
      <w:r>
        <w:t xml:space="preserve">soil</w:t>
      </w:r>
      <w:r>
        <w:t xml:space="preserve"> </w:t>
      </w:r>
      <w:r>
        <w:t xml:space="preserve">citizen</w:t>
      </w:r>
      <w:r>
        <w:t xml:space="preserve"> </w:t>
      </w:r>
      <w:r>
        <w:t xml:space="preserve">science</w:t>
      </w:r>
    </w:p>
    <w:p>
      <w:pPr>
        <w:pStyle w:val="Author"/>
      </w:pPr>
      <w:r>
        <w:t xml:space="preserve">Oleg</w:t>
      </w:r>
      <w:r>
        <w:t xml:space="preserve"> </w:t>
      </w:r>
      <w:r>
        <w:t xml:space="preserve">Osychenko,</w:t>
      </w:r>
      <w:r>
        <w:t xml:space="preserve"> </w:t>
      </w:r>
      <w:r>
        <w:t xml:space="preserve">Claudia</w:t>
      </w:r>
      <w:r>
        <w:t xml:space="preserve"> </w:t>
      </w:r>
      <w:r>
        <w:t xml:space="preserve">Cappello,</w:t>
      </w:r>
      <w:r>
        <w:t xml:space="preserve"> </w:t>
      </w:r>
      <w:r>
        <w:t xml:space="preserve">Céline</w:t>
      </w:r>
      <w:r>
        <w:t xml:space="preserve"> </w:t>
      </w:r>
      <w:r>
        <w:t xml:space="preserve">Laurent,</w:t>
      </w:r>
      <w:r>
        <w:t xml:space="preserve"> </w:t>
      </w:r>
      <w:r>
        <w:t xml:space="preserve">Ivan</w:t>
      </w:r>
      <w:r>
        <w:t xml:space="preserve"> </w:t>
      </w:r>
      <w:r>
        <w:t xml:space="preserve">Rodero,</w:t>
      </w:r>
      <w:r>
        <w:t xml:space="preserve"> </w:t>
      </w:r>
      <w:r>
        <w:t xml:space="preserve">Tanja</w:t>
      </w:r>
      <w:r>
        <w:t xml:space="preserve"> </w:t>
      </w:r>
      <w:r>
        <w:t xml:space="preserve">Mimmo</w:t>
      </w:r>
      <w:r>
        <w:br/>
      </w:r>
      <w:r>
        <w:t xml:space="preserve">Provisional</w:t>
      </w:r>
      <w:r>
        <w:t xml:space="preserve"> </w:t>
      </w:r>
      <w:r>
        <w:t xml:space="preserve">author</w:t>
      </w:r>
      <w:r>
        <w:t xml:space="preserve"> </w:t>
      </w:r>
      <w:r>
        <w:t xml:space="preserve">and</w:t>
      </w:r>
      <w:r>
        <w:t xml:space="preserve"> </w:t>
      </w:r>
      <w:r>
        <w:t xml:space="preserve">affiliation</w:t>
      </w:r>
      <w:r>
        <w:t xml:space="preserve"> </w:t>
      </w:r>
      <w:r>
        <w:t xml:space="preserve">list</w:t>
      </w:r>
    </w:p>
    <w:p>
      <w:pPr>
        <w:pStyle w:val="Date"/>
      </w:pPr>
      <w:r>
        <w:t xml:space="preserve">Internal</w:t>
      </w:r>
      <w:r>
        <w:t xml:space="preserve"> </w:t>
      </w:r>
      <w:r>
        <w:t xml:space="preserve">manuscript</w:t>
      </w:r>
      <w:r>
        <w:t xml:space="preserve"> </w:t>
      </w:r>
      <w:r>
        <w:t xml:space="preserve">draft</w:t>
      </w:r>
      <w:r>
        <w:t xml:space="preserve"> </w:t>
      </w:r>
      <w:r>
        <w:t xml:space="preserve">–</w:t>
      </w:r>
      <w:r>
        <w:t xml:space="preserve"> </w:t>
      </w:r>
      <w:r>
        <w:t xml:space="preserve">29</w:t>
      </w:r>
      <w:r>
        <w:t xml:space="preserve"> </w:t>
      </w:r>
      <w:r>
        <w:t xml:space="preserve">October</w:t>
      </w:r>
      <w:r>
        <w:t xml:space="preserve"> </w:t>
      </w:r>
      <w:r>
        <w:t xml:space="preserve">2026</w:t>
      </w:r>
    </w:p>
    <w:p>
      <w:pPr>
        <w:pStyle w:val="Abstract"/>
      </w:pPr>
      <w:r>
        <w:t xml:space="preserve">Citizen-science</w:t>
      </w:r>
      <w:r>
        <w:t xml:space="preserve"> </w:t>
      </w:r>
      <w:r>
        <w:t xml:space="preserve">observations</w:t>
      </w:r>
      <w:r>
        <w:t xml:space="preserve"> </w:t>
      </w:r>
      <w:r>
        <w:t xml:space="preserve">often</w:t>
      </w:r>
      <w:r>
        <w:t xml:space="preserve"> </w:t>
      </w:r>
      <w:r>
        <w:t xml:space="preserve">acquire</w:t>
      </w:r>
      <w:r>
        <w:t xml:space="preserve"> </w:t>
      </w:r>
      <w:r>
        <w:t xml:space="preserve">scientific</w:t>
      </w:r>
      <w:r>
        <w:t xml:space="preserve"> </w:t>
      </w:r>
      <w:r>
        <w:t xml:space="preserve">value</w:t>
      </w:r>
      <w:r>
        <w:t xml:space="preserve"> </w:t>
      </w:r>
      <w:r>
        <w:t xml:space="preserve">beyond</w:t>
      </w:r>
      <w:r>
        <w:t xml:space="preserve"> </w:t>
      </w:r>
      <w:r>
        <w:t xml:space="preserve">their</w:t>
      </w:r>
      <w:r>
        <w:t xml:space="preserve"> </w:t>
      </w:r>
      <w:r>
        <w:t xml:space="preserve">original</w:t>
      </w:r>
      <w:r>
        <w:t xml:space="preserve"> </w:t>
      </w:r>
      <w:r>
        <w:t xml:space="preserve">collection</w:t>
      </w:r>
      <w:r>
        <w:t xml:space="preserve"> </w:t>
      </w:r>
      <w:r>
        <w:t xml:space="preserve">context,</w:t>
      </w:r>
      <w:r>
        <w:t xml:space="preserve"> </w:t>
      </w:r>
      <w:r>
        <w:t xml:space="preserve">yet</w:t>
      </w:r>
      <w:r>
        <w:t xml:space="preserve"> </w:t>
      </w:r>
      <w:r>
        <w:t xml:space="preserve">long-term</w:t>
      </w:r>
      <w:r>
        <w:t xml:space="preserve"> </w:t>
      </w:r>
      <w:r>
        <w:t xml:space="preserve">management</w:t>
      </w:r>
      <w:r>
        <w:t xml:space="preserve"> </w:t>
      </w:r>
      <w:r>
        <w:t xml:space="preserve">requires</w:t>
      </w:r>
      <w:r>
        <w:t xml:space="preserve"> </w:t>
      </w:r>
      <w:r>
        <w:t xml:space="preserve">integration</w:t>
      </w:r>
      <w:r>
        <w:t xml:space="preserve"> </w:t>
      </w:r>
      <w:r>
        <w:t xml:space="preserve">with</w:t>
      </w:r>
      <w:r>
        <w:t xml:space="preserve"> </w:t>
      </w:r>
      <w:r>
        <w:t xml:space="preserve">later</w:t>
      </w:r>
      <w:r>
        <w:t xml:space="preserve"> </w:t>
      </w:r>
      <w:r>
        <w:t xml:space="preserve">analytical</w:t>
      </w:r>
      <w:r>
        <w:t xml:space="preserve"> </w:t>
      </w:r>
      <w:r>
        <w:t xml:space="preserve">results,</w:t>
      </w:r>
      <w:r>
        <w:t xml:space="preserve"> </w:t>
      </w:r>
      <w:r>
        <w:t xml:space="preserve">assessment</w:t>
      </w:r>
      <w:r>
        <w:t xml:space="preserve"> </w:t>
      </w:r>
      <w:r>
        <w:t xml:space="preserve">of</w:t>
      </w:r>
      <w:r>
        <w:t xml:space="preserve"> </w:t>
      </w:r>
      <w:r>
        <w:t xml:space="preserve">imperfect</w:t>
      </w:r>
      <w:r>
        <w:t xml:space="preserve"> </w:t>
      </w:r>
      <w:r>
        <w:t xml:space="preserve">records,</w:t>
      </w:r>
      <w:r>
        <w:t xml:space="preserve"> </w:t>
      </w:r>
      <w:r>
        <w:t xml:space="preserve">protection</w:t>
      </w:r>
      <w:r>
        <w:t xml:space="preserve"> </w:t>
      </w:r>
      <w:r>
        <w:t xml:space="preserve">of</w:t>
      </w:r>
      <w:r>
        <w:t xml:space="preserve"> </w:t>
      </w:r>
      <w:r>
        <w:t xml:space="preserve">sensitive</w:t>
      </w:r>
      <w:r>
        <w:t xml:space="preserve"> </w:t>
      </w:r>
      <w:r>
        <w:t xml:space="preserve">locations</w:t>
      </w:r>
      <w:r>
        <w:t xml:space="preserve"> </w:t>
      </w:r>
      <w:r>
        <w:t xml:space="preserve">and</w:t>
      </w:r>
      <w:r>
        <w:t xml:space="preserve"> </w:t>
      </w:r>
      <w:r>
        <w:t xml:space="preserve">independent</w:t>
      </w:r>
      <w:r>
        <w:t xml:space="preserve"> </w:t>
      </w:r>
      <w:r>
        <w:t xml:space="preserve">publication.</w:t>
      </w:r>
      <w:r>
        <w:t xml:space="preserve"> </w:t>
      </w:r>
      <w:r>
        <w:t xml:space="preserve">We</w:t>
      </w:r>
      <w:r>
        <w:t xml:space="preserve"> </w:t>
      </w:r>
      <w:r>
        <w:t xml:space="preserve">present</w:t>
      </w:r>
      <w:r>
        <w:t xml:space="preserve"> </w:t>
      </w:r>
      <w:r>
        <w:rPr>
          <w:smallCaps/>
        </w:rPr>
        <w:t xml:space="preserve">ECHOREPO</w:t>
      </w:r>
      <w:r>
        <w:t xml:space="preserve">,</w:t>
      </w:r>
      <w:r>
        <w:t xml:space="preserve"> </w:t>
      </w:r>
      <w:r>
        <w:t xml:space="preserve">an</w:t>
      </w:r>
      <w:r>
        <w:t xml:space="preserve"> </w:t>
      </w:r>
      <w:r>
        <w:t xml:space="preserve">open-source</w:t>
      </w:r>
      <w:r>
        <w:t xml:space="preserve"> </w:t>
      </w:r>
      <w:r>
        <w:t xml:space="preserve">research-data</w:t>
      </w:r>
      <w:r>
        <w:t xml:space="preserve"> </w:t>
      </w:r>
      <w:r>
        <w:t xml:space="preserve">infrastructure</w:t>
      </w:r>
      <w:r>
        <w:t xml:space="preserve"> </w:t>
      </w:r>
      <w:r>
        <w:t xml:space="preserve">developed</w:t>
      </w:r>
      <w:r>
        <w:t xml:space="preserve"> </w:t>
      </w:r>
      <w:r>
        <w:t xml:space="preserve">for</w:t>
      </w:r>
      <w:r>
        <w:t xml:space="preserve"> </w:t>
      </w:r>
      <w:r>
        <w:t xml:space="preserve">European</w:t>
      </w:r>
      <w:r>
        <w:t xml:space="preserve"> </w:t>
      </w:r>
      <w:r>
        <w:t xml:space="preserve">soil</w:t>
      </w:r>
      <w:r>
        <w:t xml:space="preserve"> </w:t>
      </w:r>
      <w:r>
        <w:t xml:space="preserve">citizen</w:t>
      </w:r>
      <w:r>
        <w:t xml:space="preserve"> </w:t>
      </w:r>
      <w:r>
        <w:t xml:space="preserve">science.</w:t>
      </w:r>
      <w:r>
        <w:t xml:space="preserve"> </w:t>
      </w:r>
      <w:r>
        <w:t xml:space="preserve">The</w:t>
      </w:r>
      <w:r>
        <w:t xml:space="preserve"> </w:t>
      </w:r>
      <w:r>
        <w:t xml:space="preserve">system</w:t>
      </w:r>
      <w:r>
        <w:t xml:space="preserve"> </w:t>
      </w:r>
      <w:r>
        <w:t xml:space="preserve">separates</w:t>
      </w:r>
      <w:r>
        <w:t xml:space="preserve"> </w:t>
      </w:r>
      <w:r>
        <w:t xml:space="preserve">an</w:t>
      </w:r>
      <w:r>
        <w:t xml:space="preserve"> </w:t>
      </w:r>
      <w:r>
        <w:t xml:space="preserve">external</w:t>
      </w:r>
      <w:r>
        <w:t xml:space="preserve"> </w:t>
      </w:r>
      <w:r>
        <w:t xml:space="preserve">participant-facing</w:t>
      </w:r>
      <w:r>
        <w:t xml:space="preserve"> </w:t>
      </w:r>
      <w:r>
        <w:t xml:space="preserve">application</w:t>
      </w:r>
      <w:r>
        <w:t xml:space="preserve"> </w:t>
      </w:r>
      <w:r>
        <w:t xml:space="preserve">from</w:t>
      </w:r>
      <w:r>
        <w:t xml:space="preserve"> </w:t>
      </w:r>
      <w:r>
        <w:t xml:space="preserve">a</w:t>
      </w:r>
      <w:r>
        <w:t xml:space="preserve"> </w:t>
      </w:r>
      <w:r>
        <w:t xml:space="preserve">canonical</w:t>
      </w:r>
      <w:r>
        <w:t xml:space="preserve"> </w:t>
      </w:r>
      <w:r>
        <w:t xml:space="preserve">sample-centred</w:t>
      </w:r>
      <w:r>
        <w:t xml:space="preserve"> </w:t>
      </w:r>
      <w:r>
        <w:t xml:space="preserve">repository,</w:t>
      </w:r>
      <w:r>
        <w:t xml:space="preserve"> </w:t>
      </w:r>
      <w:r>
        <w:t xml:space="preserve">linking</w:t>
      </w:r>
      <w:r>
        <w:t xml:space="preserve"> </w:t>
      </w:r>
      <w:r>
        <w:t xml:space="preserve">observations</w:t>
      </w:r>
      <w:r>
        <w:t xml:space="preserve"> </w:t>
      </w:r>
      <w:r>
        <w:t xml:space="preserve">and</w:t>
      </w:r>
      <w:r>
        <w:t xml:space="preserve"> </w:t>
      </w:r>
      <w:r>
        <w:t xml:space="preserve">photographs</w:t>
      </w:r>
      <w:r>
        <w:t xml:space="preserve"> </w:t>
      </w:r>
      <w:r>
        <w:t xml:space="preserve">to</w:t>
      </w:r>
      <w:r>
        <w:t xml:space="preserve"> </w:t>
      </w:r>
      <w:r>
        <w:t xml:space="preserve">laboratory</w:t>
      </w:r>
      <w:r>
        <w:t xml:space="preserve"> </w:t>
      </w:r>
      <w:r>
        <w:t xml:space="preserve">measurements</w:t>
      </w:r>
      <w:r>
        <w:t xml:space="preserve"> </w:t>
      </w:r>
      <w:r>
        <w:t xml:space="preserve">and</w:t>
      </w:r>
      <w:r>
        <w:t xml:space="preserve"> </w:t>
      </w:r>
      <w:r>
        <w:t xml:space="preserve">microbial</w:t>
      </w:r>
      <w:r>
        <w:t xml:space="preserve"> </w:t>
      </w:r>
      <w:r>
        <w:t xml:space="preserve">biodiversity</w:t>
      </w:r>
      <w:r>
        <w:t xml:space="preserve"> </w:t>
      </w:r>
      <w:r>
        <w:t xml:space="preserve">data.</w:t>
      </w:r>
      <w:r>
        <w:t xml:space="preserve"> </w:t>
      </w:r>
      <w:r>
        <w:t xml:space="preserve">It</w:t>
      </w:r>
      <w:r>
        <w:t xml:space="preserve"> </w:t>
      </w:r>
      <w:r>
        <w:t xml:space="preserve">combines</w:t>
      </w:r>
      <w:r>
        <w:t xml:space="preserve"> </w:t>
      </w:r>
      <w:r>
        <w:t xml:space="preserve">provenance-aware</w:t>
      </w:r>
      <w:r>
        <w:t xml:space="preserve"> </w:t>
      </w:r>
      <w:r>
        <w:t xml:space="preserve">quality</w:t>
      </w:r>
      <w:r>
        <w:t xml:space="preserve"> </w:t>
      </w:r>
      <w:r>
        <w:t xml:space="preserve">assurance</w:t>
      </w:r>
      <w:r>
        <w:t xml:space="preserve"> </w:t>
      </w:r>
      <w:r>
        <w:t xml:space="preserve">with</w:t>
      </w:r>
      <w:r>
        <w:t xml:space="preserve"> </w:t>
      </w:r>
      <w:r>
        <w:t xml:space="preserve">controlled</w:t>
      </w:r>
      <w:r>
        <w:t xml:space="preserve"> </w:t>
      </w:r>
      <w:r>
        <w:t xml:space="preserve">publication</w:t>
      </w:r>
      <w:r>
        <w:t xml:space="preserve"> </w:t>
      </w:r>
      <w:r>
        <w:t xml:space="preserve">views</w:t>
      </w:r>
      <w:r>
        <w:t xml:space="preserve"> </w:t>
      </w:r>
      <w:r>
        <w:t xml:space="preserve">and</w:t>
      </w:r>
      <w:r>
        <w:t xml:space="preserve"> </w:t>
      </w:r>
      <w:r>
        <w:t xml:space="preserve">exports</w:t>
      </w:r>
      <w:r>
        <w:t xml:space="preserve"> </w:t>
      </w:r>
      <w:r>
        <w:t xml:space="preserve">relational</w:t>
      </w:r>
      <w:r>
        <w:t xml:space="preserve"> </w:t>
      </w:r>
      <w:r>
        <w:t xml:space="preserve">tabular</w:t>
      </w:r>
      <w:r>
        <w:t xml:space="preserve"> </w:t>
      </w:r>
      <w:r>
        <w:t xml:space="preserve">resources</w:t>
      </w:r>
      <w:r>
        <w:t xml:space="preserve"> </w:t>
      </w:r>
      <w:r>
        <w:t xml:space="preserve">accompanied</w:t>
      </w:r>
      <w:r>
        <w:t xml:space="preserve"> </w:t>
      </w:r>
      <w:r>
        <w:t xml:space="preserve">by</w:t>
      </w:r>
      <w:r>
        <w:t xml:space="preserve"> </w:t>
      </w:r>
      <w:r>
        <w:t xml:space="preserve">CSV</w:t>
      </w:r>
      <w:r>
        <w:t xml:space="preserve"> </w:t>
      </w:r>
      <w:r>
        <w:t xml:space="preserve">on</w:t>
      </w:r>
      <w:r>
        <w:t xml:space="preserve"> </w:t>
      </w:r>
      <w:r>
        <w:t xml:space="preserve">the</w:t>
      </w:r>
      <w:r>
        <w:t xml:space="preserve"> </w:t>
      </w:r>
      <w:r>
        <w:t xml:space="preserve">Web</w:t>
      </w:r>
      <w:r>
        <w:t xml:space="preserve"> </w:t>
      </w:r>
      <w:r>
        <w:t xml:space="preserve">(CSVW)</w:t>
      </w:r>
      <w:r>
        <w:t xml:space="preserve"> </w:t>
      </w:r>
      <w:r>
        <w:t xml:space="preserve">metadata.</w:t>
      </w:r>
      <w:r>
        <w:t xml:space="preserve"> </w:t>
      </w:r>
      <w:r>
        <w:t xml:space="preserve">In</w:t>
      </w:r>
      <w:r>
        <w:t xml:space="preserve"> </w:t>
      </w:r>
      <w:r>
        <w:t xml:space="preserve">a</w:t>
      </w:r>
      <w:r>
        <w:t xml:space="preserve"> </w:t>
      </w:r>
      <w:r>
        <w:t xml:space="preserve">canonical</w:t>
      </w:r>
      <w:r>
        <w:t xml:space="preserve"> </w:t>
      </w:r>
      <w:r>
        <w:t xml:space="preserve">snapshot</w:t>
      </w:r>
      <w:r>
        <w:t xml:space="preserve"> </w:t>
      </w:r>
      <w:r>
        <w:t xml:space="preserve">of</w:t>
      </w:r>
      <w:r>
        <w:t xml:space="preserve"> </w:t>
      </w:r>
      <w:r>
        <w:t xml:space="preserve">10,554</w:t>
      </w:r>
      <w:r>
        <w:t xml:space="preserve"> </w:t>
      </w:r>
      <w:r>
        <w:t xml:space="preserve">soil</w:t>
      </w:r>
      <w:r>
        <w:t xml:space="preserve"> </w:t>
      </w:r>
      <w:r>
        <w:t xml:space="preserve">samples,</w:t>
      </w:r>
      <w:r>
        <w:t xml:space="preserve"> </w:t>
      </w:r>
      <w:r>
        <w:t xml:space="preserve">8,744</w:t>
      </w:r>
      <w:r>
        <w:t xml:space="preserve"> </w:t>
      </w:r>
      <w:r>
        <w:t xml:space="preserve">(82.85%)</w:t>
      </w:r>
      <w:r>
        <w:t xml:space="preserve"> </w:t>
      </w:r>
      <w:r>
        <w:t xml:space="preserve">had</w:t>
      </w:r>
      <w:r>
        <w:t xml:space="preserve"> </w:t>
      </w:r>
      <w:r>
        <w:t xml:space="preserve">associated</w:t>
      </w:r>
      <w:r>
        <w:t xml:space="preserve"> </w:t>
      </w:r>
      <w:r>
        <w:t xml:space="preserve">photographs,</w:t>
      </w:r>
      <w:r>
        <w:t xml:space="preserve"> </w:t>
      </w:r>
      <w:r>
        <w:t xml:space="preserve">6,443</w:t>
      </w:r>
      <w:r>
        <w:t xml:space="preserve"> </w:t>
      </w:r>
      <w:r>
        <w:t xml:space="preserve">(61.05%)</w:t>
      </w:r>
      <w:r>
        <w:t xml:space="preserve"> </w:t>
      </w:r>
      <w:r>
        <w:t xml:space="preserve">laboratory</w:t>
      </w:r>
      <w:r>
        <w:t xml:space="preserve"> </w:t>
      </w:r>
      <w:r>
        <w:t xml:space="preserve">measurements</w:t>
      </w:r>
      <w:r>
        <w:t xml:space="preserve"> </w:t>
      </w:r>
      <w:r>
        <w:t xml:space="preserve">and</w:t>
      </w:r>
      <w:r>
        <w:t xml:space="preserve"> </w:t>
      </w:r>
      <w:r>
        <w:t xml:space="preserve">1,200</w:t>
      </w:r>
      <w:r>
        <w:t xml:space="preserve"> </w:t>
      </w:r>
      <w:r>
        <w:t xml:space="preserve">(11.37%)</w:t>
      </w:r>
      <w:r>
        <w:t xml:space="preserve"> </w:t>
      </w:r>
      <w:r>
        <w:t xml:space="preserve">biodiversity</w:t>
      </w:r>
      <w:r>
        <w:t xml:space="preserve"> </w:t>
      </w:r>
      <w:r>
        <w:t xml:space="preserve">results;</w:t>
      </w:r>
      <w:r>
        <w:t xml:space="preserve"> </w:t>
      </w:r>
      <w:r>
        <w:t xml:space="preserve">5,514</w:t>
      </w:r>
      <w:r>
        <w:t xml:space="preserve"> </w:t>
      </w:r>
      <w:r>
        <w:t xml:space="preserve">(52.25%)</w:t>
      </w:r>
      <w:r>
        <w:t xml:space="preserve"> </w:t>
      </w:r>
      <w:r>
        <w:t xml:space="preserve">were</w:t>
      </w:r>
      <w:r>
        <w:t xml:space="preserve"> </w:t>
      </w:r>
      <w:r>
        <w:t xml:space="preserve">linked</w:t>
      </w:r>
      <w:r>
        <w:t xml:space="preserve"> </w:t>
      </w:r>
      <w:r>
        <w:t xml:space="preserve">to</w:t>
      </w:r>
      <w:r>
        <w:t xml:space="preserve"> </w:t>
      </w:r>
      <w:r>
        <w:t xml:space="preserve">at</w:t>
      </w:r>
      <w:r>
        <w:t xml:space="preserve"> </w:t>
      </w:r>
      <w:r>
        <w:t xml:space="preserve">least</w:t>
      </w:r>
      <w:r>
        <w:t xml:space="preserve"> </w:t>
      </w:r>
      <w:r>
        <w:t xml:space="preserve">two</w:t>
      </w:r>
      <w:r>
        <w:t xml:space="preserve"> </w:t>
      </w:r>
      <w:r>
        <w:t xml:space="preserve">additional</w:t>
      </w:r>
      <w:r>
        <w:t xml:space="preserve"> </w:t>
      </w:r>
      <w:r>
        <w:t xml:space="preserve">data</w:t>
      </w:r>
      <w:r>
        <w:t xml:space="preserve"> </w:t>
      </w:r>
      <w:r>
        <w:t xml:space="preserve">domains.</w:t>
      </w:r>
      <w:r>
        <w:t xml:space="preserve"> </w:t>
      </w:r>
      <w:r>
        <w:t xml:space="preserve">Geographical</w:t>
      </w:r>
      <w:r>
        <w:t xml:space="preserve"> </w:t>
      </w:r>
      <w:r>
        <w:t xml:space="preserve">and</w:t>
      </w:r>
      <w:r>
        <w:t xml:space="preserve"> </w:t>
      </w:r>
      <w:r>
        <w:t xml:space="preserve">allocation-related</w:t>
      </w:r>
      <w:r>
        <w:t xml:space="preserve"> </w:t>
      </w:r>
      <w:r>
        <w:t xml:space="preserve">quality</w:t>
      </w:r>
      <w:r>
        <w:t xml:space="preserve"> </w:t>
      </w:r>
      <w:r>
        <w:t xml:space="preserve">assessment</w:t>
      </w:r>
      <w:r>
        <w:t xml:space="preserve"> </w:t>
      </w:r>
      <w:r>
        <w:t xml:space="preserve">flagged</w:t>
      </w:r>
      <w:r>
        <w:t xml:space="preserve"> </w:t>
      </w:r>
      <w:r>
        <w:t xml:space="preserve">396</w:t>
      </w:r>
      <w:r>
        <w:t xml:space="preserve"> </w:t>
      </w:r>
      <w:r>
        <w:t xml:space="preserve">samples</w:t>
      </w:r>
      <w:r>
        <w:t xml:space="preserve"> </w:t>
      </w:r>
      <w:r>
        <w:t xml:space="preserve">(3.75%):</w:t>
      </w:r>
      <w:r>
        <w:t xml:space="preserve"> </w:t>
      </w:r>
      <w:r>
        <w:t xml:space="preserve">95</w:t>
      </w:r>
      <w:r>
        <w:t xml:space="preserve"> </w:t>
      </w:r>
      <w:r>
        <w:t xml:space="preserve">had</w:t>
      </w:r>
      <w:r>
        <w:t xml:space="preserve"> </w:t>
      </w:r>
      <w:r>
        <w:t xml:space="preserve">application-default</w:t>
      </w:r>
      <w:r>
        <w:t xml:space="preserve"> </w:t>
      </w:r>
      <w:r>
        <w:t xml:space="preserve">coordinates</w:t>
      </w:r>
      <w:r>
        <w:t xml:space="preserve"> </w:t>
      </w:r>
      <w:r>
        <w:t xml:space="preserve">and</w:t>
      </w:r>
      <w:r>
        <w:t xml:space="preserve"> </w:t>
      </w:r>
      <w:r>
        <w:t xml:space="preserve">301</w:t>
      </w:r>
      <w:r>
        <w:t xml:space="preserve"> </w:t>
      </w:r>
      <w:r>
        <w:t xml:space="preserve">showed</w:t>
      </w:r>
      <w:r>
        <w:t xml:space="preserve"> </w:t>
      </w:r>
      <w:r>
        <w:t xml:space="preserve">a</w:t>
      </w:r>
      <w:r>
        <w:t xml:space="preserve"> </w:t>
      </w:r>
      <w:r>
        <w:t xml:space="preserve">discrepancy</w:t>
      </w:r>
      <w:r>
        <w:t xml:space="preserve"> </w:t>
      </w:r>
      <w:r>
        <w:t xml:space="preserve">between</w:t>
      </w:r>
      <w:r>
        <w:t xml:space="preserve"> </w:t>
      </w:r>
      <w:r>
        <w:t xml:space="preserve">the</w:t>
      </w:r>
      <w:r>
        <w:t xml:space="preserve"> </w:t>
      </w:r>
      <w:r>
        <w:t xml:space="preserve">QR-code</w:t>
      </w:r>
      <w:r>
        <w:t xml:space="preserve"> </w:t>
      </w:r>
      <w:r>
        <w:t xml:space="preserve">planned</w:t>
      </w:r>
      <w:r>
        <w:t xml:space="preserve"> </w:t>
      </w:r>
      <w:r>
        <w:t xml:space="preserve">country</w:t>
      </w:r>
      <w:r>
        <w:t xml:space="preserve"> </w:t>
      </w:r>
      <w:r>
        <w:t xml:space="preserve">and</w:t>
      </w:r>
      <w:r>
        <w:t xml:space="preserve"> </w:t>
      </w:r>
      <w:r>
        <w:t xml:space="preserve">the</w:t>
      </w:r>
      <w:r>
        <w:t xml:space="preserve"> </w:t>
      </w:r>
      <w:r>
        <w:t xml:space="preserve">recorded</w:t>
      </w:r>
      <w:r>
        <w:t xml:space="preserve"> </w:t>
      </w:r>
      <w:r>
        <w:t xml:space="preserve">sampling</w:t>
      </w:r>
      <w:r>
        <w:t xml:space="preserve"> </w:t>
      </w:r>
      <w:r>
        <w:t xml:space="preserve">country.</w:t>
      </w:r>
      <w:r>
        <w:t xml:space="preserve"> </w:t>
      </w:r>
      <w:r>
        <w:t xml:space="preserve">These</w:t>
      </w:r>
      <w:r>
        <w:t xml:space="preserve"> </w:t>
      </w:r>
      <w:r>
        <w:t xml:space="preserve">discrepancies</w:t>
      </w:r>
      <w:r>
        <w:t xml:space="preserve"> </w:t>
      </w:r>
      <w:r>
        <w:t xml:space="preserve">are</w:t>
      </w:r>
      <w:r>
        <w:t xml:space="preserve"> </w:t>
      </w:r>
      <w:r>
        <w:t xml:space="preserve">not</w:t>
      </w:r>
      <w:r>
        <w:t xml:space="preserve"> </w:t>
      </w:r>
      <w:r>
        <w:t xml:space="preserve">necessarily</w:t>
      </w:r>
      <w:r>
        <w:t xml:space="preserve"> </w:t>
      </w:r>
      <w:r>
        <w:t xml:space="preserve">geographical</w:t>
      </w:r>
      <w:r>
        <w:t xml:space="preserve"> </w:t>
      </w:r>
      <w:r>
        <w:t xml:space="preserve">errors.</w:t>
      </w:r>
      <w:r>
        <w:t xml:space="preserve"> </w:t>
      </w:r>
      <w:r>
        <w:t xml:space="preserve">A</w:t>
      </w:r>
      <w:r>
        <w:t xml:space="preserve"> </w:t>
      </w:r>
      <w:r>
        <w:t xml:space="preserve">published</w:t>
      </w:r>
      <w:r>
        <w:t xml:space="preserve"> </w:t>
      </w:r>
      <w:r>
        <w:t xml:space="preserve">Zenodo</w:t>
      </w:r>
      <w:r>
        <w:t xml:space="preserve"> </w:t>
      </w:r>
      <w:r>
        <w:t xml:space="preserve">dataset</w:t>
      </w:r>
      <w:r>
        <w:t xml:space="preserve"> </w:t>
      </w:r>
      <w:r>
        <w:t xml:space="preserve">demonstrates</w:t>
      </w:r>
      <w:r>
        <w:t xml:space="preserve"> </w:t>
      </w:r>
      <w:r>
        <w:t xml:space="preserve">versioned</w:t>
      </w:r>
      <w:r>
        <w:t xml:space="preserve"> </w:t>
      </w:r>
      <w:r>
        <w:t xml:space="preserve">release</w:t>
      </w:r>
      <w:r>
        <w:t xml:space="preserve"> </w:t>
      </w:r>
      <w:r>
        <w:t xml:space="preserve">of</w:t>
      </w:r>
      <w:r>
        <w:t xml:space="preserve"> </w:t>
      </w:r>
      <w:r>
        <w:t xml:space="preserve">machine-readable</w:t>
      </w:r>
      <w:r>
        <w:t xml:space="preserve"> </w:t>
      </w:r>
      <w:r>
        <w:t xml:space="preserve">resources</w:t>
      </w:r>
      <w:r>
        <w:t xml:space="preserve"> </w:t>
      </w:r>
      <w:r>
        <w:t xml:space="preserve">independently</w:t>
      </w:r>
      <w:r>
        <w:t xml:space="preserve"> </w:t>
      </w:r>
      <w:r>
        <w:t xml:space="preserve">of</w:t>
      </w:r>
      <w:r>
        <w:t xml:space="preserve"> </w:t>
      </w:r>
      <w:r>
        <w:t xml:space="preserve">the</w:t>
      </w:r>
      <w:r>
        <w:t xml:space="preserve"> </w:t>
      </w:r>
      <w:r>
        <w:t xml:space="preserve">operational</w:t>
      </w:r>
      <w:r>
        <w:t xml:space="preserve"> </w:t>
      </w:r>
      <w:r>
        <w:t xml:space="preserve">application.</w:t>
      </w:r>
      <w:r>
        <w:t xml:space="preserve"> </w:t>
      </w:r>
      <w:r>
        <w:t xml:space="preserve">We</w:t>
      </w:r>
      <w:r>
        <w:t xml:space="preserve"> </w:t>
      </w:r>
      <w:r>
        <w:t xml:space="preserve">discuss</w:t>
      </w:r>
      <w:r>
        <w:t xml:space="preserve"> </w:t>
      </w:r>
      <w:r>
        <w:t xml:space="preserve">the</w:t>
      </w:r>
      <w:r>
        <w:t xml:space="preserve"> </w:t>
      </w:r>
      <w:r>
        <w:t xml:space="preserve">design</w:t>
      </w:r>
      <w:r>
        <w:t xml:space="preserve"> </w:t>
      </w:r>
      <w:r>
        <w:t xml:space="preserve">choices</w:t>
      </w:r>
      <w:r>
        <w:t xml:space="preserve"> </w:t>
      </w:r>
      <w:r>
        <w:t xml:space="preserve">and</w:t>
      </w:r>
      <w:r>
        <w:t xml:space="preserve"> </w:t>
      </w:r>
      <w:r>
        <w:t xml:space="preserve">remaining</w:t>
      </w:r>
      <w:r>
        <w:t xml:space="preserve"> </w:t>
      </w:r>
      <w:r>
        <w:t xml:space="preserve">limitations,</w:t>
      </w:r>
      <w:r>
        <w:t xml:space="preserve"> </w:t>
      </w:r>
      <w:r>
        <w:t xml:space="preserve">particularly</w:t>
      </w:r>
      <w:r>
        <w:t xml:space="preserve"> </w:t>
      </w:r>
      <w:r>
        <w:t xml:space="preserve">the</w:t>
      </w:r>
      <w:r>
        <w:t xml:space="preserve"> </w:t>
      </w:r>
      <w:r>
        <w:t xml:space="preserve">distinction</w:t>
      </w:r>
      <w:r>
        <w:t xml:space="preserve"> </w:t>
      </w:r>
      <w:r>
        <w:t xml:space="preserve">between</w:t>
      </w:r>
      <w:r>
        <w:t xml:space="preserve"> </w:t>
      </w:r>
      <w:r>
        <w:t xml:space="preserve">detection</w:t>
      </w:r>
      <w:r>
        <w:t xml:space="preserve"> </w:t>
      </w:r>
      <w:r>
        <w:t xml:space="preserve">and</w:t>
      </w:r>
      <w:r>
        <w:t xml:space="preserve"> </w:t>
      </w:r>
      <w:r>
        <w:t xml:space="preserve">verified</w:t>
      </w:r>
      <w:r>
        <w:t xml:space="preserve"> </w:t>
      </w:r>
      <w:r>
        <w:t xml:space="preserve">recovery,</w:t>
      </w:r>
      <w:r>
        <w:t xml:space="preserve"> </w:t>
      </w:r>
      <w:r>
        <w:t xml:space="preserve">the</w:t>
      </w:r>
      <w:r>
        <w:t xml:space="preserve"> </w:t>
      </w:r>
      <w:r>
        <w:t xml:space="preserve">privacy–utility</w:t>
      </w:r>
      <w:r>
        <w:t xml:space="preserve"> </w:t>
      </w:r>
      <w:r>
        <w:t xml:space="preserve">trade-off</w:t>
      </w:r>
      <w:r>
        <w:t xml:space="preserve"> </w:t>
      </w:r>
      <w:r>
        <w:t xml:space="preserve">in</w:t>
      </w:r>
      <w:r>
        <w:t xml:space="preserve"> </w:t>
      </w:r>
      <w:r>
        <w:t xml:space="preserve">spatial</w:t>
      </w:r>
      <w:r>
        <w:t xml:space="preserve"> </w:t>
      </w:r>
      <w:r>
        <w:t xml:space="preserve">obfuscation,</w:t>
      </w:r>
      <w:r>
        <w:t xml:space="preserve"> </w:t>
      </w:r>
      <w:r>
        <w:t xml:space="preserve">and</w:t>
      </w:r>
      <w:r>
        <w:t xml:space="preserve"> </w:t>
      </w:r>
      <w:r>
        <w:t xml:space="preserve">the</w:t>
      </w:r>
      <w:r>
        <w:t xml:space="preserve"> </w:t>
      </w:r>
      <w:r>
        <w:t xml:space="preserve">boundary</w:t>
      </w:r>
      <w:r>
        <w:t xml:space="preserve"> </w:t>
      </w:r>
      <w:r>
        <w:t xml:space="preserve">between</w:t>
      </w:r>
      <w:r>
        <w:t xml:space="preserve"> </w:t>
      </w:r>
      <w:r>
        <w:t xml:space="preserve">soil-specific</w:t>
      </w:r>
      <w:r>
        <w:t xml:space="preserve"> </w:t>
      </w:r>
      <w:r>
        <w:t xml:space="preserve">and</w:t>
      </w:r>
      <w:r>
        <w:t xml:space="preserve"> </w:t>
      </w:r>
      <w:r>
        <w:t xml:space="preserve">reusable</w:t>
      </w:r>
      <w:r>
        <w:t xml:space="preserve"> </w:t>
      </w:r>
      <w:r>
        <w:t xml:space="preserve">infrastructure</w:t>
      </w:r>
      <w:r>
        <w:t xml:space="preserve"> </w:t>
      </w:r>
      <w:r>
        <w:t xml:space="preserve">components.</w:t>
      </w:r>
    </w:p>
    <w:p>
      <w:pPr>
        <w:pStyle w:val="FirstParagraph"/>
      </w:pPr>
      <w:r>
        <w:rPr>
          <w:bCs/>
          <w:b/>
        </w:rPr>
        <w:t xml:space="preserve">Keywords:</w:t>
      </w:r>
      <w:r>
        <w:t xml:space="preserve"> </w:t>
      </w:r>
      <w:r>
        <w:t xml:space="preserve">citizen science; FAIR data; soil monitoring; research-data infrastructure; quality assurance; privacy; provenance; interoperability.</w:t>
      </w:r>
    </w:p>
    <w:bookmarkStart w:id="20" w:name="introduction"/>
    <w:p>
      <w:pPr>
        <w:pStyle w:val="Heading1"/>
      </w:pPr>
      <w:r>
        <w:t xml:space="preserve">Introduction</w:t>
      </w:r>
    </w:p>
    <w:p>
      <w:pPr>
        <w:pStyle w:val="FirstParagraph"/>
      </w:pPr>
      <w:r>
        <w:t xml:space="preserve">Citizen science enables environmental observations across spatial and temporal scales that are difficult to cover through professional surveys alone</w:t>
      </w:r>
      <w:r>
        <w:t xml:space="preserve"> </w:t>
      </w:r>
      <w:r>
        <w:t xml:space="preserve">(Bonney et al. 2009, 2014)</w:t>
      </w:r>
      <w:r>
        <w:t xml:space="preserve">. In soil monitoring, participation may also strengthen public engagement and stewardship</w:t>
      </w:r>
      <w:r>
        <w:t xml:space="preserve"> </w:t>
      </w:r>
      <w:r>
        <w:t xml:space="preserve">(Peiro et al. 2026)</w:t>
      </w:r>
      <w:r>
        <w:t xml:space="preserve">. However, the research-data lifecycle often extends beyond the initial observation: physical soil samples can be analysed by laboratories, photographs require management as separate objects, and microbial sequencing produces heterogeneous outputs with different structures and provenance.</w:t>
      </w:r>
    </w:p>
    <w:p>
      <w:pPr>
        <w:pStyle w:val="BodyText"/>
      </w:pPr>
      <w:r>
        <w:t xml:space="preserve">Participant-generated data can also contain inaccuracies. Coordinates may be unavailable or replaced by application defaults, and the actual sampling country can differ from the country originally assigned to a QR-coded kit without implying that the recorded location is wrong. Measurements may be incomplete or non-standardised. Public dissemination introduces further requirements, particularly when precise locations or identifiable image content could expose participants. Discarding an entire record because of one defective field may unnecessarily lose otherwise useful scientific evidence.</w:t>
      </w:r>
    </w:p>
    <w:p>
      <w:pPr>
        <w:pStyle w:val="BodyText"/>
      </w:pPr>
      <w:r>
        <w:t xml:space="preserve">Established systems such as CitSci.org and eBird show how citizen-science services can support curation, quality assurance and data sharing</w:t>
      </w:r>
      <w:r>
        <w:t xml:space="preserve"> </w:t>
      </w:r>
      <w:r>
        <w:t xml:space="preserve">(Wang et al. 2015; Sullivan et al. 2014)</w:t>
      </w:r>
      <w:r>
        <w:t xml:space="preserve">. Our focus is a complementary design problem: how to preserve a stable, reusable research representation when the participant-facing acquisition application and subsequent analytical systems are operationally independent.</w:t>
      </w:r>
    </w:p>
    <w:p>
      <w:pPr>
        <w:pStyle w:val="BodyText"/>
      </w:pPr>
      <w:r>
        <w:t xml:space="preserve">We present</w:t>
      </w:r>
      <w:r>
        <w:t xml:space="preserve"> </w:t>
      </w:r>
      <w:r>
        <w:rPr>
          <w:smallCaps/>
        </w:rPr>
        <w:t xml:space="preserve">ECHOREPO</w:t>
      </w:r>
      <w:r>
        <w:t xml:space="preserve">, an open-source, containerised repository developed within the ECHO soil citizen-science project</w:t>
      </w:r>
      <w:r>
        <w:t xml:space="preserve"> </w:t>
      </w:r>
      <w:r>
        <w:t xml:space="preserve">(European Commission 2023)</w:t>
      </w:r>
      <w:r>
        <w:t xml:space="preserve">. We describe its decoupled architecture, sample-centred data integration, geographical quality control, privacy transformations and FAIR-oriented publication workflow</w:t>
      </w:r>
      <w:r>
        <w:t xml:space="preserve"> </w:t>
      </w:r>
      <w:r>
        <w:t xml:space="preserve">(Wilkinson et al. 2016)</w:t>
      </w:r>
      <w:r>
        <w:t xml:space="preserve">. The paper then examines evidence from an operational deployment and discusses which design principles can be transferred beyond soil monitoring. The contribution is an implemented and documented approach, not a claim that the platform is universally reusable without adaptation.</w:t>
      </w:r>
    </w:p>
    <w:bookmarkEnd w:id="20"/>
    <w:bookmarkStart w:id="40" w:name="materials-and-methods"/>
    <w:p>
      <w:pPr>
        <w:pStyle w:val="Heading1"/>
      </w:pPr>
      <w:r>
        <w:t xml:space="preserve">Materials and methods</w:t>
      </w:r>
    </w:p>
    <w:bookmarkStart w:id="25" w:name="study-context-and-architecture"/>
    <w:p>
      <w:pPr>
        <w:pStyle w:val="Heading2"/>
      </w:pPr>
      <w:r>
        <w:t xml:space="preserve">Study context and architecture</w:t>
      </w:r>
    </w:p>
    <w:p>
      <w:pPr>
        <w:pStyle w:val="FirstParagraph"/>
      </w:pPr>
      <w:r>
        <w:t xml:space="preserve">ECHOREPO was developed within ECHO (Engaging Citizens in Soil Science: The Road to Healthier Soils; Horizon Europe Grant No. 101112869, with UKRI support under Grant No. 10068004). Participants enter observations, coordinates and photographs in the EchoSoil mobile application, which uses an independent Firebase-based backend and authentication system. Dedicated ingestion routines retrieve source records, reconcile identifiers and transform the incoming representation into a canonical research model. The repository is therefore not a direct extension of the mobile application’s database.</w:t>
      </w:r>
    </w:p>
    <w:p>
      <w:pPr>
        <w:pStyle w:val="BodyText"/>
      </w:pPr>
      <w:r>
        <w:t xml:space="preserve">The architecture separates acquisition, ingestion and harmonisation, canonical storage, and controlled publication (Figure </w:t>
      </w:r>
      <w:hyperlink w:anchor="fig:architecture">
        <w:r>
          <w:rPr>
            <w:rStyle w:val="Hyperlink"/>
          </w:rPr>
          <w:t xml:space="preserve">1</w:t>
        </w:r>
      </w:hyperlink>
      <w:r>
        <w:t xml:space="preserve">). The implementation uses Flask for web/API access, PostgreSQL for structured research data, MinIO-compatible object storage for images and other files, Keycloak/OpenID Connect for authenticated use, and Docker Compose for deployment. These are concrete implementation choices, not prerequisites of the architectural pattern. The defining boundary is between source-specific adapters and the canonical research-data representation.</w:t>
      </w:r>
    </w:p>
    <w:p>
      <w:pPr>
        <w:pStyle w:val="CaptionedFigure"/>
      </w:pPr>
      <w:bookmarkStart w:id="24" w:name="fig:architecture"/>
      <w:r>
        <w:drawing>
          <wp:inline>
            <wp:extent cx="5334000" cy="1266129"/>
            <wp:effectExtent b="0" l="0" r="0" t="0"/>
            <wp:docPr descr="Functional architecture of ECHOREPO. Source-specific acquisition and analytical systems feed a stable canonical repository; research products are generated through an explicit publication boundary." title="" id="22" name="Picture"/>
            <a:graphic>
              <a:graphicData uri="http://schemas.openxmlformats.org/drawingml/2006/picture">
                <pic:pic>
                  <pic:nvPicPr>
                    <pic:cNvPr descr="figures/diagram-1.png" id="23" name="Picture"/>
                    <pic:cNvPicPr>
                      <a:picLocks noChangeArrowheads="1" noChangeAspect="1"/>
                    </pic:cNvPicPr>
                  </pic:nvPicPr>
                  <pic:blipFill>
                    <a:blip r:embed="rId21"/>
                    <a:stretch>
                      <a:fillRect/>
                    </a:stretch>
                  </pic:blipFill>
                  <pic:spPr bwMode="auto">
                    <a:xfrm>
                      <a:off x="0" y="0"/>
                      <a:ext cx="5334000" cy="1266129"/>
                    </a:xfrm>
                    <a:prstGeom prst="rect">
                      <a:avLst/>
                    </a:prstGeom>
                    <a:noFill/>
                    <a:ln w="9525">
                      <a:noFill/>
                      <a:headEnd/>
                      <a:tailEnd/>
                    </a:ln>
                  </pic:spPr>
                </pic:pic>
              </a:graphicData>
            </a:graphic>
          </wp:inline>
        </w:drawing>
      </w:r>
      <w:bookmarkEnd w:id="24"/>
    </w:p>
    <w:p>
      <w:pPr>
        <w:pStyle w:val="ImageCaption"/>
      </w:pPr>
      <w:r>
        <w:t xml:space="preserve">Functional architecture of ECHOREPO. Source-specific acquisition and analytical systems feed a stable canonical repository; research products are generated through an explicit publication boundary.</w:t>
      </w:r>
    </w:p>
    <w:bookmarkEnd w:id="25"/>
    <w:bookmarkStart w:id="31" w:name="sample-centred-data-integration"/>
    <w:p>
      <w:pPr>
        <w:pStyle w:val="Heading2"/>
      </w:pPr>
      <w:r>
        <w:t xml:space="preserve">Sample-centred data integration</w:t>
      </w:r>
    </w:p>
    <w:p>
      <w:pPr>
        <w:pStyle w:val="FirstParagraph"/>
      </w:pPr>
      <w:r>
        <w:t xml:space="preserve">A physical soil sample is the principal research entity. Its stable</w:t>
      </w:r>
      <w:r>
        <w:t xml:space="preserve"> </w:t>
      </w:r>
      <w:r>
        <w:rPr>
          <w:rStyle w:val="VerbatimChar"/>
        </w:rPr>
        <w:t xml:space="preserve">sample_id</w:t>
      </w:r>
      <w:r>
        <w:t xml:space="preserve"> </w:t>
      </w:r>
      <w:r>
        <w:t xml:space="preserve">links participant observations, images and subsequent analytical data without requiring those resources to share a common file format or production schedule. The canonical publication model contains six separate CSV tables (Table </w:t>
      </w:r>
      <w:hyperlink w:anchor="tab:canonical">
        <w:r>
          <w:rPr>
            <w:rStyle w:val="Hyperlink"/>
          </w:rPr>
          <w:t xml:space="preserve">1</w:t>
        </w:r>
      </w:hyperlink>
      <w:r>
        <w:t xml:space="preserve">). Field observations are kept at sample level, while photographs, elemental measurements and biodiversity records are represented as linked resources rather than being flattened into a single table.</w:t>
      </w:r>
    </w:p>
    <w:bookmarkStart w:id="26" w:name="tab:canonical"/>
    <w:p>
      <w:pPr>
        <w:pStyle w:val="TableCaption"/>
      </w:pPr>
      <w:r>
        <w:t xml:space="preserve">Canonical tabular resources in the ECHOREPO publication bundle.</w:t>
      </w:r>
    </w:p>
    <w:tbl>
      <w:tblPr>
        <w:tblStyle w:val="Table"/>
        <w:tblW w:type="auto" w:w="0"/>
        <w:tblLook w:firstRow="1" w:lastRow="0" w:firstColumn="0" w:lastColumn="0" w:noHBand="0" w:noVBand="0" w:val="0020"/>
        <w:tblCaption w:val="Canonical tabular resources in the ECHOREPO publication bundle."/>
      </w:tblPr>
      <w:tblGrid>
        <w:gridCol w:w="3960"/>
        <w:gridCol w:w="3960"/>
      </w:tblGrid>
      <w:tr>
        <w:trPr>
          <w:tblHeader w:val="true"/>
        </w:trPr>
        <w:tc>
          <w:tcPr/>
          <w:p>
            <w:pPr>
              <w:pStyle w:val="Compact"/>
              <w:jc w:val="left"/>
            </w:pPr>
            <w:r>
              <w:t xml:space="preserve">Resource</w:t>
            </w:r>
          </w:p>
        </w:tc>
        <w:tc>
          <w:tcPr/>
          <w:p>
            <w:pPr>
              <w:pStyle w:val="Compact"/>
              <w:jc w:val="left"/>
            </w:pPr>
            <w:r>
              <w:t xml:space="preserve">Contents and linkage</w:t>
            </w:r>
          </w:p>
        </w:tc>
      </w:tr>
      <w:tr>
        <w:tc>
          <w:tcPr/>
          <w:p>
            <w:pPr>
              <w:pStyle w:val="Compact"/>
              <w:jc w:val="left"/>
            </w:pPr>
            <w:r>
              <w:rPr>
                <w:rStyle w:val="VerbatimChar"/>
              </w:rPr>
              <w:t xml:space="preserve">samples.csv</w:t>
            </w:r>
          </w:p>
        </w:tc>
        <w:tc>
          <w:tcPr/>
          <w:p>
            <w:pPr>
              <w:pStyle w:val="Compact"/>
              <w:jc w:val="left"/>
            </w:pPr>
            <w:r>
              <w:t xml:space="preserve">Sample-level observations, approximate public coordinates, quality status and licence; one row per sample.</w:t>
            </w:r>
          </w:p>
        </w:tc>
      </w:tr>
      <w:tr>
        <w:tc>
          <w:tcPr/>
          <w:p>
            <w:pPr>
              <w:pStyle w:val="Compact"/>
              <w:jc w:val="left"/>
            </w:pPr>
            <w:r>
              <w:rPr>
                <w:rStyle w:val="VerbatimChar"/>
              </w:rPr>
              <w:t xml:space="preserve">sample_images.csv</w:t>
            </w:r>
          </w:p>
        </w:tc>
        <w:tc>
          <w:tcPr/>
          <w:p>
            <w:pPr>
              <w:pStyle w:val="Compact"/>
              <w:jc w:val="left"/>
            </w:pPr>
            <w:r>
              <w:t xml:space="preserve">Linked image identifiers, URLs and descriptive metadata.</w:t>
            </w:r>
          </w:p>
        </w:tc>
      </w:tr>
      <w:tr>
        <w:tc>
          <w:tcPr/>
          <w:p>
            <w:pPr>
              <w:pStyle w:val="Compact"/>
              <w:jc w:val="left"/>
            </w:pPr>
            <w:r>
              <w:rPr>
                <w:rStyle w:val="VerbatimChar"/>
              </w:rPr>
              <w:t xml:space="preserve">sample_parameters.csv</w:t>
            </w:r>
          </w:p>
        </w:tc>
        <w:tc>
          <w:tcPr/>
          <w:p>
            <w:pPr>
              <w:pStyle w:val="Compact"/>
              <w:jc w:val="left"/>
            </w:pPr>
            <w:r>
              <w:t xml:space="preserve">Laboratory parameter values, units, method codes and timestamps, linked to samples and definitions.</w:t>
            </w:r>
          </w:p>
        </w:tc>
      </w:tr>
      <w:tr>
        <w:tc>
          <w:tcPr/>
          <w:p>
            <w:pPr>
              <w:pStyle w:val="Compact"/>
              <w:jc w:val="left"/>
            </w:pPr>
            <w:r>
              <w:rPr>
                <w:rStyle w:val="VerbatimChar"/>
              </w:rPr>
              <w:t xml:space="preserve">sample_biodiversity.csv</w:t>
            </w:r>
          </w:p>
        </w:tc>
        <w:tc>
          <w:tcPr/>
          <w:p>
            <w:pPr>
              <w:pStyle w:val="Compact"/>
              <w:jc w:val="left"/>
            </w:pPr>
            <w:r>
              <w:t xml:space="preserve">Sample-linked microbial taxonomic results, including marker, read count and relative abundance.</w:t>
            </w:r>
          </w:p>
        </w:tc>
      </w:tr>
      <w:tr>
        <w:tc>
          <w:tcPr/>
          <w:p>
            <w:pPr>
              <w:pStyle w:val="Compact"/>
              <w:jc w:val="left"/>
            </w:pPr>
            <w:r>
              <w:rPr>
                <w:rStyle w:val="VerbatimChar"/>
              </w:rPr>
              <w:t xml:space="preserve">parameter_definitions.csv</w:t>
            </w:r>
          </w:p>
        </w:tc>
        <w:tc>
          <w:tcPr/>
          <w:p>
            <w:pPr>
              <w:pStyle w:val="Compact"/>
              <w:jc w:val="left"/>
            </w:pPr>
            <w:r>
              <w:t xml:space="preserve">Analytical parameter codes, descriptions, reference units and semantic identifiers.</w:t>
            </w:r>
          </w:p>
        </w:tc>
      </w:tr>
      <w:tr>
        <w:tc>
          <w:tcPr/>
          <w:p>
            <w:pPr>
              <w:pStyle w:val="Compact"/>
              <w:jc w:val="left"/>
            </w:pPr>
            <w:r>
              <w:rPr>
                <w:rStyle w:val="VerbatimChar"/>
              </w:rPr>
              <w:t xml:space="preserve">analysis_methods.csv</w:t>
            </w:r>
          </w:p>
        </w:tc>
        <w:tc>
          <w:tcPr/>
          <w:p>
            <w:pPr>
              <w:pStyle w:val="Compact"/>
              <w:jc w:val="left"/>
            </w:pPr>
            <w:r>
              <w:t xml:space="preserve">Analytical method codes and associated descriptions or method identifiers.</w:t>
            </w:r>
          </w:p>
        </w:tc>
      </w:tr>
    </w:tbl>
    <w:bookmarkEnd w:id="26"/>
    <w:p>
      <w:pPr>
        <w:pStyle w:val="BodyText"/>
      </w:pPr>
      <w:r>
        <w:t xml:space="preserve">In the published table relations,</w:t>
      </w:r>
      <w:r>
        <w:t xml:space="preserve"> </w:t>
      </w:r>
      <w:r>
        <w:rPr>
          <w:rStyle w:val="VerbatimChar"/>
        </w:rPr>
        <w:t xml:space="preserve">sample_id</w:t>
      </w:r>
      <w:r>
        <w:t xml:space="preserve"> </w:t>
      </w:r>
      <w:r>
        <w:t xml:space="preserve">connects the sample-associated resources, while</w:t>
      </w:r>
      <w:r>
        <w:t xml:space="preserve"> </w:t>
      </w:r>
      <w:r>
        <w:rPr>
          <w:rStyle w:val="VerbatimChar"/>
        </w:rPr>
        <w:t xml:space="preserve">parameter_code</w:t>
      </w:r>
      <w:r>
        <w:t xml:space="preserve"> </w:t>
      </w:r>
      <w:r>
        <w:t xml:space="preserve">and</w:t>
      </w:r>
      <w:r>
        <w:t xml:space="preserve"> </w:t>
      </w:r>
      <w:r>
        <w:rPr>
          <w:rStyle w:val="VerbatimChar"/>
        </w:rPr>
        <w:t xml:space="preserve">method_code</w:t>
      </w:r>
      <w:r>
        <w:t xml:space="preserve"> </w:t>
      </w:r>
      <w:r>
        <w:t xml:space="preserve">connect analytical results to their definition tables. Images additionally have</w:t>
      </w:r>
      <w:r>
        <w:t xml:space="preserve"> </w:t>
      </w:r>
      <w:r>
        <w:rPr>
          <w:rStyle w:val="VerbatimChar"/>
        </w:rPr>
        <w:t xml:space="preserve">image_id</w:t>
      </w:r>
      <w:r>
        <w:t xml:space="preserve">; biodiversity records contain marker and source-file fields. These identifiers provide more than a shared sample key, but the six-table export does not assert a separate, universal analytical-run identifier. The public biodiversity table reports read counts and relative abundances; specialist OTU matrices may be distributed as distinct analytical products.</w:t>
      </w:r>
    </w:p>
    <w:p>
      <w:pPr>
        <w:pStyle w:val="CaptionedFigure"/>
      </w:pPr>
      <w:bookmarkStart w:id="30" w:name="fig:data-model"/>
      <w:r>
        <w:drawing>
          <wp:inline>
            <wp:extent cx="5157409" cy="2240038"/>
            <wp:effectExtent b="0" l="0" r="0" t="0"/>
            <wp:docPr descr="Simplified relationships among the six canonical CSV resources. Arrows indicate referential linkage, not a required order of data processing." title="" id="28" name="Picture"/>
            <a:graphic>
              <a:graphicData uri="http://schemas.openxmlformats.org/drawingml/2006/picture">
                <pic:pic>
                  <pic:nvPicPr>
                    <pic:cNvPr descr="figures/diagram-2.png" id="29" name="Picture"/>
                    <pic:cNvPicPr>
                      <a:picLocks noChangeArrowheads="1" noChangeAspect="1"/>
                    </pic:cNvPicPr>
                  </pic:nvPicPr>
                  <pic:blipFill>
                    <a:blip r:embed="rId27"/>
                    <a:stretch>
                      <a:fillRect/>
                    </a:stretch>
                  </pic:blipFill>
                  <pic:spPr bwMode="auto">
                    <a:xfrm>
                      <a:off x="0" y="0"/>
                      <a:ext cx="5157409" cy="2240038"/>
                    </a:xfrm>
                    <a:prstGeom prst="rect">
                      <a:avLst/>
                    </a:prstGeom>
                    <a:noFill/>
                    <a:ln w="9525">
                      <a:noFill/>
                      <a:headEnd/>
                      <a:tailEnd/>
                    </a:ln>
                  </pic:spPr>
                </pic:pic>
              </a:graphicData>
            </a:graphic>
          </wp:inline>
        </w:drawing>
      </w:r>
      <w:bookmarkEnd w:id="30"/>
    </w:p>
    <w:p>
      <w:pPr>
        <w:pStyle w:val="ImageCaption"/>
      </w:pPr>
      <w:r>
        <w:t xml:space="preserve">Simplified relationships among the six canonical CSV resources. Arrows indicate referential linkage, not a required order of data processing.</w:t>
      </w:r>
    </w:p>
    <w:p>
      <w:pPr>
        <w:pStyle w:val="BodyText"/>
      </w:pPr>
      <w:r>
        <w:t xml:space="preserve">Laboratory enrichment may include X-ray fluorescence (XRF) measurements of elemental composition and microbial biodiversity information derived from 16S rRNA gene and internal transcribed spacer (ITS) amplicon sequencing. These outputs may arrive later and from different organisations. Retaining source identifiers, methods, source-file references and relevant timestamps makes progressively enriched records traceable without imposing one uniform representation on heterogeneous analyses.</w:t>
      </w:r>
    </w:p>
    <w:bookmarkEnd w:id="31"/>
    <w:bookmarkStart w:id="32" w:name="evaluation-metrics-and-data-scope"/>
    <w:p>
      <w:pPr>
        <w:pStyle w:val="Heading2"/>
      </w:pPr>
      <w:r>
        <w:t xml:space="preserve">Evaluation metrics and data scope</w:t>
      </w:r>
    </w:p>
    <w:p>
      <w:pPr>
        <w:pStyle w:val="FirstParagraph"/>
      </w:pPr>
      <w:r>
        <w:t xml:space="preserve">Data-domain coverage was calculated from one dated canonical ZIP export. The denominator is the number of distinct non-empty</w:t>
      </w:r>
      <w:r>
        <w:t xml:space="preserve"> </w:t>
      </w:r>
      <w:r>
        <w:rPr>
          <w:rStyle w:val="VerbatimChar"/>
        </w:rPr>
        <w:t xml:space="preserve">sample_id</w:t>
      </w:r>
      <w:r>
        <w:t xml:space="preserve"> </w:t>
      </w:r>
      <w:r>
        <w:t xml:space="preserve">values in</w:t>
      </w:r>
      <w:r>
        <w:t xml:space="preserve"> </w:t>
      </w:r>
      <w:r>
        <w:rPr>
          <w:rStyle w:val="VerbatimChar"/>
        </w:rPr>
        <w:t xml:space="preserve">samples.csv</w:t>
      </w:r>
      <w:r>
        <w:t xml:space="preserve">. For each of the three supplementary domains (photographs, laboratory parameters and biodiversity), a sample is counted once if at least one row with the same identifier appears in the corresponding canonical CSV. The number of domains associated with each sample is then counted from zero to three; repeated measurements, images or taxonomic rows do not inflate sample coverage. The figures consequently describe the</w:t>
      </w:r>
      <w:r>
        <w:t xml:space="preserve"> </w:t>
      </w:r>
      <w:r>
        <w:rPr>
          <w:iCs/>
          <w:i/>
        </w:rPr>
        <w:t xml:space="preserve">published canonical representation</w:t>
      </w:r>
      <w:r>
        <w:t xml:space="preserve">, not the number of images, laboratory determinations, sequencing reads or planned analyses. The laboratory canonicalisation excludes oxide-form parameter rows and values below its default export threshold of 0.01; biodiversity coverage concerns exported taxonomic summaries rather than raw marker-by-feature matrices.</w:t>
      </w:r>
    </w:p>
    <w:p>
      <w:pPr>
        <w:pStyle w:val="BodyText"/>
      </w:pPr>
      <w:r>
        <w:t xml:space="preserve">The QA tally separately classifies application-default coordinates and discrepancies between a QR code’s planned allocation country and the recorded country of collection. These are screening classes, not a ground-truth classification of coordinate errors. Country comparison is performed using source-side information, not privacy-displaced public map coordinates. The percentages reported for QA below use the canonical sample count as denominator, subject to confirmation that the QA tally covers precisely the same snapshot.</w:t>
      </w:r>
    </w:p>
    <w:bookmarkEnd w:id="32"/>
    <w:bookmarkStart w:id="33" w:name="Xacb5847810c840113ce2b65086cb936d5b1be93"/>
    <w:p>
      <w:pPr>
        <w:pStyle w:val="Heading2"/>
      </w:pPr>
      <w:r>
        <w:t xml:space="preserve">Quality assurance and provenance-assisted assessment</w:t>
      </w:r>
    </w:p>
    <w:p>
      <w:pPr>
        <w:pStyle w:val="FirstParagraph"/>
      </w:pPr>
      <w:r>
        <w:t xml:space="preserve">The quality-assurance (QA) workflow flags inconsistent source records while retaining their sample identifiers and provenance. The present assessment distinguishes two classes. First,</w:t>
      </w:r>
      <w:r>
        <w:t xml:space="preserve"> </w:t>
      </w:r>
      <w:r>
        <w:rPr>
          <w:iCs/>
          <w:i/>
        </w:rPr>
        <w:t xml:space="preserve">application-default coordinates</w:t>
      </w:r>
      <w:r>
        <w:t xml:space="preserve"> </w:t>
      </w:r>
      <w:r>
        <w:t xml:space="preserve">are placeholder positions recorded when the mobile workflow does not obtain a usable location; they cannot be treated as measured sampling positions. Second, a</w:t>
      </w:r>
      <w:r>
        <w:t xml:space="preserve"> </w:t>
      </w:r>
      <w:r>
        <w:rPr>
          <w:iCs/>
          <w:i/>
        </w:rPr>
        <w:t xml:space="preserve">planned-country mismatch</w:t>
      </w:r>
      <w:r>
        <w:t xml:space="preserve"> </w:t>
      </w:r>
      <w:r>
        <w:t xml:space="preserve">occurs when the country assigned to a QR code for sample distribution differs from the country associated with its actual recorded collection location. This comparison is independent of the jittered public map coordinates. A planned-country mismatch can arise from a legitimate cross-country redistribution of sampling kits, outdated allocation metadata or an inaccurate location; it does not alone establish an erroneous GPS record.</w:t>
      </w:r>
    </w:p>
    <w:p>
      <w:pPr>
        <w:pStyle w:val="BodyText"/>
      </w:pPr>
      <w:r>
        <w:t xml:space="preserve">Flagged records can be investigated using the QR/sample identifier, kit-allocation history, source observations and other appropriately protected provenance. A correction should be made only when supported by evidence; otherwise the flag remains unresolved or qualified rather than being silently overwritten. Thus, detection, interpretation and verified recovery are distinct stages. The classification cannot by itself identify causes such as device malfunction, participant error or workflow interruption, and recovery outcomes were not measured in this evaluation</w:t>
      </w:r>
      <w:r>
        <w:t xml:space="preserve"> </w:t>
      </w:r>
      <w:r>
        <w:t xml:space="preserve">(Kosmala et al. 2016)</w:t>
      </w:r>
      <w:r>
        <w:t xml:space="preserve">.</w:t>
      </w:r>
    </w:p>
    <w:bookmarkEnd w:id="33"/>
    <w:bookmarkStart w:id="38" w:name="Xdd3d901ccdf3df0fe5ae3f685a9933d1a89565d"/>
    <w:p>
      <w:pPr>
        <w:pStyle w:val="Heading2"/>
      </w:pPr>
      <w:r>
        <w:t xml:space="preserve">Geographical privacy and image protection</w:t>
      </w:r>
    </w:p>
    <w:p>
      <w:pPr>
        <w:pStyle w:val="FirstParagraph"/>
      </w:pPr>
      <w:r>
        <w:t xml:space="preserve">Exact source coordinates are retained in the controlled-access environment and assessed for QA before deriving public positions. Public sample coordinates are deterministically displaced within a configurable maximum distance, currently 1,000 m by default. This is a pragmatic compromise intended to reduce precision around individual properties while maintaining regional-scale utility; it is</w:t>
      </w:r>
      <w:r>
        <w:t xml:space="preserve"> </w:t>
      </w:r>
      <w:r>
        <w:rPr>
          <w:iCs/>
          <w:i/>
        </w:rPr>
        <w:t xml:space="preserve">not</w:t>
      </w:r>
      <w:r>
        <w:t xml:space="preserve"> </w:t>
      </w:r>
      <w:r>
        <w:t xml:space="preserve">a formally validated anonymity threshold. The field</w:t>
      </w:r>
      <w:r>
        <w:t xml:space="preserve"> </w:t>
      </w:r>
      <w:r>
        <w:rPr>
          <w:rStyle w:val="VerbatimChar"/>
        </w:rPr>
        <w:t xml:space="preserve">coordinate_obfuscation_radius_m</w:t>
      </w:r>
      <w:r>
        <w:t xml:space="preserve"> </w:t>
      </w:r>
      <w:r>
        <w:t xml:space="preserve">documents the configured radius in the published sample table.</w:t>
      </w:r>
    </w:p>
    <w:p>
      <w:pPr>
        <w:pStyle w:val="BodyText"/>
      </w:pPr>
      <w:r>
        <w:t xml:space="preserve">Displacement is not constrained to coastlines or administrative boundaries. Consequently, a valid sample close to a border may appear in a neighbouring country, or a coastal sample may appear at sea. These visual artefacts do not indicate that the source coordinates failed QA: country-mismatch checks operate on underlying coordinates. ECHOREPO also supports sample exploration by EEA 2016 biogeographical regions</w:t>
      </w:r>
      <w:r>
        <w:t xml:space="preserve"> </w:t>
      </w:r>
      <w:r>
        <w:t xml:space="preserve">(European Environment Agency 2016)</w:t>
      </w:r>
      <w:r>
        <w:t xml:space="preserve">; membership is precomputed from underlying coordinates rather than inferred from the public marker position. Analysts should not use displaced positions for parcel-level, boundary-sensitive or fine-resolution spatial inference.</w:t>
      </w:r>
    </w:p>
    <w:p>
      <w:pPr>
        <w:pStyle w:val="CaptionedFigure"/>
      </w:pPr>
      <w:bookmarkStart w:id="37" w:name="fig:geo-qa"/>
      <w:r>
        <w:drawing>
          <wp:inline>
            <wp:extent cx="5334000" cy="1601789"/>
            <wp:effectExtent b="0" l="0" r="0" t="0"/>
            <wp:docPr descr="Quality screening and public location disclosure are separate decisions. A mismatch in kit allocation can coexist with a valid coordinate; records with unsupported locations remain flagged and need not receive a public map marker." title="" id="35" name="Picture"/>
            <a:graphic>
              <a:graphicData uri="http://schemas.openxmlformats.org/drawingml/2006/picture">
                <pic:pic>
                  <pic:nvPicPr>
                    <pic:cNvPr descr="figures/diagram-3.png" id="36" name="Picture"/>
                    <pic:cNvPicPr>
                      <a:picLocks noChangeArrowheads="1" noChangeAspect="1"/>
                    </pic:cNvPicPr>
                  </pic:nvPicPr>
                  <pic:blipFill>
                    <a:blip r:embed="rId34"/>
                    <a:stretch>
                      <a:fillRect/>
                    </a:stretch>
                  </pic:blipFill>
                  <pic:spPr bwMode="auto">
                    <a:xfrm>
                      <a:off x="0" y="0"/>
                      <a:ext cx="5334000" cy="1601789"/>
                    </a:xfrm>
                    <a:prstGeom prst="rect">
                      <a:avLst/>
                    </a:prstGeom>
                    <a:noFill/>
                    <a:ln w="9525">
                      <a:noFill/>
                      <a:headEnd/>
                      <a:tailEnd/>
                    </a:ln>
                  </pic:spPr>
                </pic:pic>
              </a:graphicData>
            </a:graphic>
          </wp:inline>
        </w:drawing>
      </w:r>
      <w:bookmarkEnd w:id="37"/>
    </w:p>
    <w:p>
      <w:pPr>
        <w:pStyle w:val="ImageCaption"/>
      </w:pPr>
      <w:r>
        <w:t xml:space="preserve">Quality screening and public location disclosure are separate decisions. A mismatch in kit allocation can coexist with a valid coordinate; records with unsupported locations remain flagged and need not receive a public map marker.</w:t>
      </w:r>
    </w:p>
    <w:p>
      <w:pPr>
        <w:pStyle w:val="BodyText"/>
      </w:pPr>
      <w:r>
        <w:t xml:space="preserve">Photographs require complementary protection. The MinIO image-redaction workflow locally detects text regions (potentially including street signs, building numbers and registration plates), frontal faces and QR codes, then strongly blurs or masks detected areas. Image re-encoding removes embedded EXIF fields, including GPS metadata. Object-version markers and detection counts support resumable processing and auditing. Detection is imperfect, especially for oblique or small text, non-frontal faces and low-quality images. Moreover, the standalone redactor operates</w:t>
      </w:r>
      <w:r>
        <w:t xml:space="preserve"> </w:t>
      </w:r>
      <w:r>
        <w:rPr>
          <w:iCs/>
          <w:i/>
        </w:rPr>
        <w:t xml:space="preserve">after</w:t>
      </w:r>
      <w:r>
        <w:t xml:space="preserve"> </w:t>
      </w:r>
      <w:r>
        <w:t xml:space="preserve">image mirroring; without private staging, it does not guarantee that an unredacted object was never briefly accessible. These are limitations of the current implementation, not guarantees of anonymity.</w:t>
      </w:r>
    </w:p>
    <w:bookmarkEnd w:id="38"/>
    <w:bookmarkStart w:id="39" w:name="Xe86a3317fd6399221d293db9c156a4ff003dc28"/>
    <w:p>
      <w:pPr>
        <w:pStyle w:val="Heading2"/>
      </w:pPr>
      <w:r>
        <w:t xml:space="preserve">Canonical publication and Zenodo synchronisation</w:t>
      </w:r>
    </w:p>
    <w:p>
      <w:pPr>
        <w:pStyle w:val="FirstParagraph"/>
      </w:pPr>
      <w:r>
        <w:t xml:space="preserve">Operational tables evolve as new observations and analytical results are ingested. Stable publication products are instead generated through canonical export interfaces. The Zenodo synchronisation routine retrieves an authenticated export bundle from ECHOREPO, extracts and validates the six canonical CSV resources, checks declared schemas and selected reference integrity, and generates a</w:t>
      </w:r>
      <w:r>
        <w:t xml:space="preserve"> </w:t>
      </w:r>
      <w:r>
        <w:rPr>
          <w:rStyle w:val="VerbatimChar"/>
        </w:rPr>
        <w:t xml:space="preserve">file.json</w:t>
      </w:r>
      <w:r>
        <w:t xml:space="preserve"> </w:t>
      </w:r>
      <w:r>
        <w:t xml:space="preserve">metadata document following CSV on the Web (CSVW)</w:t>
      </w:r>
      <w:r>
        <w:t xml:space="preserve"> </w:t>
      </w:r>
      <w:r>
        <w:t xml:space="preserve">(W3C 2015)</w:t>
      </w:r>
      <w:r>
        <w:t xml:space="preserve">. The metadata describes columns, types, identifiers and primary/foreign-key relationships; it also records dataset-level information and selected semantic mappings. The original ZIP may optionally be retained alongside the individual resources.</w:t>
      </w:r>
    </w:p>
    <w:p>
      <w:pPr>
        <w:pStyle w:val="BodyText"/>
      </w:pPr>
      <w:r>
        <w:t xml:space="preserve">For updates, the publication routine creates a new version draft of an existing Zenodo deposition, replaces the files as configured, uploads the validated resources and CSVW document, verifies the remote filenames, and publishes the release. It records the deposition, version and concept identifiers together with publication status and source-file information in a local log. The result is an independently citable snapshot, distinct from the mutable operational database</w:t>
      </w:r>
      <w:r>
        <w:t xml:space="preserve"> </w:t>
      </w:r>
      <w:r>
        <w:t xml:space="preserve">(Zenodo 2026; Osychenko 2026)</w:t>
      </w:r>
      <w:r>
        <w:t xml:space="preserve">.</w:t>
      </w:r>
    </w:p>
    <w:p>
      <w:pPr>
        <w:pStyle w:val="BodyText"/>
      </w:pPr>
      <w:r>
        <w:t xml:space="preserve">The published metadata and persistent identifiers are designed to support indexing and discovery through infrastructures such as OpenAIRE and SoilWise</w:t>
      </w:r>
      <w:r>
        <w:t xml:space="preserve"> </w:t>
      </w:r>
      <w:r>
        <w:t xml:space="preserve">(SoilWise 2026)</w:t>
      </w:r>
      <w:r>
        <w:t xml:space="preserve">. Nevertheless, a Zenodo deposit and CSVW document are evidence of implemented FAIR-oriented mechanisms, not proof of complete FAIR compliance or independently verified discovery in every external catalogue.</w:t>
      </w:r>
    </w:p>
    <w:bookmarkEnd w:id="39"/>
    <w:bookmarkEnd w:id="40"/>
    <w:bookmarkStart w:id="46" w:name="results"/>
    <w:p>
      <w:pPr>
        <w:pStyle w:val="Heading1"/>
      </w:pPr>
      <w:r>
        <w:t xml:space="preserve">Results</w:t>
      </w:r>
    </w:p>
    <w:bookmarkStart w:id="42" w:name="X5168b88786d1f008070ba541f93d77f8439110f"/>
    <w:p>
      <w:pPr>
        <w:pStyle w:val="Heading2"/>
      </w:pPr>
      <w:r>
        <w:t xml:space="preserve">Coverage and integration of canonical research data</w:t>
      </w:r>
    </w:p>
    <w:p>
      <w:pPr>
        <w:pStyle w:val="FirstParagraph"/>
      </w:pPr>
      <w:r>
        <w:t xml:space="preserve">The evaluated canonical snapshot contains 10,554 unique soil samples. Among these, 8,744 samples (82.85%) have associated photographic records, 6,443 (61.05%) laboratory measurements and 1,200 (11.37%) microbial biodiversity results (Table </w:t>
      </w:r>
      <w:hyperlink w:anchor="tab:coverage">
        <w:r>
          <w:rPr>
            <w:rStyle w:val="Hyperlink"/>
          </w:rPr>
          <w:t xml:space="preserve">2</w:t>
        </w:r>
      </w:hyperlink>
      <w:r>
        <w:t xml:space="preserve">). These are counts of distinct sample identifiers represented in the respective canonical resources, rather than counts of photographs, analytical observations or taxonomic rows.</w:t>
      </w:r>
    </w:p>
    <w:bookmarkStart w:id="41" w:name="tab:coverage"/>
    <w:p>
      <w:pPr>
        <w:pStyle w:val="TableCaption"/>
      </w:pPr>
      <w:r>
        <w:t xml:space="preserve">Coverage of additional data domains in the evaluated ECHOREPO canonical snapshot (</w:t>
      </w:r>
      <m:oMath>
        <m:r>
          <m:t>n</m:t>
        </m:r>
        <m:r>
          <m:rPr>
            <m:sty m:val="p"/>
          </m:rPr>
          <m:t>=</m:t>
        </m:r>
        <m:r>
          <m:t>10</m:t>
        </m:r>
        <m:r>
          <m:rPr>
            <m:sty m:val="p"/>
          </m:rPr>
          <m:t>,</m:t>
        </m:r>
        <m:r>
          <m:t>554</m:t>
        </m:r>
      </m:oMath>
      <w:r>
        <w:t xml:space="preserve"> </w:t>
      </w:r>
      <w:r>
        <w:t xml:space="preserve">unique samples). Percentages are relative to the sample count, and the three additional domains are photographs, laboratory measurements and biodiversity results. Categories describing domain coverage overlap unless stated otherwise.</w:t>
      </w:r>
    </w:p>
    <w:tbl>
      <w:tblPr>
        <w:tblStyle w:val="Table"/>
        <w:tblW w:type="auto" w:w="0"/>
        <w:tblLook w:firstRow="1" w:lastRow="0" w:firstColumn="0" w:lastColumn="0" w:noHBand="0" w:noVBand="0" w:val="0020"/>
        <w:tblCaption w:val="Coverage of additional data domains in the evaluated ECHOREPO canonical snapshot (n=10{,}554 unique samples). Percentages are relative to the sample count, and the three additional domains are photographs, laboratory measurements and biodiversity results. Categories describing domain coverage overlap unless stated otherwise."/>
      </w:tblPr>
      <w:tblGrid>
        <w:gridCol w:w="2640"/>
        <w:gridCol w:w="2640"/>
        <w:gridCol w:w="2640"/>
      </w:tblGrid>
      <w:tr>
        <w:trPr>
          <w:tblHeader w:val="true"/>
        </w:trPr>
        <w:tc>
          <w:tcPr/>
          <w:p>
            <w:pPr>
              <w:pStyle w:val="Compact"/>
              <w:jc w:val="left"/>
            </w:pPr>
            <w:r>
              <w:t xml:space="preserve">Canonical data coverage</w:t>
            </w:r>
          </w:p>
        </w:tc>
        <w:tc>
          <w:tcPr/>
          <w:p>
            <w:pPr>
              <w:pStyle w:val="Compact"/>
              <w:jc w:val="right"/>
            </w:pPr>
            <w:r>
              <w:t xml:space="preserve">Samples</w:t>
            </w:r>
          </w:p>
        </w:tc>
        <w:tc>
          <w:tcPr/>
          <w:p>
            <w:pPr>
              <w:pStyle w:val="Compact"/>
              <w:jc w:val="right"/>
            </w:pPr>
            <w:r>
              <w:t xml:space="preserve">Share (%)</w:t>
            </w:r>
          </w:p>
        </w:tc>
      </w:tr>
      <w:tr>
        <w:tc>
          <w:tcPr/>
          <w:p>
            <w:pPr>
              <w:pStyle w:val="Compact"/>
              <w:jc w:val="left"/>
            </w:pPr>
            <w:r>
              <w:t xml:space="preserve">Unique soil samples</w:t>
            </w:r>
          </w:p>
        </w:tc>
        <w:tc>
          <w:tcPr/>
          <w:p>
            <w:pPr>
              <w:pStyle w:val="Compact"/>
              <w:jc w:val="right"/>
            </w:pPr>
            <w:r>
              <w:t xml:space="preserve">10,554</w:t>
            </w:r>
          </w:p>
        </w:tc>
        <w:tc>
          <w:tcPr/>
          <w:p>
            <w:pPr>
              <w:pStyle w:val="Compact"/>
              <w:jc w:val="right"/>
            </w:pPr>
            <w:r>
              <w:t xml:space="preserve">100.00</w:t>
            </w:r>
          </w:p>
        </w:tc>
      </w:tr>
      <w:tr>
        <w:tc>
          <w:tcPr/>
          <w:p>
            <w:pPr>
              <w:pStyle w:val="Compact"/>
              <w:jc w:val="left"/>
            </w:pPr>
            <w:r>
              <w:t xml:space="preserve">Samples with photographs</w:t>
            </w:r>
          </w:p>
        </w:tc>
        <w:tc>
          <w:tcPr/>
          <w:p>
            <w:pPr>
              <w:pStyle w:val="Compact"/>
              <w:jc w:val="right"/>
            </w:pPr>
            <w:r>
              <w:t xml:space="preserve">8,744</w:t>
            </w:r>
          </w:p>
        </w:tc>
        <w:tc>
          <w:tcPr/>
          <w:p>
            <w:pPr>
              <w:pStyle w:val="Compact"/>
              <w:jc w:val="right"/>
            </w:pPr>
            <w:r>
              <w:t xml:space="preserve">82.85</w:t>
            </w:r>
          </w:p>
        </w:tc>
      </w:tr>
      <w:tr>
        <w:tc>
          <w:tcPr/>
          <w:p>
            <w:pPr>
              <w:pStyle w:val="Compact"/>
              <w:jc w:val="left"/>
            </w:pPr>
            <w:r>
              <w:t xml:space="preserve">Samples with laboratory measurements</w:t>
            </w:r>
          </w:p>
        </w:tc>
        <w:tc>
          <w:tcPr/>
          <w:p>
            <w:pPr>
              <w:pStyle w:val="Compact"/>
              <w:jc w:val="right"/>
            </w:pPr>
            <w:r>
              <w:t xml:space="preserve">6,443</w:t>
            </w:r>
          </w:p>
        </w:tc>
        <w:tc>
          <w:tcPr/>
          <w:p>
            <w:pPr>
              <w:pStyle w:val="Compact"/>
              <w:jc w:val="right"/>
            </w:pPr>
            <w:r>
              <w:t xml:space="preserve">61.05</w:t>
            </w:r>
          </w:p>
        </w:tc>
      </w:tr>
      <w:tr>
        <w:tc>
          <w:tcPr/>
          <w:p>
            <w:pPr>
              <w:pStyle w:val="Compact"/>
              <w:jc w:val="left"/>
            </w:pPr>
            <w:r>
              <w:t xml:space="preserve">Samples with biodiversity results</w:t>
            </w:r>
          </w:p>
        </w:tc>
        <w:tc>
          <w:tcPr/>
          <w:p>
            <w:pPr>
              <w:pStyle w:val="Compact"/>
              <w:jc w:val="right"/>
            </w:pPr>
            <w:r>
              <w:t xml:space="preserve">1,200</w:t>
            </w:r>
          </w:p>
        </w:tc>
        <w:tc>
          <w:tcPr/>
          <w:p>
            <w:pPr>
              <w:pStyle w:val="Compact"/>
              <w:jc w:val="right"/>
            </w:pPr>
            <w:r>
              <w:t xml:space="preserve">11.37</w:t>
            </w:r>
          </w:p>
        </w:tc>
      </w:tr>
      <w:tr>
        <w:tc>
          <w:tcPr/>
          <w:p>
            <w:pPr>
              <w:pStyle w:val="Compact"/>
              <w:jc w:val="left"/>
            </w:pPr>
            <w:r>
              <w:t xml:space="preserve">At least one additional data domain</w:t>
            </w:r>
          </w:p>
        </w:tc>
        <w:tc>
          <w:tcPr/>
          <w:p>
            <w:pPr>
              <w:pStyle w:val="Compact"/>
              <w:jc w:val="right"/>
            </w:pPr>
            <w:r>
              <w:t xml:space="preserve">9,876</w:t>
            </w:r>
          </w:p>
        </w:tc>
        <w:tc>
          <w:tcPr/>
          <w:p>
            <w:pPr>
              <w:pStyle w:val="Compact"/>
              <w:jc w:val="right"/>
            </w:pPr>
            <w:r>
              <w:t xml:space="preserve">93.58</w:t>
            </w:r>
          </w:p>
        </w:tc>
      </w:tr>
      <w:tr>
        <w:tc>
          <w:tcPr/>
          <w:p>
            <w:pPr>
              <w:pStyle w:val="Compact"/>
              <w:jc w:val="left"/>
            </w:pPr>
            <w:r>
              <w:t xml:space="preserve">At least two additional data domains</w:t>
            </w:r>
          </w:p>
        </w:tc>
        <w:tc>
          <w:tcPr/>
          <w:p>
            <w:pPr>
              <w:pStyle w:val="Compact"/>
              <w:jc w:val="right"/>
            </w:pPr>
            <w:r>
              <w:t xml:space="preserve">5,514</w:t>
            </w:r>
          </w:p>
        </w:tc>
        <w:tc>
          <w:tcPr/>
          <w:p>
            <w:pPr>
              <w:pStyle w:val="Compact"/>
              <w:jc w:val="right"/>
            </w:pPr>
            <w:r>
              <w:t xml:space="preserve">52.25</w:t>
            </w:r>
          </w:p>
        </w:tc>
      </w:tr>
      <w:tr>
        <w:tc>
          <w:tcPr/>
          <w:p>
            <w:pPr>
              <w:pStyle w:val="Compact"/>
              <w:jc w:val="left"/>
            </w:pPr>
            <w:r>
              <w:t xml:space="preserve">Exactly two additional data domains</w:t>
            </w:r>
          </w:p>
        </w:tc>
        <w:tc>
          <w:tcPr/>
          <w:p>
            <w:pPr>
              <w:pStyle w:val="Compact"/>
              <w:jc w:val="right"/>
            </w:pPr>
            <w:r>
              <w:t xml:space="preserve">4,517</w:t>
            </w:r>
          </w:p>
        </w:tc>
        <w:tc>
          <w:tcPr/>
          <w:p>
            <w:pPr>
              <w:pStyle w:val="Compact"/>
              <w:jc w:val="right"/>
            </w:pPr>
            <w:r>
              <w:t xml:space="preserve">42.80</w:t>
            </w:r>
          </w:p>
        </w:tc>
      </w:tr>
      <w:tr>
        <w:tc>
          <w:tcPr/>
          <w:p>
            <w:pPr>
              <w:pStyle w:val="Compact"/>
              <w:jc w:val="left"/>
            </w:pPr>
            <w:r>
              <w:t xml:space="preserve">All three additional data domains</w:t>
            </w:r>
          </w:p>
        </w:tc>
        <w:tc>
          <w:tcPr/>
          <w:p>
            <w:pPr>
              <w:pStyle w:val="Compact"/>
              <w:jc w:val="right"/>
            </w:pPr>
            <w:r>
              <w:t xml:space="preserve">997</w:t>
            </w:r>
          </w:p>
        </w:tc>
        <w:tc>
          <w:tcPr/>
          <w:p>
            <w:pPr>
              <w:pStyle w:val="Compact"/>
              <w:jc w:val="right"/>
            </w:pPr>
            <w:r>
              <w:t xml:space="preserve">9.45</w:t>
            </w:r>
          </w:p>
        </w:tc>
      </w:tr>
    </w:tbl>
    <w:bookmarkEnd w:id="41"/>
    <w:p>
      <w:pPr>
        <w:pStyle w:val="BodyText"/>
      </w:pPr>
      <w:r>
        <w:t xml:space="preserve">In particular, 5,514 samples (52.25%) are represented in at least two additional domains, including 997 (9.45%) linked to all three; 678 (6.42%) have no associated records in these three domains. This demonstrates cross-domain linkage in an operational data product rather than merely the ability of the schema to represent those links. These proportions describe</w:t>
      </w:r>
      <w:r>
        <w:t xml:space="preserve"> </w:t>
      </w:r>
      <w:r>
        <w:rPr>
          <w:iCs/>
          <w:i/>
        </w:rPr>
        <w:t xml:space="preserve">canonical publication coverage</w:t>
      </w:r>
      <w:r>
        <w:t xml:space="preserve">, not the completion rate of planned analyses: the canonical laboratory resource omits some parameter rows according to its export rules (including oxide forms and values below the default threshold of 0.01), and the biodiversity export contains taxonomic abundance summaries rather than raw sequencing tables.</w:t>
      </w:r>
    </w:p>
    <w:bookmarkEnd w:id="42"/>
    <w:bookmarkStart w:id="44" w:name="X998e8dbec75c13db6dca19bb4bbee6e7c7a8112"/>
    <w:p>
      <w:pPr>
        <w:pStyle w:val="Heading2"/>
      </w:pPr>
      <w:r>
        <w:t xml:space="preserve">Geographical and sample-allocation quality flags</w:t>
      </w:r>
    </w:p>
    <w:p>
      <w:pPr>
        <w:pStyle w:val="FirstParagraph"/>
      </w:pPr>
      <w:r>
        <w:t xml:space="preserve">The geographical and allocation-consistency assessment identified 396 flagged samples. On the assumption that the QA assessment covers the same 10,554-sample snapshot, this corresponds to 3.75% of all samples (Table </w:t>
      </w:r>
      <w:hyperlink w:anchor="tab:qa">
        <w:r>
          <w:rPr>
            <w:rStyle w:val="Hyperlink"/>
          </w:rPr>
          <w:t xml:space="preserve">3</w:t>
        </w:r>
      </w:hyperlink>
      <w:r>
        <w:t xml:space="preserve">). The two reported categories are mutually exclusive: 95 records (0.90%) contain application-default coordinates, indicating that a usable sampling position was not obtained, while 301 records (2.85%) differ between the country planned for their QR code and the actual sampling country.</w:t>
      </w:r>
    </w:p>
    <w:bookmarkStart w:id="43" w:name="tab:qa"/>
    <w:p>
      <w:pPr>
        <w:pStyle w:val="TableCaption"/>
      </w:pPr>
      <w:r>
        <w:t xml:space="preserve">Geographical and allocation-consistency flags (</w:t>
      </w:r>
      <m:oMath>
        <m:r>
          <m:t>n</m:t>
        </m:r>
        <m:r>
          <m:rPr>
            <m:sty m:val="p"/>
          </m:rPr>
          <m:t>=</m:t>
        </m:r>
        <m:r>
          <m:t>10</m:t>
        </m:r>
        <m:r>
          <m:rPr>
            <m:sty m:val="p"/>
          </m:rPr>
          <m:t>,</m:t>
        </m:r>
        <m:r>
          <m:t>554</m:t>
        </m:r>
      </m:oMath>
      <w:r>
        <w:t xml:space="preserve">, assuming the flag report covers the full canonical snapshot). These are screening outcomes, not confirmed geographical errors.</w:t>
      </w:r>
    </w:p>
    <w:tbl>
      <w:tblPr>
        <w:tblStyle w:val="Table"/>
        <w:tblW w:type="auto" w:w="0"/>
        <w:tblLook w:firstRow="1" w:lastRow="0" w:firstColumn="0" w:lastColumn="0" w:noHBand="0" w:noVBand="0" w:val="0020"/>
        <w:tblCaption w:val="Geographical and allocation-consistency flags (n=10{,}554, assuming the flag report covers the full canonical snapshot). These are screening outcomes, not confirmed geographical errors."/>
      </w:tblPr>
      <w:tblGrid>
        <w:gridCol w:w="2640"/>
        <w:gridCol w:w="2640"/>
        <w:gridCol w:w="2640"/>
      </w:tblGrid>
      <w:tr>
        <w:trPr>
          <w:tblHeader w:val="true"/>
        </w:trPr>
        <w:tc>
          <w:tcPr/>
          <w:p>
            <w:pPr>
              <w:pStyle w:val="Compact"/>
              <w:jc w:val="left"/>
            </w:pPr>
            <w:r>
              <w:t xml:space="preserve">Screening outcome</w:t>
            </w:r>
          </w:p>
        </w:tc>
        <w:tc>
          <w:tcPr/>
          <w:p>
            <w:pPr>
              <w:pStyle w:val="Compact"/>
              <w:jc w:val="right"/>
            </w:pPr>
            <w:r>
              <w:t xml:space="preserve">Samples</w:t>
            </w:r>
          </w:p>
        </w:tc>
        <w:tc>
          <w:tcPr/>
          <w:p>
            <w:pPr>
              <w:pStyle w:val="Compact"/>
              <w:jc w:val="right"/>
            </w:pPr>
            <w:r>
              <w:t xml:space="preserve">Share (%)</w:t>
            </w:r>
          </w:p>
        </w:tc>
      </w:tr>
      <w:tr>
        <w:tc>
          <w:tcPr/>
          <w:p>
            <w:pPr>
              <w:pStyle w:val="Compact"/>
              <w:jc w:val="left"/>
            </w:pPr>
            <w:r>
              <w:t xml:space="preserve">Application-default coordinates</w:t>
            </w:r>
          </w:p>
        </w:tc>
        <w:tc>
          <w:tcPr/>
          <w:p>
            <w:pPr>
              <w:pStyle w:val="Compact"/>
              <w:jc w:val="right"/>
            </w:pPr>
            <w:r>
              <w:t xml:space="preserve">95</w:t>
            </w:r>
          </w:p>
        </w:tc>
        <w:tc>
          <w:tcPr/>
          <w:p>
            <w:pPr>
              <w:pStyle w:val="Compact"/>
              <w:jc w:val="right"/>
            </w:pPr>
            <w:r>
              <w:t xml:space="preserve">0.90</w:t>
            </w:r>
          </w:p>
        </w:tc>
      </w:tr>
      <w:tr>
        <w:tc>
          <w:tcPr/>
          <w:p>
            <w:pPr>
              <w:pStyle w:val="Compact"/>
              <w:jc w:val="left"/>
            </w:pPr>
            <w:r>
              <w:t xml:space="preserve">Planned-country mismatch</w:t>
            </w:r>
          </w:p>
        </w:tc>
        <w:tc>
          <w:tcPr/>
          <w:p>
            <w:pPr>
              <w:pStyle w:val="Compact"/>
              <w:jc w:val="right"/>
            </w:pPr>
            <w:r>
              <w:t xml:space="preserve">301</w:t>
            </w:r>
          </w:p>
        </w:tc>
        <w:tc>
          <w:tcPr/>
          <w:p>
            <w:pPr>
              <w:pStyle w:val="Compact"/>
              <w:jc w:val="right"/>
            </w:pPr>
            <w:r>
              <w:t xml:space="preserve">2.85</w:t>
            </w:r>
          </w:p>
        </w:tc>
      </w:tr>
      <w:tr>
        <w:tc>
          <w:tcPr/>
          <w:p>
            <w:pPr>
              <w:pStyle w:val="Compact"/>
              <w:jc w:val="left"/>
            </w:pPr>
            <w:r>
              <w:t xml:space="preserve">Neither of these flags</w:t>
            </w:r>
          </w:p>
        </w:tc>
        <w:tc>
          <w:tcPr/>
          <w:p>
            <w:pPr>
              <w:pStyle w:val="Compact"/>
              <w:jc w:val="right"/>
            </w:pPr>
            <w:r>
              <w:t xml:space="preserve">10,158</w:t>
            </w:r>
          </w:p>
        </w:tc>
        <w:tc>
          <w:tcPr/>
          <w:p>
            <w:pPr>
              <w:pStyle w:val="Compact"/>
              <w:jc w:val="right"/>
            </w:pPr>
            <w:r>
              <w:t xml:space="preserve">96.25</w:t>
            </w:r>
          </w:p>
        </w:tc>
      </w:tr>
      <w:tr>
        <w:tc>
          <w:tcPr/>
          <w:p>
            <w:pPr>
              <w:pStyle w:val="Compact"/>
              <w:jc w:val="left"/>
            </w:pPr>
            <w:r>
              <w:t xml:space="preserve">Total</w:t>
            </w:r>
          </w:p>
        </w:tc>
        <w:tc>
          <w:tcPr/>
          <w:p>
            <w:pPr>
              <w:pStyle w:val="Compact"/>
              <w:jc w:val="right"/>
            </w:pPr>
            <w:r>
              <w:t xml:space="preserve">10,554</w:t>
            </w:r>
          </w:p>
        </w:tc>
        <w:tc>
          <w:tcPr/>
          <w:p>
            <w:pPr>
              <w:pStyle w:val="Compact"/>
              <w:jc w:val="right"/>
            </w:pPr>
            <w:r>
              <w:t xml:space="preserve">100.00</w:t>
            </w:r>
          </w:p>
        </w:tc>
      </w:tr>
    </w:tbl>
    <w:bookmarkEnd w:id="43"/>
    <w:p>
      <w:pPr>
        <w:pStyle w:val="BodyText"/>
      </w:pPr>
      <w:r>
        <w:t xml:space="preserve">The 301 country discrepancies cannot be interpreted as GPS failures without further evidence: samples may have been legitimately collected outside their originally allocated country, and kit-allocation metadata may not reflect subsequent redistribution. Conversely, an application-default coordinate does not establish where sampling occurred. Accordingly, 3.75% is a</w:t>
      </w:r>
      <w:r>
        <w:t xml:space="preserve"> </w:t>
      </w:r>
      <w:r>
        <w:rPr>
          <w:iCs/>
          <w:i/>
        </w:rPr>
        <w:t xml:space="preserve">flag rate</w:t>
      </w:r>
      <w:r>
        <w:t xml:space="preserve"> </w:t>
      </w:r>
      <w:r>
        <w:t xml:space="preserve">within these screening categories, not a verified coordinate-error rate or a measurement of successfully recovered records. Investigation and documented resolution would require separate outcome data. This classification is not directly comparable to differently defined or earlier geographical-QA snapshots.</w:t>
      </w:r>
    </w:p>
    <w:bookmarkEnd w:id="44"/>
    <w:bookmarkStart w:id="45" w:name="Xa9889ce363be90603f63da1a42009822deef0e1"/>
    <w:p>
      <w:pPr>
        <w:pStyle w:val="Heading2"/>
      </w:pPr>
      <w:r>
        <w:t xml:space="preserve">Independent publication of research resources</w:t>
      </w:r>
    </w:p>
    <w:p>
      <w:pPr>
        <w:pStyle w:val="FirstParagraph"/>
      </w:pPr>
      <w:r>
        <w:t xml:space="preserve">The canonical sample-centred exports provide an independently interpretable representation of the operational dataset: common sample identifiers link the four sample-related tables, while parameter and method codes connect laboratory results to their definition tables. The observed domain coverage in Table </w:t>
      </w:r>
      <w:hyperlink w:anchor="tab:coverage">
        <w:r>
          <w:rPr>
            <w:rStyle w:val="Hyperlink"/>
          </w:rPr>
          <w:t xml:space="preserve">2</w:t>
        </w:r>
      </w:hyperlink>
      <w:r>
        <w:t xml:space="preserve"> </w:t>
      </w:r>
      <w:r>
        <w:t xml:space="preserve">demonstrates that these relations are populated across different forms of evidence; it does not imply that every sample has undergone all planned analyses.</w:t>
      </w:r>
    </w:p>
    <w:p>
      <w:pPr>
        <w:pStyle w:val="BodyText"/>
      </w:pPr>
      <w:r>
        <w:t xml:space="preserve">A published ECHOREPO Zenodo release comprises six canonical CSV resources together with a CSV on the Web metadata document,</w:t>
      </w:r>
      <w:r>
        <w:t xml:space="preserve"> </w:t>
      </w:r>
      <w:r>
        <w:rPr>
          <w:rStyle w:val="VerbatimChar"/>
        </w:rPr>
        <w:t xml:space="preserve">file.json</w:t>
      </w:r>
      <w:r>
        <w:t xml:space="preserve">, and a version-specific DOI</w:t>
      </w:r>
      <w:r>
        <w:t xml:space="preserve"> </w:t>
      </w:r>
      <w:r>
        <w:t xml:space="preserve">(Osychenko 2026)</w:t>
      </w:r>
      <w:r>
        <w:t xml:space="preserve">. The export-and-publish workflow checks resource schemas and reference integrity before deposit. This demonstrates independently retrievable, versioned publication products, but the evaluated canonical snapshot must not be assumed to have identical membership to the cited Zenodo release unless its version and extraction date are verified. Appearance in any particular SoilWise catalogue also requires separate confirmation.</w:t>
      </w:r>
    </w:p>
    <w:bookmarkEnd w:id="45"/>
    <w:bookmarkEnd w:id="46"/>
    <w:bookmarkStart w:id="49" w:name="discussion"/>
    <w:p>
      <w:pPr>
        <w:pStyle w:val="Heading1"/>
      </w:pPr>
      <w:r>
        <w:t xml:space="preserve">Discussion</w:t>
      </w:r>
    </w:p>
    <w:bookmarkStart w:id="47" w:name="design-implications-and-transferability"/>
    <w:p>
      <w:pPr>
        <w:pStyle w:val="Heading2"/>
      </w:pPr>
      <w:r>
        <w:t xml:space="preserve">Design implications and transferability</w:t>
      </w:r>
    </w:p>
    <w:p>
      <w:pPr>
        <w:pStyle w:val="FirstParagraph"/>
      </w:pPr>
      <w:r>
        <w:t xml:space="preserve">The central architectural lesson is that citizen-science acquisition and the durable research-data layer can evolve independently. Isolating source-specific ingestion logic allows the participant application to change while sample identifiers and canonical resources remain accessible. The evaluated data show this integration in practice: 52.25% of samples have records in at least two additional data domains and 9.45% in all three. These are cross-sectional linkages, not a measurement of how quickly individual samples are enriched over time. The sample-centred model connects evidence produced by different organisations without flattening it into one unwieldy table.</w:t>
      </w:r>
    </w:p>
    <w:p>
      <w:pPr>
        <w:pStyle w:val="BodyText"/>
      </w:pPr>
      <w:r>
        <w:t xml:space="preserve">The QA results illustrate a second lesson: repository-level checks must distinguish position-acquisition failures from disagreements between sampling-allocation metadata and actual collection countries. Of 396 flags, 301 concern planned-country mismatches that may be legitimate rather than erroneous locations. A recovery-oriented design preserves the possibility of correcting an individual defective field while retaining valid observations and associated measurements, but the benefit of recovery requires documented outcomes; it cannot be inferred from detection counts alone.</w:t>
      </w:r>
    </w:p>
    <w:p>
      <w:pPr>
        <w:pStyle w:val="BodyText"/>
      </w:pPr>
      <w:r>
        <w:t xml:space="preserve">Third, location validation and location disclosure answer different questions. The repository must first identify the best-supported geographical information, then produce a public representation with explicit loss of precision. Deterministic jitter supports a consistent map representation, but near coasts and borders it produces legitimate visual displacements. The stated 1,000 m radius is an implementation policy, not a general prescription for environmental citizen science or a proof of privacy.</w:t>
      </w:r>
    </w:p>
    <w:p>
      <w:pPr>
        <w:pStyle w:val="BodyText"/>
      </w:pPr>
      <w:r>
        <w:t xml:space="preserve">Finally, publication requires more than uploading CSV files. The canonical six-resource structure, relational CSVW metadata, machine-checkable validation and Zenodo versioning provide a durable interface between a continuously changing operational system and downstream users. Such a pattern is broadly transferable, although semantic alignment with disciplinary vocabularies and external catalogues remains an ongoing task.</w:t>
      </w:r>
    </w:p>
    <w:bookmarkEnd w:id="47"/>
    <w:bookmarkStart w:id="48" w:name="limitations"/>
    <w:p>
      <w:pPr>
        <w:pStyle w:val="Heading2"/>
      </w:pPr>
      <w:r>
        <w:t xml:space="preserve">Limitations</w:t>
      </w:r>
    </w:p>
    <w:p>
      <w:pPr>
        <w:pStyle w:val="FirstParagraph"/>
      </w:pPr>
      <w:r>
        <w:t xml:space="preserve">The evaluation concerns one soil-science deployment and does not compare alternative repository architectures. The canonical model, quality checks and acquisition adapter require adaptation for other domains; architecture-level transferability is not equivalent to a second deployment. The domain-coverage figures describe the current canonical export and are affected by publication-specific filtering, while the QA figures report only two categories of flags, without independent ground-truth verification, documented recovery outcomes or systematic attribution of causes. The flag percentages assume that the QA assessment covers the same 10,554 samples; this must be confirmed before final submission. Other forms of data heterogeneity are managed operationally but are not evaluated quantitatively here.</w:t>
      </w:r>
    </w:p>
    <w:p>
      <w:pPr>
        <w:pStyle w:val="BodyText"/>
      </w:pPr>
      <w:r>
        <w:t xml:space="preserve">Spatial jitter is not a formal anonymisation mechanism; location risk varies with geography and available auxiliary information. Automated photo redaction can miss identifying features, and the current post-mirror workflow does not guarantee protection before a newly mirrored file becomes reachable. FAIR-oriented metadata and versioned deposits facilitate reuse but do not by themselves establish complete semantic interoperability or independently verified SoilWise indexing. Because the operational repository is changing, all reported counts and publications should be interpreted with their stated snapshot or version.</w:t>
      </w:r>
    </w:p>
    <w:bookmarkEnd w:id="48"/>
    <w:bookmarkEnd w:id="49"/>
    <w:bookmarkStart w:id="50" w:name="conclusions"/>
    <w:p>
      <w:pPr>
        <w:pStyle w:val="Heading1"/>
      </w:pPr>
      <w:r>
        <w:t xml:space="preserve">Conclusions</w:t>
      </w:r>
    </w:p>
    <w:p>
      <w:pPr>
        <w:pStyle w:val="FirstParagraph"/>
      </w:pPr>
      <w:r>
        <w:t xml:space="preserve">ECHOREPO separates participant-facing acquisition from the long-term management of heterogeneous soil research data. In an evaluated canonical snapshot of 10,554 samples, 52.25% are represented in at least two additional data domains, providing direct evidence of sample-centred integration. Quality screening flagged 396 cases of default coordinates or planned-country disagreement, demonstrating why repository-level assessment must distinguish missing positions from potentially legitimate allocation changes. Stable identifiers, provenance-aware QA, controlled privacy transformations and independently versioned, CSVW-described outputs offer a reusable approach, subject to stated limits on recovery, privacy and external interoperability.</w:t>
      </w:r>
    </w:p>
    <w:bookmarkEnd w:id="50"/>
    <w:bookmarkStart w:id="77" w:name="bibliography"/>
    <w:p>
      <w:pPr>
        <w:pStyle w:val="Heading1"/>
      </w:pPr>
      <w:r>
        <w:t xml:space="preserve">References</w:t>
      </w:r>
    </w:p>
    <w:bookmarkStart w:id="76" w:name="refs"/>
    <w:bookmarkStart w:id="52" w:name="ref-bonney2009citizenscience"/>
    <w:p>
      <w:pPr>
        <w:pStyle w:val="Bibliography"/>
      </w:pPr>
      <w:r>
        <w:t xml:space="preserve">Bonney, Rick, Caren B. Cooper, Janis Dickinson, Steve Kelling, Tina Phillips, Kenneth V. Rosenberg, and Jennifer Shirk. 2009.</w:t>
      </w:r>
      <w:r>
        <w:t xml:space="preserve"> </w:t>
      </w:r>
      <w:r>
        <w:t xml:space="preserve">“Citizen Science: A Developing Tool for Expanding Science Knowledge and Scientific Literacy.”</w:t>
      </w:r>
      <w:r>
        <w:t xml:space="preserve"> </w:t>
      </w:r>
      <w:r>
        <w:rPr>
          <w:iCs/>
          <w:i/>
        </w:rPr>
        <w:t xml:space="preserve">BioScience</w:t>
      </w:r>
      <w:r>
        <w:t xml:space="preserve"> </w:t>
      </w:r>
      <w:r>
        <w:t xml:space="preserve">59 (11): 977–84.</w:t>
      </w:r>
      <w:r>
        <w:t xml:space="preserve"> </w:t>
      </w:r>
      <w:hyperlink r:id="rId51">
        <w:r>
          <w:rPr>
            <w:rStyle w:val="Hyperlink"/>
          </w:rPr>
          <w:t xml:space="preserve">https://doi.org/10.1525/bio.2009.59.11.9</w:t>
        </w:r>
      </w:hyperlink>
      <w:r>
        <w:t xml:space="preserve">.</w:t>
      </w:r>
    </w:p>
    <w:bookmarkEnd w:id="52"/>
    <w:bookmarkStart w:id="54" w:name="ref-bonney2014nextsteps"/>
    <w:p>
      <w:pPr>
        <w:pStyle w:val="Bibliography"/>
      </w:pPr>
      <w:r>
        <w:t xml:space="preserve">Bonney, Rick, Jennifer L. Shirk, Tina B. Phillips, Andrea Wiggins, Heidi L. Ballard, Abraham J. Miller-Rushing, and Julia K. Parrish. 2014.</w:t>
      </w:r>
      <w:r>
        <w:t xml:space="preserve"> </w:t>
      </w:r>
      <w:r>
        <w:t xml:space="preserve">“Next Steps for Citizen Science.”</w:t>
      </w:r>
      <w:r>
        <w:t xml:space="preserve"> </w:t>
      </w:r>
      <w:r>
        <w:rPr>
          <w:iCs/>
          <w:i/>
        </w:rPr>
        <w:t xml:space="preserve">Science</w:t>
      </w:r>
      <w:r>
        <w:t xml:space="preserve"> </w:t>
      </w:r>
      <w:r>
        <w:t xml:space="preserve">343 (6178): 1436–37.</w:t>
      </w:r>
      <w:r>
        <w:t xml:space="preserve"> </w:t>
      </w:r>
      <w:hyperlink r:id="rId53">
        <w:r>
          <w:rPr>
            <w:rStyle w:val="Hyperlink"/>
          </w:rPr>
          <w:t xml:space="preserve">https://doi.org/10.1126/science.1251554</w:t>
        </w:r>
      </w:hyperlink>
      <w:r>
        <w:t xml:space="preserve">.</w:t>
      </w:r>
    </w:p>
    <w:bookmarkEnd w:id="54"/>
    <w:bookmarkStart w:id="56" w:name="ref-echo2023project"/>
    <w:p>
      <w:pPr>
        <w:pStyle w:val="Bibliography"/>
      </w:pPr>
      <w:r>
        <w:t xml:space="preserve">European Commission. 2023.</w:t>
      </w:r>
      <w:r>
        <w:t xml:space="preserve"> </w:t>
      </w:r>
      <w:r>
        <w:t xml:space="preserve">“Engaging Citizens in Soil Science: The Road to Healthier Soils.”</w:t>
      </w:r>
      <w:r>
        <w:t xml:space="preserve"> </w:t>
      </w:r>
      <w:hyperlink r:id="rId55">
        <w:r>
          <w:rPr>
            <w:rStyle w:val="Hyperlink"/>
          </w:rPr>
          <w:t xml:space="preserve">https://doi.org/10.3030/101112869</w:t>
        </w:r>
      </w:hyperlink>
      <w:r>
        <w:t xml:space="preserve">.</w:t>
      </w:r>
    </w:p>
    <w:bookmarkEnd w:id="56"/>
    <w:bookmarkStart w:id="57" w:name="ref-eea2016biogeo"/>
    <w:p>
      <w:pPr>
        <w:pStyle w:val="Bibliography"/>
      </w:pPr>
      <w:r>
        <w:t xml:space="preserve">European Environment Agency. 2016.</w:t>
      </w:r>
      <w:r>
        <w:t xml:space="preserve"> </w:t>
      </w:r>
      <w:r>
        <w:t xml:space="preserve">“Biogeographical Regions in Europe: 2016 Spatial Boundaries.”</w:t>
      </w:r>
      <w:r>
        <w:t xml:space="preserve"> </w:t>
      </w:r>
      <w:r>
        <w:t xml:space="preserve">2016.</w:t>
      </w:r>
    </w:p>
    <w:bookmarkEnd w:id="57"/>
    <w:bookmarkStart w:id="59" w:name="ref-kosmala2016quality"/>
    <w:p>
      <w:pPr>
        <w:pStyle w:val="Bibliography"/>
      </w:pPr>
      <w:r>
        <w:t xml:space="preserve">Kosmala, Margaret, Andrea Wiggins, Alexandra Swanson, and Brooke Simmons. 2016.</w:t>
      </w:r>
      <w:r>
        <w:t xml:space="preserve"> </w:t>
      </w:r>
      <w:r>
        <w:t xml:space="preserve">“Assessing Data Quality in Citizen Science.”</w:t>
      </w:r>
      <w:r>
        <w:t xml:space="preserve"> </w:t>
      </w:r>
      <w:r>
        <w:rPr>
          <w:iCs/>
          <w:i/>
        </w:rPr>
        <w:t xml:space="preserve">Frontiers in Ecology and the Environment</w:t>
      </w:r>
      <w:r>
        <w:t xml:space="preserve"> </w:t>
      </w:r>
      <w:r>
        <w:t xml:space="preserve">14 (10): 551–60.</w:t>
      </w:r>
      <w:r>
        <w:t xml:space="preserve"> </w:t>
      </w:r>
      <w:hyperlink r:id="rId58">
        <w:r>
          <w:rPr>
            <w:rStyle w:val="Hyperlink"/>
          </w:rPr>
          <w:t xml:space="preserve">https://doi.org/10.1002/fee.1436</w:t>
        </w:r>
      </w:hyperlink>
      <w:r>
        <w:t xml:space="preserve">.</w:t>
      </w:r>
    </w:p>
    <w:bookmarkEnd w:id="59"/>
    <w:bookmarkStart w:id="61" w:name="ref-echorepo2026dataset"/>
    <w:p>
      <w:pPr>
        <w:pStyle w:val="Bibliography"/>
      </w:pPr>
      <w:r>
        <w:t xml:space="preserve">Osychenko, Oleg. 2026.</w:t>
      </w:r>
      <w:r>
        <w:t xml:space="preserve"> </w:t>
      </w:r>
      <w:r>
        <w:t xml:space="preserve">“</w:t>
      </w:r>
      <w:r>
        <w:t xml:space="preserve">ECHOREPO Soil Dataset: soil observations, parameters, images and biodiversity</w:t>
      </w:r>
      <w:r>
        <w:t xml:space="preserve">.”</w:t>
      </w:r>
      <w:r>
        <w:t xml:space="preserve"> </w:t>
      </w:r>
      <w:r>
        <w:t xml:space="preserve">Zenodo.</w:t>
      </w:r>
      <w:r>
        <w:t xml:space="preserve"> </w:t>
      </w:r>
      <w:hyperlink r:id="rId60">
        <w:r>
          <w:rPr>
            <w:rStyle w:val="Hyperlink"/>
          </w:rPr>
          <w:t xml:space="preserve">https://doi.org/10.5281/zenodo.23195149</w:t>
        </w:r>
      </w:hyperlink>
      <w:r>
        <w:t xml:space="preserve">.</w:t>
      </w:r>
    </w:p>
    <w:bookmarkEnd w:id="61"/>
    <w:bookmarkStart w:id="63" w:name="ref-peiro2026soil"/>
    <w:p>
      <w:pPr>
        <w:pStyle w:val="Bibliography"/>
      </w:pPr>
      <w:r>
        <w:t xml:space="preserve">Peiro, Alba et al. 2026.</w:t>
      </w:r>
      <w:r>
        <w:t xml:space="preserve"> </w:t>
      </w:r>
      <w:r>
        <w:t xml:space="preserve">“Towards Healthier Soils: Insights for Knowledge Building, Co-Creation and Citizen Engagement in Soil Science.”</w:t>
      </w:r>
      <w:r>
        <w:t xml:space="preserve"> </w:t>
      </w:r>
      <w:r>
        <w:rPr>
          <w:iCs/>
          <w:i/>
        </w:rPr>
        <w:t xml:space="preserve">European Journal of Soil Science</w:t>
      </w:r>
      <w:r>
        <w:t xml:space="preserve"> </w:t>
      </w:r>
      <w:r>
        <w:t xml:space="preserve">77 (5).</w:t>
      </w:r>
      <w:r>
        <w:t xml:space="preserve"> </w:t>
      </w:r>
      <w:hyperlink r:id="rId62">
        <w:r>
          <w:rPr>
            <w:rStyle w:val="Hyperlink"/>
          </w:rPr>
          <w:t xml:space="preserve">https://doi.org/10.1111/ejss.70409</w:t>
        </w:r>
      </w:hyperlink>
      <w:r>
        <w:t xml:space="preserve">.</w:t>
      </w:r>
    </w:p>
    <w:bookmarkEnd w:id="63"/>
    <w:bookmarkStart w:id="65" w:name="ref-soilwise2026faq"/>
    <w:p>
      <w:pPr>
        <w:pStyle w:val="Bibliography"/>
      </w:pPr>
      <w:r>
        <w:t xml:space="preserve">SoilWise. 2026.</w:t>
      </w:r>
      <w:r>
        <w:t xml:space="preserve"> </w:t>
      </w:r>
      <w:r>
        <w:t xml:space="preserve">“Frequently Asked Questions.”</w:t>
      </w:r>
      <w:r>
        <w:t xml:space="preserve"> </w:t>
      </w:r>
      <w:r>
        <w:t xml:space="preserve">2026.</w:t>
      </w:r>
      <w:r>
        <w:t xml:space="preserve"> </w:t>
      </w:r>
      <w:hyperlink r:id="rId64">
        <w:r>
          <w:rPr>
            <w:rStyle w:val="Hyperlink"/>
          </w:rPr>
          <w:t xml:space="preserve">https://soilwise-he.eu/faq/</w:t>
        </w:r>
      </w:hyperlink>
      <w:r>
        <w:t xml:space="preserve">.</w:t>
      </w:r>
    </w:p>
    <w:bookmarkEnd w:id="65"/>
    <w:bookmarkStart w:id="67" w:name="ref-sullivan2014ebird"/>
    <w:p>
      <w:pPr>
        <w:pStyle w:val="Bibliography"/>
      </w:pPr>
      <w:r>
        <w:t xml:space="preserve">Sullivan, Brian L., Jocelyn L. Aycrigg, Jessie H. Barry, et al. 2014.</w:t>
      </w:r>
      <w:r>
        <w:t xml:space="preserve"> </w:t>
      </w:r>
      <w:r>
        <w:t xml:space="preserve">“The</w:t>
      </w:r>
      <w:r>
        <w:t xml:space="preserve"> </w:t>
      </w:r>
      <w:r>
        <w:t xml:space="preserve">eBird</w:t>
      </w:r>
      <w:r>
        <w:t xml:space="preserve"> </w:t>
      </w:r>
      <w:r>
        <w:t xml:space="preserve">Enterprise: An Integrated Approach to Development and Application of Citizen Science.”</w:t>
      </w:r>
      <w:r>
        <w:t xml:space="preserve"> </w:t>
      </w:r>
      <w:r>
        <w:rPr>
          <w:iCs/>
          <w:i/>
        </w:rPr>
        <w:t xml:space="preserve">Biological Conservation</w:t>
      </w:r>
      <w:r>
        <w:t xml:space="preserve"> </w:t>
      </w:r>
      <w:r>
        <w:t xml:space="preserve">169: 31–40.</w:t>
      </w:r>
      <w:r>
        <w:t xml:space="preserve"> </w:t>
      </w:r>
      <w:hyperlink r:id="rId66">
        <w:r>
          <w:rPr>
            <w:rStyle w:val="Hyperlink"/>
          </w:rPr>
          <w:t xml:space="preserve">https://doi.org/10.1016/j.biocon.2013.11.003</w:t>
        </w:r>
      </w:hyperlink>
      <w:r>
        <w:t xml:space="preserve">.</w:t>
      </w:r>
    </w:p>
    <w:bookmarkEnd w:id="67"/>
    <w:bookmarkStart w:id="69" w:name="ref-w3c2015csvw"/>
    <w:p>
      <w:pPr>
        <w:pStyle w:val="Bibliography"/>
      </w:pPr>
      <w:r>
        <w:t xml:space="preserve">W3C. 2015.</w:t>
      </w:r>
      <w:r>
        <w:t xml:space="preserve"> </w:t>
      </w:r>
      <w:r>
        <w:t xml:space="preserve">“Metadata Vocabulary for Tabular Data.”</w:t>
      </w:r>
      <w:r>
        <w:t xml:space="preserve"> </w:t>
      </w:r>
      <w:r>
        <w:t xml:space="preserve">2015.</w:t>
      </w:r>
      <w:r>
        <w:t xml:space="preserve"> </w:t>
      </w:r>
      <w:hyperlink r:id="rId68">
        <w:r>
          <w:rPr>
            <w:rStyle w:val="Hyperlink"/>
          </w:rPr>
          <w:t xml:space="preserve">https://www.w3.org/TR/tabular-metadata/</w:t>
        </w:r>
      </w:hyperlink>
      <w:r>
        <w:t xml:space="preserve">.</w:t>
      </w:r>
    </w:p>
    <w:bookmarkEnd w:id="69"/>
    <w:bookmarkStart w:id="71" w:name="ref-wang2015citsci"/>
    <w:p>
      <w:pPr>
        <w:pStyle w:val="Bibliography"/>
      </w:pPr>
      <w:r>
        <w:t xml:space="preserve">Wang, Yiwei, Nicole Kaplan, Greg Newman, and Russell Scarpino. 2015.</w:t>
      </w:r>
      <w:r>
        <w:t xml:space="preserve"> </w:t>
      </w:r>
      <w:r>
        <w:t xml:space="preserve">“</w:t>
      </w:r>
      <w:r>
        <w:t xml:space="preserve">CitSci.org</w:t>
      </w:r>
      <w:r>
        <w:t xml:space="preserve">: A New Model for Managing, Documenting, and Sharing Citizen Science Data.”</w:t>
      </w:r>
      <w:r>
        <w:t xml:space="preserve"> </w:t>
      </w:r>
      <w:r>
        <w:rPr>
          <w:iCs/>
          <w:i/>
        </w:rPr>
        <w:t xml:space="preserve">PLOS Biology</w:t>
      </w:r>
      <w:r>
        <w:t xml:space="preserve"> </w:t>
      </w:r>
      <w:r>
        <w:t xml:space="preserve">13 (10): e1002280.</w:t>
      </w:r>
      <w:r>
        <w:t xml:space="preserve"> </w:t>
      </w:r>
      <w:hyperlink r:id="rId70">
        <w:r>
          <w:rPr>
            <w:rStyle w:val="Hyperlink"/>
          </w:rPr>
          <w:t xml:space="preserve">https://doi.org/10.1371/journal.pbio.1002280</w:t>
        </w:r>
      </w:hyperlink>
      <w:r>
        <w:t xml:space="preserve">.</w:t>
      </w:r>
    </w:p>
    <w:bookmarkEnd w:id="71"/>
    <w:bookmarkStart w:id="73" w:name="ref-wilkinson2016fair"/>
    <w:p>
      <w:pPr>
        <w:pStyle w:val="Bibliography"/>
      </w:pPr>
      <w:r>
        <w:t xml:space="preserve">Wilkinson, Mark D., Michel Dumontier, IJsbrand Jan Aalbersberg, et al. 2016.</w:t>
      </w:r>
      <w:r>
        <w:t xml:space="preserve"> </w:t>
      </w:r>
      <w:r>
        <w:t xml:space="preserve">“The</w:t>
      </w:r>
      <w:r>
        <w:t xml:space="preserve"> </w:t>
      </w:r>
      <w:r>
        <w:t xml:space="preserve">FAIR</w:t>
      </w:r>
      <w:r>
        <w:t xml:space="preserve"> </w:t>
      </w:r>
      <w:r>
        <w:t xml:space="preserve">Guiding Principles for Scientific Data Management and Stewardship.”</w:t>
      </w:r>
      <w:r>
        <w:t xml:space="preserve"> </w:t>
      </w:r>
      <w:r>
        <w:rPr>
          <w:iCs/>
          <w:i/>
        </w:rPr>
        <w:t xml:space="preserve">Scientific Data</w:t>
      </w:r>
      <w:r>
        <w:t xml:space="preserve"> </w:t>
      </w:r>
      <w:r>
        <w:t xml:space="preserve">3: 160018.</w:t>
      </w:r>
      <w:r>
        <w:t xml:space="preserve"> </w:t>
      </w:r>
      <w:hyperlink r:id="rId72">
        <w:r>
          <w:rPr>
            <w:rStyle w:val="Hyperlink"/>
          </w:rPr>
          <w:t xml:space="preserve">https://doi.org/10.1038/sdata.2016.18</w:t>
        </w:r>
      </w:hyperlink>
      <w:r>
        <w:t xml:space="preserve">.</w:t>
      </w:r>
    </w:p>
    <w:bookmarkEnd w:id="73"/>
    <w:bookmarkStart w:id="75" w:name="ref-zenodo2026versioning"/>
    <w:p>
      <w:pPr>
        <w:pStyle w:val="Bibliography"/>
      </w:pPr>
      <w:r>
        <w:t xml:space="preserve">Zenodo. 2026.</w:t>
      </w:r>
      <w:r>
        <w:t xml:space="preserve"> </w:t>
      </w:r>
      <w:r>
        <w:t xml:space="preserve">“</w:t>
      </w:r>
      <w:r>
        <w:t xml:space="preserve">DOI</w:t>
      </w:r>
      <w:r>
        <w:t xml:space="preserve"> </w:t>
      </w:r>
      <w:r>
        <w:t xml:space="preserve">Versioning.”</w:t>
      </w:r>
      <w:r>
        <w:t xml:space="preserve"> </w:t>
      </w:r>
      <w:r>
        <w:t xml:space="preserve">2026.</w:t>
      </w:r>
      <w:r>
        <w:t xml:space="preserve"> </w:t>
      </w:r>
      <w:hyperlink r:id="rId74">
        <w:r>
          <w:rPr>
            <w:rStyle w:val="Hyperlink"/>
          </w:rPr>
          <w:t xml:space="preserve">https://zenodo.org/help/versioning</w:t>
        </w:r>
      </w:hyperlink>
      <w:r>
        <w:t xml:space="preserve">.</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hyperlink" Id="rId58" Target="https://doi.org/10.1002/fee.1436" TargetMode="External" /><Relationship Type="http://schemas.openxmlformats.org/officeDocument/2006/relationships/hyperlink" Id="rId66" Target="https://doi.org/10.1016/j.biocon.2013.11.003" TargetMode="External" /><Relationship Type="http://schemas.openxmlformats.org/officeDocument/2006/relationships/hyperlink" Id="rId72" Target="https://doi.org/10.1038/sdata.2016.18" TargetMode="External" /><Relationship Type="http://schemas.openxmlformats.org/officeDocument/2006/relationships/hyperlink" Id="rId62" Target="https://doi.org/10.1111/ejss.70409" TargetMode="External" /><Relationship Type="http://schemas.openxmlformats.org/officeDocument/2006/relationships/hyperlink" Id="rId53" Target="https://doi.org/10.1126/science.1251554" TargetMode="External" /><Relationship Type="http://schemas.openxmlformats.org/officeDocument/2006/relationships/hyperlink" Id="rId70" Target="https://doi.org/10.1371/journal.pbio.1002280" TargetMode="External" /><Relationship Type="http://schemas.openxmlformats.org/officeDocument/2006/relationships/hyperlink" Id="rId51" Target="https://doi.org/10.1525/bio.2009.59.11.9" TargetMode="External" /><Relationship Type="http://schemas.openxmlformats.org/officeDocument/2006/relationships/hyperlink" Id="rId55" Target="https://doi.org/10.3030/101112869" TargetMode="External" /><Relationship Type="http://schemas.openxmlformats.org/officeDocument/2006/relationships/hyperlink" Id="rId60" Target="https://doi.org/10.5281/zenodo.23195149" TargetMode="External" /><Relationship Type="http://schemas.openxmlformats.org/officeDocument/2006/relationships/hyperlink" Id="rId64" Target="https://soilwise-he.eu/faq/" TargetMode="External" /><Relationship Type="http://schemas.openxmlformats.org/officeDocument/2006/relationships/hyperlink" Id="rId68" Target="https://www.w3.org/TR/tabular-metadata/" TargetMode="External" /><Relationship Type="http://schemas.openxmlformats.org/officeDocument/2006/relationships/hyperlink" Id="rId74" Target="https://zenodo.org/help/versioning"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002/fee.1436" TargetMode="External" /><Relationship Type="http://schemas.openxmlformats.org/officeDocument/2006/relationships/hyperlink" Id="rId66" Target="https://doi.org/10.1016/j.biocon.2013.11.003" TargetMode="External" /><Relationship Type="http://schemas.openxmlformats.org/officeDocument/2006/relationships/hyperlink" Id="rId72" Target="https://doi.org/10.1038/sdata.2016.18" TargetMode="External" /><Relationship Type="http://schemas.openxmlformats.org/officeDocument/2006/relationships/hyperlink" Id="rId62" Target="https://doi.org/10.1111/ejss.70409" TargetMode="External" /><Relationship Type="http://schemas.openxmlformats.org/officeDocument/2006/relationships/hyperlink" Id="rId53" Target="https://doi.org/10.1126/science.1251554" TargetMode="External" /><Relationship Type="http://schemas.openxmlformats.org/officeDocument/2006/relationships/hyperlink" Id="rId70" Target="https://doi.org/10.1371/journal.pbio.1002280" TargetMode="External" /><Relationship Type="http://schemas.openxmlformats.org/officeDocument/2006/relationships/hyperlink" Id="rId51" Target="https://doi.org/10.1525/bio.2009.59.11.9" TargetMode="External" /><Relationship Type="http://schemas.openxmlformats.org/officeDocument/2006/relationships/hyperlink" Id="rId55" Target="https://doi.org/10.3030/101112869" TargetMode="External" /><Relationship Type="http://schemas.openxmlformats.org/officeDocument/2006/relationships/hyperlink" Id="rId60" Target="https://doi.org/10.5281/zenodo.23195149" TargetMode="External" /><Relationship Type="http://schemas.openxmlformats.org/officeDocument/2006/relationships/hyperlink" Id="rId64" Target="https://soilwise-he.eu/faq/" TargetMode="External" /><Relationship Type="http://schemas.openxmlformats.org/officeDocument/2006/relationships/hyperlink" Id="rId68" Target="https://www.w3.org/TR/tabular-metadata/" TargetMode="External" /><Relationship Type="http://schemas.openxmlformats.org/officeDocument/2006/relationships/hyperlink" Id="rId74" Target="https://zenodo.org/help/version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citizen observations to FAIR research data: ECHOREPO and a reusable architecture for soil citizen science</dc:title>
  <dc:creator>Oleg Osychenko, Claudia Cappello, Céline Laurent, Ivan Rodero, Tanja Mimmo Provisional author and affiliation list</dc:creator>
  <cp:keywords/>
  <dcterms:created xsi:type="dcterms:W3CDTF">2026-10-29T22:06:28Z</dcterms:created>
  <dcterms:modified xsi:type="dcterms:W3CDTF">2026-10-29T22:06:28Z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Citizen-science observations often acquire scientific value beyond their original collection context, yet long-term management requires integration with later analytical results, assessment of imperfect records, protection of sensitive locations and independent publication. We present ECHOREPO, an open-source research-data infrastructure developed for European soil citizen science. The system separates an external participant-facing application from a canonical sample-centred repository, linking observations and photographs to laboratory measurements and microbial biodiversity data. It combines provenance-aware quality assurance with controlled publication views and exports relational tabular resources accompanied by CSV on the Web (CSVW) metadata. In a canonical snapshot of 10,554 soil samples, 8,744 (82.85%) had associated photographs, 6,443 (61.05%) laboratory measurements and 1,200 (11.37%) biodiversity results; 5,514 (52.25%) were linked to at least two additional data domains. Geographical and allocation-related quality assessment flagged 396 samples (3.75%): 95 had application-default coordinates and 301 showed a discrepancy between the QR-code planned country and the recorded sampling country. These discrepancies are not necessarily geographical errors. A published Zenodo dataset demonstrates versioned release of machine-readable resources independently of the operational application. We discuss the design choices and remaining limitations, particularly the distinction between detection and verified recovery, the privacy–utility trade-off in spatial obfuscation, and the boundary between soil-specific and reusable infrastructure components.</vt:lpwstr>
  </property>
  <property fmtid="{D5CDD505-2E9C-101B-9397-08002B2CF9AE}" pid="3" name="bibliography">
    <vt:lpwstr>/paper/echorepo_integrated.bib</vt:lpwstr>
  </property>
  <property fmtid="{D5CDD505-2E9C-101B-9397-08002B2CF9AE}" pid="4" name="date">
    <vt:lpwstr>Internal manuscript draft – 29 October 2026</vt:lpwstr>
  </property>
  <property fmtid="{D5CDD505-2E9C-101B-9397-08002B2CF9AE}" pid="5" name="reference-section-title">
    <vt:lpwstr>References</vt:lpwstr>
  </property>
</Properties>
</file>