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F1" w:rsidRDefault="00092D79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442F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442F1" w:rsidRDefault="00092D7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442F1" w:rsidRDefault="00092D7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442F1" w:rsidRDefault="00092D7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442F1" w:rsidRDefault="00092D7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442F1" w:rsidRDefault="00092D7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442F1" w:rsidRDefault="00092D7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442F1" w:rsidRPr="00092D79" w:rsidRDefault="00092D79">
            <w:pPr>
              <w:spacing w:after="0"/>
              <w:jc w:val="right"/>
              <w:rPr>
                <w:lang w:val="en-CA"/>
              </w:rPr>
            </w:pPr>
            <w:r w:rsidRPr="00092D7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442F1" w:rsidRPr="00092D79" w:rsidRDefault="00092D7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92D7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442F1" w:rsidRPr="00092D79" w:rsidRDefault="00092D79">
            <w:pPr>
              <w:spacing w:after="0"/>
              <w:jc w:val="both"/>
              <w:rPr>
                <w:lang w:val="en-CA"/>
              </w:rPr>
            </w:pPr>
            <w:r w:rsidRPr="00092D7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442F1" w:rsidRPr="00092D79" w:rsidRDefault="00092D79">
            <w:pPr>
              <w:spacing w:after="58"/>
              <w:ind w:right="16"/>
              <w:jc w:val="right"/>
              <w:rPr>
                <w:lang w:val="en-CA"/>
              </w:rPr>
            </w:pPr>
            <w:r w:rsidRPr="00092D79">
              <w:rPr>
                <w:rFonts w:ascii="Arial" w:eastAsia="Arial" w:hAnsi="Arial" w:cs="Arial"/>
                <w:b/>
                <w:sz w:val="20"/>
                <w:lang w:val="en-CA"/>
              </w:rPr>
              <w:t>DEC0914672-A0E6-IB</w:t>
            </w:r>
          </w:p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442F1" w:rsidTr="00092D7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D79" w:rsidRDefault="00092D79" w:rsidP="00092D7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92D79">
              <w:rPr>
                <w:rFonts w:ascii="Arial" w:eastAsia="Arial" w:hAnsi="Arial" w:cs="Arial"/>
                <w:b/>
                <w:sz w:val="36"/>
                <w:szCs w:val="36"/>
              </w:rPr>
              <w:t>COD 2021 184203</w:t>
            </w:r>
          </w:p>
          <w:p w:rsidR="00092D79" w:rsidRPr="00092D79" w:rsidRDefault="00092D79" w:rsidP="00092D7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442F1" w:rsidRDefault="00092D79" w:rsidP="00092D7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442F1" w:rsidRDefault="00E442F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</w:tr>
    </w:tbl>
    <w:p w:rsidR="00E442F1" w:rsidRDefault="00092D79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E442F1" w:rsidRDefault="00092D79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E442F1" w:rsidRPr="00092D79" w:rsidRDefault="00092D79">
      <w:pPr>
        <w:spacing w:after="50" w:line="250" w:lineRule="auto"/>
        <w:ind w:left="1696" w:right="2271" w:hanging="10"/>
        <w:rPr>
          <w:lang w:val="en-CA"/>
        </w:rPr>
      </w:pPr>
      <w:r w:rsidRPr="00092D79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092D79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092D79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E442F1" w:rsidRDefault="00092D79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E442F1" w:rsidRDefault="00092D79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442F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E442F1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Pr="00092D79" w:rsidRDefault="00092D79">
            <w:pPr>
              <w:spacing w:after="0"/>
              <w:rPr>
                <w:lang w:val="en-CA"/>
              </w:rPr>
            </w:pPr>
            <w:r w:rsidRPr="00092D79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E442F1" w:rsidRPr="00092D79" w:rsidRDefault="00092D79">
            <w:pPr>
              <w:spacing w:after="0"/>
              <w:rPr>
                <w:lang w:val="en-CA"/>
              </w:rPr>
            </w:pPr>
            <w:r w:rsidRPr="00092D79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42483.86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45041.39</w:t>
            </w:r>
          </w:p>
        </w:tc>
      </w:tr>
      <w:tr w:rsidR="00E442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2 557,53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42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42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   zouqingchun@jchxmc.com    </w:t>
            </w:r>
          </w:p>
        </w:tc>
      </w:tr>
      <w:tr w:rsidR="00E442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E442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E442F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1061"/>
            </w:pPr>
            <w:r>
              <w:rPr>
                <w:rFonts w:ascii="Arial" w:eastAsia="Arial" w:hAnsi="Arial" w:cs="Arial"/>
                <w:b/>
                <w:sz w:val="18"/>
              </w:rPr>
              <w:t>BEABMT20210412S-41-B 12 Avr. 2021</w:t>
            </w:r>
          </w:p>
        </w:tc>
      </w:tr>
      <w:tr w:rsidR="00E442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2022 00h00</w:t>
            </w:r>
          </w:p>
        </w:tc>
      </w:tr>
      <w:tr w:rsidR="00E442F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2021 00h00</w:t>
            </w:r>
          </w:p>
        </w:tc>
      </w:tr>
      <w:tr w:rsidR="00E442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</w:tr>
      <w:tr w:rsidR="00E442F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442F1" w:rsidRDefault="00092D7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442F1" w:rsidRDefault="00092D7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442F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442F1" w:rsidRDefault="00E442F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</w:tr>
      <w:tr w:rsidR="00E442F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442F1" w:rsidRDefault="00E442F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442F1" w:rsidRDefault="00E442F1"/>
        </w:tc>
      </w:tr>
    </w:tbl>
    <w:p w:rsidR="00E442F1" w:rsidRDefault="00092D79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(9)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442F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442F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286.000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56.16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2F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protecteurs de circuits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2086.95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2F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Fours professionnel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resistance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(a chauffage indirect)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2F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chariots de manutention non automobiles avec levage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129.23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442F1" w:rsidRDefault="00092D79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21 Avr. 2021 11H56:09</w:t>
      </w:r>
    </w:p>
    <w:p w:rsidR="00E442F1" w:rsidRDefault="00092D79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442F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442F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E442F1" w:rsidRDefault="00092D7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2F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2F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Telemetres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538.46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2F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9020002000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Parties d'autres appareils </w:t>
            </w:r>
          </w:p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respiratoires et masque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gaz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442F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appareils du n 84.24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120.942903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42F1" w:rsidRDefault="00092D7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442F1" w:rsidRDefault="00092D79">
      <w:pPr>
        <w:tabs>
          <w:tab w:val="right" w:pos="10750"/>
        </w:tabs>
        <w:spacing w:after="11621" w:line="250" w:lineRule="auto"/>
      </w:pPr>
      <w:r>
        <w:rPr>
          <w:rFonts w:ascii="Arial" w:eastAsia="Arial" w:hAnsi="Arial" w:cs="Arial"/>
          <w:b/>
          <w:sz w:val="20"/>
        </w:rPr>
        <w:t>Tiré le 21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442F1" w:rsidRDefault="00092D79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21 Avr. 2021 11H56:09</w:t>
      </w:r>
    </w:p>
    <w:sectPr w:rsidR="00E442F1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F1"/>
    <w:rsid w:val="00092D79"/>
    <w:rsid w:val="00E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7789"/>
  <w15:docId w15:val="{388B9575-5B4D-4AE3-B981-F393B35A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2021-04-21T11:06:00Z</dcterms:created>
  <dcterms:modified xsi:type="dcterms:W3CDTF">2021-04-21T11:06:00Z</dcterms:modified>
</cp:coreProperties>
</file>