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for 5.3</w:t>
      </w:r>
    </w:p>
    <w:p w:rsidR="00A63663" w:rsidRDefault="009C122F" w:rsidP="00A63663">
      <w:pPr>
        <w:rPr>
          <w:rFonts w:ascii="Times New Roman" w:hAnsi="Times New Roman" w:cs="Times New Roman"/>
          <w:b/>
          <w:sz w:val="24"/>
          <w:szCs w:val="24"/>
        </w:rPr>
      </w:pPr>
      <w:r w:rsidRPr="009904B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9904B3" w:rsidRPr="009904B3" w:rsidRDefault="009904B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manual annotation is human work to define the positive value and negative value of each sentience from the corpus. </w:t>
      </w:r>
      <w:r w:rsidR="00D83445">
        <w:rPr>
          <w:rFonts w:ascii="Times New Roman" w:hAnsi="Times New Roman" w:cs="Times New Roman"/>
          <w:sz w:val="24"/>
          <w:szCs w:val="24"/>
        </w:rPr>
        <w:t>We need to analyze those crawling data and to determine the polarity</w:t>
      </w:r>
      <w:r w:rsidR="000D1603">
        <w:rPr>
          <w:rFonts w:ascii="Times New Roman" w:hAnsi="Times New Roman" w:cs="Times New Roman"/>
          <w:sz w:val="24"/>
          <w:szCs w:val="24"/>
        </w:rPr>
        <w:t xml:space="preserve"> value of them.</w:t>
      </w:r>
      <w:r w:rsidR="00D834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122F" w:rsidRDefault="009C122F" w:rsidP="00A63663">
      <w:pPr>
        <w:rPr>
          <w:rFonts w:ascii="Times New Roman" w:hAnsi="Times New Roman" w:cs="Times New Roman"/>
          <w:b/>
          <w:sz w:val="24"/>
          <w:szCs w:val="24"/>
        </w:rPr>
      </w:pPr>
      <w:r w:rsidRPr="009904B3">
        <w:rPr>
          <w:rFonts w:ascii="Times New Roman" w:hAnsi="Times New Roman" w:cs="Times New Roman"/>
          <w:b/>
          <w:sz w:val="24"/>
          <w:szCs w:val="24"/>
        </w:rPr>
        <w:t>Goal:</w:t>
      </w:r>
    </w:p>
    <w:p w:rsidR="000D1603" w:rsidRPr="000D1603" w:rsidRDefault="000D160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Cohen’s kappa coefficient, we can measures the inter-rate agreement from the sample. It calculates the score of the homogeneity or consensus of among given agreement and optimize the raters by human judges</w:t>
      </w:r>
      <w:r w:rsidR="008917EA">
        <w:rPr>
          <w:rFonts w:ascii="Times New Roman" w:hAnsi="Times New Roman" w:cs="Times New Roman"/>
          <w:sz w:val="24"/>
          <w:szCs w:val="24"/>
        </w:rPr>
        <w:t>.</w:t>
      </w:r>
    </w:p>
    <w:p w:rsidR="009C122F" w:rsidRPr="009904B3" w:rsidRDefault="009904B3" w:rsidP="00A63663">
      <w:pPr>
        <w:rPr>
          <w:rFonts w:ascii="Times New Roman" w:hAnsi="Times New Roman" w:cs="Times New Roman"/>
          <w:b/>
          <w:sz w:val="24"/>
          <w:szCs w:val="24"/>
        </w:rPr>
      </w:pPr>
      <w:r w:rsidRPr="009904B3">
        <w:rPr>
          <w:rFonts w:ascii="Times New Roman" w:hAnsi="Times New Roman" w:cs="Times New Roman"/>
          <w:b/>
          <w:sz w:val="24"/>
          <w:szCs w:val="24"/>
        </w:rPr>
        <w:t>Cohen’s kappa:</w:t>
      </w:r>
    </w:p>
    <w:p w:rsidR="009C5D99" w:rsidRDefault="008917EA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Kappa value and Accuracy value forms the same simulated binary data.</w:t>
      </w:r>
      <w:r w:rsidR="00CD5848">
        <w:rPr>
          <w:rFonts w:ascii="Times New Roman" w:hAnsi="Times New Roman" w:cs="Times New Roman"/>
          <w:sz w:val="24"/>
          <w:szCs w:val="24"/>
        </w:rPr>
        <w:t xml:space="preserve"> The</w:t>
      </w:r>
      <w:r w:rsidR="009C5D99">
        <w:rPr>
          <w:rFonts w:ascii="Times New Roman" w:hAnsi="Times New Roman" w:cs="Times New Roman"/>
          <w:sz w:val="24"/>
          <w:szCs w:val="24"/>
        </w:rPr>
        <w:t xml:space="preserve"> value of the Accuracy is generated</w:t>
      </w:r>
      <w:r w:rsidR="00CD5848">
        <w:rPr>
          <w:rFonts w:ascii="Times New Roman" w:hAnsi="Times New Roman" w:cs="Times New Roman"/>
          <w:sz w:val="24"/>
          <w:szCs w:val="24"/>
        </w:rPr>
        <w:t xml:space="preserve"> </w:t>
      </w:r>
      <w:r w:rsidR="009C5D99">
        <w:rPr>
          <w:rFonts w:ascii="Times New Roman" w:hAnsi="Times New Roman" w:cs="Times New Roman"/>
          <w:sz w:val="24"/>
          <w:szCs w:val="24"/>
        </w:rPr>
        <w:t>in direct proportion to the value of Kappa. The Accuracy value of the agreement is characterized:</w:t>
      </w:r>
    </w:p>
    <w:p w:rsidR="00A63663" w:rsidRPr="009C5D99" w:rsidRDefault="009C5D99" w:rsidP="009C5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5D99">
        <w:rPr>
          <w:rFonts w:ascii="Times New Roman" w:hAnsi="Times New Roman" w:cs="Times New Roman"/>
          <w:sz w:val="24"/>
          <w:szCs w:val="24"/>
        </w:rPr>
        <w:t>0 – 0.2 as “slight”;</w:t>
      </w:r>
    </w:p>
    <w:p w:rsidR="009C5D99" w:rsidRPr="009C5D99" w:rsidRDefault="009C5D99" w:rsidP="009C5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5D99">
        <w:rPr>
          <w:rFonts w:ascii="Times New Roman" w:hAnsi="Times New Roman" w:cs="Times New Roman"/>
          <w:sz w:val="24"/>
          <w:szCs w:val="24"/>
        </w:rPr>
        <w:t>0.21 – 0.4 as “fair”;</w:t>
      </w:r>
    </w:p>
    <w:p w:rsidR="009C5D99" w:rsidRPr="009C5D99" w:rsidRDefault="009C5D99" w:rsidP="009C5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5D99">
        <w:rPr>
          <w:rFonts w:ascii="Times New Roman" w:hAnsi="Times New Roman" w:cs="Times New Roman"/>
          <w:sz w:val="24"/>
          <w:szCs w:val="24"/>
        </w:rPr>
        <w:t>0.41 – 0.6 as “moderate”;</w:t>
      </w:r>
    </w:p>
    <w:p w:rsidR="009C5D99" w:rsidRPr="009C5D99" w:rsidRDefault="009C5D99" w:rsidP="009C5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5D99">
        <w:rPr>
          <w:rFonts w:ascii="Times New Roman" w:hAnsi="Times New Roman" w:cs="Times New Roman"/>
          <w:sz w:val="24"/>
          <w:szCs w:val="24"/>
        </w:rPr>
        <w:t>0.61 – 0.8 as “substantial”;</w:t>
      </w:r>
    </w:p>
    <w:p w:rsidR="009C5D99" w:rsidRPr="009C5D99" w:rsidRDefault="009C5D99" w:rsidP="009C5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5D99">
        <w:rPr>
          <w:rFonts w:ascii="Times New Roman" w:hAnsi="Times New Roman" w:cs="Times New Roman"/>
          <w:sz w:val="24"/>
          <w:szCs w:val="24"/>
        </w:rPr>
        <w:t>0.81 – 1 as “almost perfect”</w:t>
      </w:r>
      <w:r w:rsidR="00BF1812">
        <w:rPr>
          <w:rFonts w:ascii="Times New Roman" w:hAnsi="Times New Roman" w:cs="Times New Roman"/>
          <w:sz w:val="24"/>
          <w:szCs w:val="24"/>
        </w:rPr>
        <w:t>;</w:t>
      </w:r>
    </w:p>
    <w:p w:rsidR="00282610" w:rsidRDefault="00282610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define when the Kappa value is equal to “0”, and the corresponding value of the </w:t>
      </w:r>
      <w:r w:rsidR="00F5213D">
        <w:rPr>
          <w:rFonts w:ascii="Times New Roman" w:hAnsi="Times New Roman" w:cs="Times New Roman"/>
          <w:sz w:val="24"/>
          <w:szCs w:val="24"/>
        </w:rPr>
        <w:t>accuracy is equal to “0.5”.</w:t>
      </w:r>
    </w:p>
    <w:p w:rsidR="00282610" w:rsidRDefault="00282610" w:rsidP="00A63663">
      <w:pPr>
        <w:rPr>
          <w:rFonts w:ascii="Times New Roman" w:hAnsi="Times New Roman" w:cs="Times New Roman"/>
          <w:sz w:val="24"/>
          <w:szCs w:val="24"/>
        </w:rPr>
      </w:pPr>
    </w:p>
    <w:p w:rsidR="00282610" w:rsidRDefault="00282610" w:rsidP="00A63663">
      <w:pPr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set the first 100 texts as a subset “S1”, median 100 texts as a subset “S2”, last 100 texts as a subset “S3”. 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of A1: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63663" w:rsidTr="00A6366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663" w:rsidTr="00A6366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The result of A2: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63663" w:rsidTr="00A6366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663" w:rsidTr="00A6366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63663" w:rsidTr="00A6366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76"/>
        <w:gridCol w:w="1476"/>
        <w:gridCol w:w="2952"/>
        <w:gridCol w:w="2952"/>
      </w:tblGrid>
      <w:tr w:rsidR="00A63663" w:rsidTr="00A63663">
        <w:tc>
          <w:tcPr>
            <w:tcW w:w="2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G2</w:t>
            </w:r>
          </w:p>
        </w:tc>
      </w:tr>
      <w:tr w:rsidR="00A63663" w:rsidTr="00A63663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663" w:rsidRDefault="00A636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663" w:rsidTr="00A63663"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63663" w:rsidTr="00A636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663" w:rsidRDefault="00A6366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A63663" w:rsidRDefault="00A63663" w:rsidP="00A636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4 &amp; 5: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kappa value of the IAA: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(P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/ (1 -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observed proportionate agreement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= (5+27) / 100 = 0.32;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declares “Yes” is 0.43 of the time: 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declares “Yes” is 0.35 of the time;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overall probability of random agreement 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0.43 * 0.35 + (1 – 0.43) * (1 – 0.35) = 0.521;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= (0.32 – 0.521) / (1 – 0.521) = (-) 0.42;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Q6: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of A3: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63663" w:rsidTr="00A6366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663" w:rsidTr="00A6366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A63663" w:rsidTr="00A6366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A63663" w:rsidRDefault="00A63663" w:rsidP="00A63663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76"/>
        <w:gridCol w:w="1476"/>
        <w:gridCol w:w="2952"/>
        <w:gridCol w:w="2952"/>
      </w:tblGrid>
      <w:tr w:rsidR="00A63663" w:rsidTr="00A63663">
        <w:tc>
          <w:tcPr>
            <w:tcW w:w="29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G2</w:t>
            </w:r>
          </w:p>
        </w:tc>
      </w:tr>
      <w:tr w:rsidR="00A63663" w:rsidTr="00A63663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663" w:rsidRDefault="00A636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63663" w:rsidTr="00A63663"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63663" w:rsidTr="00A636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663" w:rsidRDefault="00A6366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663" w:rsidRDefault="00A6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observed proportionate agreement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= (17+40) / 100 = 0.57;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declares “Yes” is 0.37 of the time: 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declares “Yes” is 0.4 of the time;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overall probability of random agreement 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0.37 * 0.4 + (1 – 0.37) * (1 – 0.4) = 0.526;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(0.57 – 0.526) / (1 – 0.526) = 0.093;</w:t>
      </w: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</w:p>
    <w:p w:rsidR="00A63663" w:rsidRDefault="00A63663" w:rsidP="00A63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Q7:</w:t>
      </w:r>
    </w:p>
    <w:p w:rsidR="00111BF8" w:rsidRPr="00111BF8" w:rsidRDefault="00111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S2, the kappa value of IAA is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11BF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(-) </w:t>
      </w:r>
      <w:r w:rsidRPr="00111BF8">
        <w:rPr>
          <w:rFonts w:ascii="Times New Roman" w:hAnsi="Times New Roman" w:cs="Times New Roman"/>
          <w:sz w:val="24"/>
          <w:szCs w:val="24"/>
        </w:rPr>
        <w:t>0.42</w:t>
      </w:r>
      <w:r>
        <w:rPr>
          <w:rFonts w:ascii="Times New Roman" w:hAnsi="Times New Roman" w:cs="Times New Roman"/>
          <w:sz w:val="24"/>
          <w:szCs w:val="24"/>
        </w:rPr>
        <w:t>, the according accuracy value is around 0.2.</w:t>
      </w:r>
    </w:p>
    <w:p w:rsidR="00111BF8" w:rsidRDefault="00111BF8" w:rsidP="00111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</w:t>
      </w: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the kappa value of IAA is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11BF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0.093, the according accuracy value is around 0.5. </w:t>
      </w:r>
    </w:p>
    <w:p w:rsidR="0039741F" w:rsidRPr="0039741F" w:rsidRDefault="0039741F" w:rsidP="00111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is smaller than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agreement decision in S3 is more </w:t>
      </w:r>
      <w:r w:rsidRPr="0039741F">
        <w:rPr>
          <w:rFonts w:ascii="Times New Roman" w:hAnsi="Times New Roman" w:cs="Times New Roman"/>
          <w:sz w:val="24"/>
          <w:szCs w:val="24"/>
        </w:rPr>
        <w:t>coherent</w:t>
      </w:r>
      <w:r>
        <w:rPr>
          <w:rFonts w:ascii="Times New Roman" w:hAnsi="Times New Roman" w:cs="Times New Roman"/>
          <w:sz w:val="24"/>
          <w:szCs w:val="24"/>
        </w:rPr>
        <w:t xml:space="preserve"> than the S2’s.</w:t>
      </w:r>
      <w:r w:rsidR="009E00FC">
        <w:rPr>
          <w:rFonts w:ascii="Times New Roman" w:hAnsi="Times New Roman" w:cs="Times New Roman"/>
          <w:sz w:val="24"/>
          <w:szCs w:val="24"/>
        </w:rPr>
        <w:t xml:space="preserve"> In the other words, people will have higher rate of the same opinion (either both are positive or negative) in S3 compared with S2.</w:t>
      </w:r>
      <w:bookmarkStart w:id="0" w:name="_GoBack"/>
      <w:bookmarkEnd w:id="0"/>
      <w:r w:rsidR="009E00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D23" w:rsidRDefault="00DF1D23" w:rsidP="00111BF8"/>
    <w:sectPr w:rsidR="00DF1D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3351"/>
    <w:multiLevelType w:val="hybridMultilevel"/>
    <w:tmpl w:val="F066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63"/>
    <w:rsid w:val="000D1603"/>
    <w:rsid w:val="00111BF8"/>
    <w:rsid w:val="00282610"/>
    <w:rsid w:val="0039741F"/>
    <w:rsid w:val="008917EA"/>
    <w:rsid w:val="009904B3"/>
    <w:rsid w:val="009C122F"/>
    <w:rsid w:val="009C5D99"/>
    <w:rsid w:val="009E00FC"/>
    <w:rsid w:val="00A63663"/>
    <w:rsid w:val="00BF1812"/>
    <w:rsid w:val="00CD5848"/>
    <w:rsid w:val="00D83445"/>
    <w:rsid w:val="00DF1D23"/>
    <w:rsid w:val="00F5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6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6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Haomeng</dc:creator>
  <cp:lastModifiedBy>Haomeng</cp:lastModifiedBy>
  <cp:revision>10</cp:revision>
  <dcterms:created xsi:type="dcterms:W3CDTF">2015-09-27T05:38:00Z</dcterms:created>
  <dcterms:modified xsi:type="dcterms:W3CDTF">2015-09-27T06:21:00Z</dcterms:modified>
</cp:coreProperties>
</file>