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pStyle w:val="Heading1"/></w:pPr><w:r><w:t>Detailed Journal Strategy & Implementation Plan</w:t></w:r></w:p><w:p><w:pPr><w:pStyle w:val="Heading2"/></w:pPr><w:r><w:t>1. Top-Tier Target Journal Strategy (2026 Updated)</w:t></w:r></w:p><w:p><w:r><w:t>Primary Target: The Lancet Public Health. Rationale: The journal prioritizes large-scale observational studies with direct policy implications. The shift from a purely clinical focus to 'national budget impact' perfectly aligns with their 2026 editorial priorities.</w:t></w:r></w:p><w:p><w:r><w:t>Secondary Target: JAMA Network Open. Rationale: High receptivity to rigorous causal inference methods applied to administrative data linkages.</w:t></w:r></w:p><w:p><w:pPr><w:pStyle w:val="Heading2"/></w:pPr><w:r><w:t>2. The Methodological Upgrade Plan (Execution Core)</w:t></w:r></w:p><w:p><w:r><w:t>Step 1: Implement Doubly Robust Estimators. Move away from standard GLMs. We will apply AIPW and hTMLE. This proves we are estimating a causal estimand: 'The Average Treatment Effect (ATE) of moving a population from Participation-only to Tier 3 on 12-month healthcare costs.'</w:t></w:r></w:p><w:p><w:r><w:t>Step 2: Selection Bias Correction. The 66% linkage rate is a critical vulnerability. We will use Inverse Probability of Linkage Weighting (IPLW) to calibrate the linked sample back to the original 660,604 cohort.</w:t></w:r></w:p><w:p><w:r><w:t>Step 3: Two-Part Cost Modeling. Address the zero-cost mass (people who spent 0 KRW) using a logistic/probit first stage, followed by a Gamma/Tweedie second stage for positive spenders.</w:t></w:r></w:p><w:p><w:pPr><w:pStyle w:val="Heading2"/></w:pPr><w:r><w:t>4. Policy Simulation (The 'Hook')</w:t></w:r></w:p><w:p><w:r><w:t>We will simulate an intervention: Shifting 10% of the 'Participation-only' demographic to 'Tier 3'. We will calculate the projected national savings with 95% uncertainty intervals, providing a concrete 'Budget Impact' figure that top journals crave.</w:t></w:r></w:p>  </w:body></w:document>
</file>

<file path=word/_rels/document.xml.rels><?xml version="1.0" encoding="UTF-8" standalone="yes"?>
<Relationships xmlns="http://schemas.openxmlformats.org/package/2006/relationships"/>
</file>