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<w:body>
    <w:p><w:pPr><w:pStyle w:val="Heading1"/></w:pPr><w:r><w:t>Manuscript Rewrite and Technical Checklist</w:t></w:r></w:p><w:p><w:pPr><w:pStyle w:val="Heading2"/></w:pPr><w:r><w:t>1. Abstract Rewrite Directives</w:t></w:r></w:p><w:p><w:r><w:t>Change wording from 'associated with' to 'causal estimates indicate' (post-AIPW implementation). Emphasize the monetary savings per capita and project it to the national population scale.</w:t></w:r></w:p><w:p><w:pPr><w:pStyle w:val="Heading2"/></w:pPr><w:r><w:t>2. Methods Section Restructuring</w:t></w:r></w:p><w:p><w:r><w:t>Remove cross-sectional ambiguities. Explicitly frame the study as a 'Retrospective Target Trial Emulation'.</w:t></w:r></w:p><w:p><w:r><w:t>Detail the causal assumptions: Consistency, Positivity, and Exchangeability. Provide an explicit DAG (Directed Acyclic Graph) in the supplement.</w:t></w:r></w:p><w:p><w:r><w:t>Detail the zero-cost handling and the specific inflation adjustment methodology (using 2022 medical CPI and specific exchange rates).</w:t></w:r></w:p><w:p><w:pPr><w:pStyle w:val="Heading2"/></w:pPr><w:r><w:t>3. Results Section Upgrades</w:t></w:r></w:p><w:p><w:r><w:t>Replace standard p-values with robust confidence intervals derived from bootstrapped TMLE.</w:t></w:r></w:p><w:p><w:r><w:t>Highlight the Skill-Based Fitness (SBF) findings in seniors (TUG and Figure-8 walk) as the primary driver of catastrophic cost prevention.</w:t></w:r></w:p><w:p><w:pPr><w:pStyle w:val="Heading2"/></w:pPr><w:r><w:t>4. Discussion & Limitations Refinement</w:t></w:r></w:p><w:p><w:r><w:t>Introduce the Functional Reserve-Expenditure Gradient (FREG) model. Argue that skill-based fitness represents a 'physiological buffer'.</w:t></w:r></w:p><w:p><w:r><w:t>Address unmeasured confounding using E-values (Rosenbaum sensitivity). Quantify exactly how strong an unmeasured confounder must be to negate our findings.</w:t></w:r></w:p>  </w:body></w:document>
</file>

<file path=word/_rels/document.xml.rels><?xml version="1.0" encoding="UTF-8" standalone="yes"?>
<Relationships xmlns="http://schemas.openxmlformats.org/package/2006/relationships"/>
</file>