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5CC6" w14:textId="77777777" w:rsidR="00016399" w:rsidRPr="00016399" w:rsidRDefault="00016399" w:rsidP="0001639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</w:pPr>
      <w:r w:rsidRPr="0001639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>Tutorial</w:t>
      </w:r>
      <w:r w:rsidR="00B670E3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 xml:space="preserve"> Activity </w:t>
      </w:r>
      <w:r w:rsidRPr="0001639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 xml:space="preserve">7 </w:t>
      </w:r>
    </w:p>
    <w:p w14:paraId="136AE602" w14:textId="77777777" w:rsidR="00C66B04" w:rsidRPr="00016399" w:rsidRDefault="00016399" w:rsidP="0001639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</w:pPr>
      <w:r w:rsidRPr="0001639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>Week 8</w:t>
      </w:r>
    </w:p>
    <w:p w14:paraId="0706988C" w14:textId="77777777" w:rsidR="006E40C4" w:rsidRPr="006751ED" w:rsidRDefault="006E40C4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2316E0B8" w14:textId="77777777" w:rsidR="00B670E3" w:rsidRPr="006751ED" w:rsidRDefault="00B670E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In this tutorial, the objectives are as follows: </w:t>
      </w:r>
    </w:p>
    <w:p w14:paraId="3FB7AC9D" w14:textId="77777777" w:rsidR="00B670E3" w:rsidRPr="006751ED" w:rsidRDefault="00B670E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0465DE9A" w14:textId="77777777" w:rsidR="00B670E3" w:rsidRPr="006751ED" w:rsidRDefault="00B670E3" w:rsidP="00B670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compute volatility forecasts using the conditional expectation from the theoretical model. </w:t>
      </w:r>
    </w:p>
    <w:p w14:paraId="53196C12" w14:textId="77777777" w:rsidR="00B670E3" w:rsidRPr="006751ED" w:rsidRDefault="00B670E3" w:rsidP="00B670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To practise how to generate the</w:t>
      </w:r>
      <w:r w:rsid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>return</w:t>
      </w:r>
      <w:r w:rsid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and volatility</w:t>
      </w: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 forecasts using R. </w:t>
      </w:r>
    </w:p>
    <w:p w14:paraId="1153DC3D" w14:textId="77777777" w:rsidR="00B670E3" w:rsidRPr="006751ED" w:rsidRDefault="00B670E3" w:rsidP="00B670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w:r w:rsidRPr="006751ED">
        <w:rPr>
          <w:rFonts w:ascii="Times New Roman" w:hAnsi="Times New Roman" w:cs="Times New Roman"/>
          <w:noProof/>
          <w:sz w:val="24"/>
          <w:szCs w:val="24"/>
          <w:lang w:val="ms-MY" w:eastAsia="ms-MY"/>
        </w:rPr>
        <w:t xml:space="preserve">To discuss the terms of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‘conditional variance’ and ‘unconditional variance’. </w:t>
      </w:r>
    </w:p>
    <w:p w14:paraId="5934C0A3" w14:textId="77777777" w:rsidR="00B670E3" w:rsidRDefault="00B670E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57CF1B0F" w14:textId="77777777" w:rsidR="00EE562E" w:rsidRPr="00EE562E" w:rsidRDefault="00EE562E" w:rsidP="00B670E3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ms-MY" w:eastAsia="ms-MY"/>
        </w:rPr>
      </w:pPr>
      <w:r w:rsidRPr="00EE562E">
        <w:rPr>
          <w:rFonts w:ascii="Times New Roman" w:hAnsi="Times New Roman" w:cs="Times New Roman"/>
          <w:b/>
          <w:noProof/>
          <w:sz w:val="24"/>
          <w:szCs w:val="24"/>
          <w:lang w:val="ms-MY" w:eastAsia="ms-MY"/>
        </w:rPr>
        <w:t>Recall:</w:t>
      </w:r>
    </w:p>
    <w:p w14:paraId="3F4DF33A" w14:textId="77777777" w:rsidR="00EE562E" w:rsidRDefault="00EE562E" w:rsidP="00F737F2">
      <w:pPr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2C78DDAD" w14:textId="77777777" w:rsidR="00B34CD3" w:rsidRPr="00B34CD3" w:rsidRDefault="00B34CD3" w:rsidP="00B670E3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ms-MY" w:eastAsia="ms-MY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,…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=Var(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t-1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t-2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,…)</m:t>
          </m:r>
        </m:oMath>
      </m:oMathPara>
    </w:p>
    <w:p w14:paraId="33DCF503" w14:textId="77777777" w:rsidR="00B34CD3" w:rsidRDefault="00B34CD3" w:rsidP="00F737F2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ms-MY" w:eastAsia="ms-MY"/>
        </w:rPr>
      </w:pPr>
    </w:p>
    <w:p w14:paraId="3EB052A6" w14:textId="77777777" w:rsidR="00B34CD3" w:rsidRDefault="00273BA3" w:rsidP="00B670E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4"/>
              <w:lang w:val="ms-MY" w:eastAsia="ms-MY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ms-MY" w:eastAsia="ms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ms-MY" w:eastAsia="ms-MY"/>
                    </w:rPr>
                    <m:t>t-2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ms-MY" w:eastAsia="ms-MY"/>
                </w:rPr>
                <m:t>,…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=E(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ms-MY" w:eastAsia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ms-MY" w:eastAsia="ms-MY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ms-MY" w:eastAsia="ms-MY"/>
            </w:rPr>
            <m:t>,…)</m:t>
          </m:r>
        </m:oMath>
      </m:oMathPara>
    </w:p>
    <w:p w14:paraId="0D5F8CFD" w14:textId="77777777" w:rsidR="00B34CD3" w:rsidRDefault="00B34CD3" w:rsidP="00F737F2">
      <w:pPr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25B081DB" w14:textId="77777777" w:rsidR="00EE562E" w:rsidRPr="006751ED" w:rsidRDefault="00EE562E" w:rsidP="00F737F2">
      <w:pPr>
        <w:spacing w:after="0" w:line="24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14:paraId="7F726E05" w14:textId="77777777" w:rsidR="005B3BD6" w:rsidRPr="006751ED" w:rsidRDefault="005B3BD6" w:rsidP="00A55A34">
      <w:pPr>
        <w:pStyle w:val="ListParagraph"/>
        <w:numPr>
          <w:ilvl w:val="0"/>
          <w:numId w:val="5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Consider the following </w:t>
      </w:r>
      <w:r w:rsidR="005567F3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simple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GARCH(1,1) model</w:t>
      </w:r>
    </w:p>
    <w:p w14:paraId="63F3B03F" w14:textId="77777777" w:rsidR="005B3BD6" w:rsidRPr="006751ED" w:rsidRDefault="005B3BD6" w:rsidP="00A55A34">
      <w:pPr>
        <w:tabs>
          <w:tab w:val="left" w:pos="0"/>
          <w:tab w:val="left" w:pos="54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16BD5999" w14:textId="77777777" w:rsidR="005B3BD6" w:rsidRPr="006751ED" w:rsidRDefault="00273BA3" w:rsidP="005B3BD6">
      <w:pPr>
        <w:tabs>
          <w:tab w:val="left" w:pos="0"/>
          <w:tab w:val="left" w:pos="54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=μ+δ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="005B3BD6" w:rsidRPr="006751ED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>,</w:t>
      </w:r>
    </w:p>
    <w:p w14:paraId="79230DF5" w14:textId="77777777" w:rsidR="005B3BD6" w:rsidRPr="006751ED" w:rsidRDefault="00273BA3" w:rsidP="005B3BD6">
      <w:pPr>
        <w:tabs>
          <w:tab w:val="left" w:pos="0"/>
          <w:tab w:val="left" w:pos="54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 xml:space="preserve">~N(0,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>)</m:t>
          </m:r>
        </m:oMath>
      </m:oMathPara>
    </w:p>
    <w:p w14:paraId="50DB65DE" w14:textId="77777777" w:rsidR="003D3B9F" w:rsidRPr="006751ED" w:rsidRDefault="00273BA3" w:rsidP="005B3BD6">
      <w:pPr>
        <w:tabs>
          <w:tab w:val="left" w:pos="0"/>
          <w:tab w:val="left" w:pos="540"/>
          <w:tab w:val="left" w:pos="63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231F20"/>
              <w:sz w:val="24"/>
              <w:szCs w:val="24"/>
              <w:lang w:val="ms-MY"/>
            </w:rPr>
            <m:t>=ω</m:t>
          </m:r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231F20"/>
              <w:sz w:val="24"/>
              <w:szCs w:val="24"/>
              <w:lang w:val="ms-MY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231F20"/>
                  <w:sz w:val="24"/>
                  <w:szCs w:val="24"/>
                  <w:lang w:val="ms-MY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31F20"/>
                  <w:sz w:val="24"/>
                  <w:szCs w:val="24"/>
                  <w:lang w:val="ms-MY"/>
                </w:rPr>
                <m:t>2</m:t>
              </m:r>
            </m:sup>
          </m:sSubSup>
        </m:oMath>
      </m:oMathPara>
    </w:p>
    <w:p w14:paraId="0BDFC4DA" w14:textId="77777777" w:rsidR="003D3B9F" w:rsidRPr="006751ED" w:rsidRDefault="003D3B9F" w:rsidP="00A55A3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228F9273" w14:textId="77777777" w:rsidR="00D10DAA" w:rsidRPr="006751ED" w:rsidRDefault="002A7B37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Suppose that the researcher had estimated the above GARCH model for a series of </w:t>
      </w:r>
      <w:r w:rsidR="009F592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log returns on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9F592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palm oil prices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and obtained the</w:t>
      </w:r>
      <w:r w:rsidR="00893BCB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following parameter estimates: </w:t>
      </w:r>
      <m:oMath>
        <m:acc>
          <m:acc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μ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=0.021346</m:t>
        </m:r>
      </m:oMath>
      <w:r w:rsidR="009F592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δ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=0.019630</m:t>
        </m:r>
      </m:oMath>
      <w:r w:rsidR="00893BCB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</m:ctrlPr>
          </m:acc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ω</m:t>
            </m: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=0.027095</m:t>
        </m:r>
      </m:oMath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</w:t>
      </w:r>
      <w:r w:rsidR="009F592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231F20"/>
                    <w:sz w:val="24"/>
                    <w:szCs w:val="24"/>
                    <w:lang w:val="ms-MY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  <w:lang w:val="ms-MY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=0.138111</m:t>
        </m:r>
      </m:oMath>
      <w:r w:rsidR="009F592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 and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231F20"/>
                    <w:sz w:val="24"/>
                    <w:szCs w:val="24"/>
                    <w:lang w:val="ms-MY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  <w:lang w:val="ms-MY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=0.756129</m:t>
        </m:r>
      </m:oMath>
      <w:r w:rsidR="00D10DA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  <w:r w:rsid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F737F2" w:rsidRP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Note that </w:t>
      </w:r>
      <w:r w:rsidR="00F737F2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the last five observations are omitted in the estimations for forecast</w:t>
      </w:r>
      <w:r w:rsid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performance evaluation </w:t>
      </w:r>
      <w:r w:rsidR="00F737F2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exer</w:t>
      </w:r>
      <w:r w:rsid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>c</w:t>
      </w:r>
      <w:r w:rsidR="00F737F2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ise.</w:t>
      </w:r>
      <w:r w:rsid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F737F2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Total number of available observations is 763.</w:t>
      </w:r>
      <w:r w:rsid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F737F2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Only 758 observations are used out of available 763 observations in the GARCH estimation.</w:t>
      </w:r>
    </w:p>
    <w:p w14:paraId="78F2028B" w14:textId="77777777" w:rsidR="00D10DAA" w:rsidRPr="006751ED" w:rsidRDefault="00D10DAA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7758743F" w14:textId="77777777" w:rsidR="00D10DAA" w:rsidRPr="006751ED" w:rsidRDefault="00D10DAA" w:rsidP="00A55A34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ind w:left="144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W</w:t>
      </w:r>
      <w:r w:rsidR="002A7B37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rite down a set of equations which could be employed to produce one-, two-, and three-step-ahead forecasts for the conditional variance of</w:t>
      </w:r>
      <w:r w:rsidR="00C81366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  <w:r w:rsidR="002A7B37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="002A7B37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.</w:t>
      </w: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</w:p>
    <w:p w14:paraId="17708881" w14:textId="77777777" w:rsidR="00D10DAA" w:rsidRPr="006751ED" w:rsidRDefault="00D10DAA" w:rsidP="00A55A34">
      <w:pPr>
        <w:pStyle w:val="HTMLPreformatted"/>
        <w:shd w:val="clear" w:color="auto" w:fill="FFFFFF"/>
        <w:wordWrap w:val="0"/>
        <w:spacing w:line="225" w:lineRule="atLeast"/>
        <w:ind w:left="1440" w:hanging="72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</w:p>
    <w:p w14:paraId="53317AD4" w14:textId="77777777" w:rsidR="00D10DAA" w:rsidRPr="006751ED" w:rsidRDefault="00D10DAA" w:rsidP="00A55A34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ind w:left="144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Compute the values of five </w:t>
      </w:r>
      <w:r w:rsidR="009C3279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point </w:t>
      </w:r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forecasts of conditional variance</w:t>
      </w:r>
      <w:r w:rsidR="00D4578F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of </w:t>
      </w:r>
      <m:oMath>
        <m:sSub>
          <m:sSubPr>
            <m:ctrlP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>.</w:t>
      </w:r>
      <w:r w:rsidR="00C81366" w:rsidRPr="006751ED"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  <w:t xml:space="preserve"> </w:t>
      </w:r>
    </w:p>
    <w:p w14:paraId="2C41F92C" w14:textId="77777777" w:rsidR="00D10DAA" w:rsidRPr="006751ED" w:rsidRDefault="00D10DAA" w:rsidP="00A55A34">
      <w:pPr>
        <w:pStyle w:val="HTMLPreformatted"/>
        <w:shd w:val="clear" w:color="auto" w:fill="FFFFFF"/>
        <w:wordWrap w:val="0"/>
        <w:spacing w:line="225" w:lineRule="atLeast"/>
        <w:ind w:left="720"/>
        <w:jc w:val="both"/>
        <w:rPr>
          <w:rFonts w:ascii="Times New Roman" w:eastAsiaTheme="minorHAnsi" w:hAnsi="Times New Roman" w:cs="Times New Roman"/>
          <w:color w:val="231F20"/>
          <w:sz w:val="24"/>
          <w:szCs w:val="24"/>
          <w:lang w:val="ms-MY"/>
        </w:rPr>
      </w:pPr>
    </w:p>
    <w:p w14:paraId="7A00E4DF" w14:textId="77777777" w:rsidR="00832B67" w:rsidRPr="006751ED" w:rsidRDefault="00832B67" w:rsidP="00A55A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0F5941B1" w14:textId="77777777" w:rsidR="0009448A" w:rsidRPr="006751ED" w:rsidRDefault="0009448A" w:rsidP="00A55A34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 xml:space="preserve">Table 1: </w:t>
      </w:r>
      <w:r w:rsidR="00D4578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Last 3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values of log returns, residuals, and conditional standard deviation series</w:t>
      </w:r>
      <w:r w:rsidR="00D4578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after the estimation using 758 observations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  <w:r w:rsidR="00D10DAA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</w:p>
    <w:p w14:paraId="6E39CE62" w14:textId="77777777" w:rsidR="0009448A" w:rsidRPr="006751ED" w:rsidRDefault="0009448A" w:rsidP="00F737F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980"/>
        <w:gridCol w:w="1980"/>
        <w:gridCol w:w="1916"/>
        <w:gridCol w:w="2422"/>
      </w:tblGrid>
      <w:tr w:rsidR="0063632C" w:rsidRPr="006751ED" w14:paraId="3EC509DC" w14:textId="77777777" w:rsidTr="00A55A34">
        <w:tc>
          <w:tcPr>
            <w:tcW w:w="1980" w:type="dxa"/>
          </w:tcPr>
          <w:p w14:paraId="3AAF7073" w14:textId="77777777"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Observations</w:t>
            </w:r>
          </w:p>
        </w:tc>
        <w:tc>
          <w:tcPr>
            <w:tcW w:w="1980" w:type="dxa"/>
          </w:tcPr>
          <w:p w14:paraId="7779C683" w14:textId="77777777"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Returns</w:t>
            </w:r>
          </w:p>
        </w:tc>
        <w:tc>
          <w:tcPr>
            <w:tcW w:w="1916" w:type="dxa"/>
          </w:tcPr>
          <w:p w14:paraId="15C18E85" w14:textId="77777777"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Residuals</w:t>
            </w:r>
          </w:p>
        </w:tc>
        <w:tc>
          <w:tcPr>
            <w:tcW w:w="2422" w:type="dxa"/>
          </w:tcPr>
          <w:p w14:paraId="3D8552C4" w14:textId="77777777" w:rsidR="0063632C" w:rsidRPr="006751ED" w:rsidRDefault="0063632C" w:rsidP="00094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ms-MY"/>
              </w:rPr>
              <w:t>Conditional standard deviation</w:t>
            </w:r>
          </w:p>
        </w:tc>
      </w:tr>
      <w:tr w:rsidR="0063632C" w:rsidRPr="006751ED" w14:paraId="40CFA2AD" w14:textId="77777777" w:rsidTr="00A55A34">
        <w:tc>
          <w:tcPr>
            <w:tcW w:w="1980" w:type="dxa"/>
          </w:tcPr>
          <w:p w14:paraId="281822E7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756</w:t>
            </w:r>
          </w:p>
        </w:tc>
        <w:tc>
          <w:tcPr>
            <w:tcW w:w="1980" w:type="dxa"/>
          </w:tcPr>
          <w:p w14:paraId="40FFB390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-0.175419872</w:t>
            </w:r>
          </w:p>
        </w:tc>
        <w:tc>
          <w:tcPr>
            <w:tcW w:w="1916" w:type="dxa"/>
          </w:tcPr>
          <w:p w14:paraId="2C986545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-0.1907061830</w:t>
            </w:r>
          </w:p>
        </w:tc>
        <w:tc>
          <w:tcPr>
            <w:tcW w:w="2422" w:type="dxa"/>
          </w:tcPr>
          <w:p w14:paraId="6D71C641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0.4430412</w:t>
            </w:r>
          </w:p>
        </w:tc>
      </w:tr>
      <w:tr w:rsidR="0063632C" w:rsidRPr="006751ED" w14:paraId="3EBE7647" w14:textId="77777777" w:rsidTr="00A55A34">
        <w:tc>
          <w:tcPr>
            <w:tcW w:w="1980" w:type="dxa"/>
          </w:tcPr>
          <w:p w14:paraId="78A09272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757</w:t>
            </w:r>
          </w:p>
        </w:tc>
        <w:tc>
          <w:tcPr>
            <w:tcW w:w="1980" w:type="dxa"/>
          </w:tcPr>
          <w:p w14:paraId="431F2A2E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-0.418491763</w:t>
            </w:r>
          </w:p>
        </w:tc>
        <w:tc>
          <w:tcPr>
            <w:tcW w:w="1916" w:type="dxa"/>
          </w:tcPr>
          <w:p w14:paraId="1DA20FD6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-0.4359749185</w:t>
            </w:r>
          </w:p>
        </w:tc>
        <w:tc>
          <w:tcPr>
            <w:tcW w:w="2422" w:type="dxa"/>
          </w:tcPr>
          <w:p w14:paraId="6D465882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0.4248941</w:t>
            </w:r>
          </w:p>
        </w:tc>
      </w:tr>
      <w:tr w:rsidR="0063632C" w:rsidRPr="006751ED" w14:paraId="79045FA7" w14:textId="77777777" w:rsidTr="00A55A34">
        <w:tc>
          <w:tcPr>
            <w:tcW w:w="1980" w:type="dxa"/>
          </w:tcPr>
          <w:p w14:paraId="2BCC4FCB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758</w:t>
            </w:r>
          </w:p>
        </w:tc>
        <w:tc>
          <w:tcPr>
            <w:tcW w:w="1980" w:type="dxa"/>
          </w:tcPr>
          <w:p w14:paraId="581DFBF5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0.180957995</w:t>
            </w:r>
          </w:p>
        </w:tc>
        <w:tc>
          <w:tcPr>
            <w:tcW w:w="1916" w:type="dxa"/>
          </w:tcPr>
          <w:p w14:paraId="1157BE59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0.16824626660</w:t>
            </w:r>
          </w:p>
        </w:tc>
        <w:tc>
          <w:tcPr>
            <w:tcW w:w="2422" w:type="dxa"/>
          </w:tcPr>
          <w:p w14:paraId="6E2E15BA" w14:textId="77777777" w:rsidR="0063632C" w:rsidRPr="006751ED" w:rsidRDefault="0063632C" w:rsidP="00094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</w:pPr>
            <w:r w:rsidRPr="006751ED">
              <w:rPr>
                <w:rFonts w:ascii="Times New Roman" w:hAnsi="Times New Roman" w:cs="Times New Roman"/>
                <w:color w:val="231F20"/>
                <w:sz w:val="24"/>
                <w:szCs w:val="24"/>
                <w:lang w:val="ms-MY"/>
              </w:rPr>
              <w:t>0.4357224</w:t>
            </w:r>
          </w:p>
        </w:tc>
      </w:tr>
    </w:tbl>
    <w:p w14:paraId="37D676D7" w14:textId="77777777" w:rsidR="0063632C" w:rsidRPr="006751ED" w:rsidRDefault="0063632C" w:rsidP="00F7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09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3999E29C" w14:textId="77777777" w:rsidR="00B670E3" w:rsidRPr="006751ED" w:rsidRDefault="00B670E3" w:rsidP="00F737F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5F973F9B" w14:textId="77777777" w:rsidR="00C81366" w:rsidRPr="006751ED" w:rsidRDefault="00C81366" w:rsidP="00A55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Suppose now that the coefficient estimate of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231F20"/>
                    <w:sz w:val="24"/>
                    <w:szCs w:val="24"/>
                    <w:lang w:val="ms-MY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  <w:lang w:val="ms-MY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</m:oMath>
      <w:r w:rsidRPr="006751ED">
        <w:rPr>
          <w:rFonts w:ascii="Times New Roman" w:eastAsia="RMTMI" w:hAnsi="Times New Roman" w:cs="Times New Roman"/>
          <w:i/>
          <w:iCs/>
          <w:color w:val="231F20"/>
          <w:sz w:val="24"/>
          <w:szCs w:val="24"/>
          <w:lang w:val="ms-MY"/>
        </w:rPr>
        <w:t xml:space="preserve"> </w:t>
      </w:r>
      <w:r w:rsidR="003D3B9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for this model is 0.95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instead. By reconsidering the forecast ex</w:t>
      </w:r>
      <w:r w:rsidR="00016399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pressions you derived in </w:t>
      </w:r>
      <w:r w:rsidR="00016399"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>part (a</w:t>
      </w: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>)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 explain what would happen to the forecasts in this case.</w:t>
      </w:r>
    </w:p>
    <w:p w14:paraId="486FFB58" w14:textId="77777777" w:rsidR="000E7D15" w:rsidRPr="006751ED" w:rsidRDefault="000E7D15" w:rsidP="000E7D1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0B0A373D" w14:textId="77777777" w:rsidR="000E7D15" w:rsidRPr="006751ED" w:rsidRDefault="000E7D15" w:rsidP="00A55A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Demonstrate volatility forecasting in R. </w:t>
      </w:r>
    </w:p>
    <w:p w14:paraId="21F5D197" w14:textId="77777777" w:rsidR="00C81366" w:rsidRDefault="00C81366" w:rsidP="00F737F2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6E764AB2" w14:textId="77777777" w:rsidR="00EE562E" w:rsidRPr="006751ED" w:rsidRDefault="00EE562E" w:rsidP="00EE562E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b/>
          <w:color w:val="231F20"/>
          <w:sz w:val="24"/>
          <w:szCs w:val="24"/>
          <w:lang w:val="ms-MY"/>
        </w:rPr>
        <w:t xml:space="preserve">Student activity: </w:t>
      </w:r>
    </w:p>
    <w:p w14:paraId="4B1C7B62" w14:textId="77777777" w:rsidR="00EE562E" w:rsidRPr="006751ED" w:rsidRDefault="00EE562E" w:rsidP="00F737F2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43BA9D94" w14:textId="77777777" w:rsidR="003C5484" w:rsidRDefault="00EE562E" w:rsidP="00EE562E">
      <w:pPr>
        <w:pStyle w:val="ListParagraph"/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Generate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retur</w:t>
      </w:r>
    </w:p>
    <w:p w14:paraId="1EB64E06" w14:textId="50ED8957" w:rsidR="00EE562E" w:rsidRPr="006751ED" w:rsidRDefault="00EE562E" w:rsidP="00EE562E">
      <w:pPr>
        <w:pStyle w:val="ListParagraph"/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bookmarkStart w:id="0" w:name="_GoBack"/>
      <w:bookmarkEnd w:id="0"/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n and volatility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forecasts in R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for times 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t+1</m:t>
        </m:r>
      </m:oMath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, 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t+2</m:t>
        </m:r>
      </m:oMath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 ...,</w:t>
      </w:r>
      <w:r w:rsidRPr="006751ED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t+10</m:t>
        </m:r>
      </m:oMath>
      <w:r w:rsidRPr="006751ED"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,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using the estimated</w:t>
      </w:r>
      <w:r w:rsidR="00F737F2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AR(1)-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GARCH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(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1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,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1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)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model.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Note that the number of holdout sample observations has to be 10 in this </w:t>
      </w:r>
      <w:r w:rsidRPr="003D684A">
        <w:rPr>
          <w:rFonts w:ascii="Times New Roman" w:hAnsi="Times New Roman" w:cs="Times New Roman"/>
          <w:color w:val="231F20"/>
          <w:sz w:val="24"/>
          <w:szCs w:val="24"/>
        </w:rPr>
        <w:t>exercise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</w:p>
    <w:p w14:paraId="52DBF37A" w14:textId="77777777" w:rsidR="00EE562E" w:rsidRDefault="00EE562E" w:rsidP="00F737F2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5B186B1B" w14:textId="77777777" w:rsidR="00F737F2" w:rsidRDefault="00F737F2" w:rsidP="00F737F2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52D1D834" w14:textId="77777777" w:rsidR="00EE562E" w:rsidRPr="006751ED" w:rsidRDefault="00EE562E" w:rsidP="00F737F2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57602439" w14:textId="77777777" w:rsidR="00C81366" w:rsidRPr="006751ED" w:rsidRDefault="00C81366" w:rsidP="00A55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Distinguish between the terms </w:t>
      </w:r>
      <w:r w:rsidR="00934447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‘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conditional variance’ and ‘unconditional</w:t>
      </w:r>
      <w:r w:rsidR="00933C58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="003D3B9F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variance’. Which of the </w:t>
      </w: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two is more likely to be relevant for producing:</w:t>
      </w:r>
    </w:p>
    <w:p w14:paraId="1E5A76AD" w14:textId="77777777" w:rsidR="00933C58" w:rsidRPr="006751ED" w:rsidRDefault="00933C58" w:rsidP="00A55A34">
      <w:pPr>
        <w:autoSpaceDE w:val="0"/>
        <w:autoSpaceDN w:val="0"/>
        <w:adjustRightInd w:val="0"/>
        <w:spacing w:after="0" w:line="240" w:lineRule="auto"/>
        <w:ind w:left="1440" w:hanging="630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14:paraId="0F8787C5" w14:textId="77777777" w:rsidR="00C81366" w:rsidRPr="006751ED" w:rsidRDefault="00C81366" w:rsidP="00A55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one-step-ahead volatility forecasts</w:t>
      </w:r>
      <w:r w:rsidR="00A55A34"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.</w:t>
      </w:r>
    </w:p>
    <w:p w14:paraId="5D703787" w14:textId="77777777" w:rsidR="00C81366" w:rsidRPr="006751ED" w:rsidRDefault="00C81366" w:rsidP="00A55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751ED">
        <w:rPr>
          <w:rFonts w:ascii="Times New Roman" w:hAnsi="Times New Roman" w:cs="Times New Roman"/>
          <w:color w:val="231F20"/>
          <w:sz w:val="24"/>
          <w:szCs w:val="24"/>
          <w:lang w:val="ms-MY"/>
        </w:rPr>
        <w:t>twenty-step-ahead volatility forecasts.</w:t>
      </w:r>
    </w:p>
    <w:p w14:paraId="350F2144" w14:textId="77777777" w:rsidR="00933C58" w:rsidRPr="006751ED" w:rsidRDefault="00933C58" w:rsidP="00E07CC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sectPr w:rsidR="00933C58" w:rsidRPr="006751ED" w:rsidSect="00893BCB">
      <w:pgSz w:w="11906" w:h="16838"/>
      <w:pgMar w:top="1417" w:right="137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MTM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05D"/>
    <w:multiLevelType w:val="hybridMultilevel"/>
    <w:tmpl w:val="0186E9F2"/>
    <w:lvl w:ilvl="0" w:tplc="6ED430D6">
      <w:start w:val="1"/>
      <w:numFmt w:val="lowerLetter"/>
      <w:lvlText w:val="%1)"/>
      <w:lvlJc w:val="left"/>
      <w:pPr>
        <w:ind w:left="720" w:hanging="360"/>
      </w:pPr>
      <w:rPr>
        <w:rFonts w:ascii="Bembo" w:hAnsi="Bembo" w:cs="Bembo" w:hint="default"/>
        <w:color w:val="231F2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21CC"/>
    <w:multiLevelType w:val="hybridMultilevel"/>
    <w:tmpl w:val="72FCC484"/>
    <w:lvl w:ilvl="0" w:tplc="65A4CF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742E2"/>
    <w:multiLevelType w:val="hybridMultilevel"/>
    <w:tmpl w:val="0A221716"/>
    <w:lvl w:ilvl="0" w:tplc="DC7CFE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6347"/>
    <w:multiLevelType w:val="hybridMultilevel"/>
    <w:tmpl w:val="A022B390"/>
    <w:lvl w:ilvl="0" w:tplc="86BA22E8">
      <w:start w:val="1"/>
      <w:numFmt w:val="lowerLetter"/>
      <w:lvlText w:val="(%1)"/>
      <w:lvlJc w:val="left"/>
      <w:pPr>
        <w:ind w:left="720" w:hanging="360"/>
      </w:pPr>
      <w:rPr>
        <w:rFonts w:ascii="Bembo" w:hAnsi="Bembo" w:cs="Bembo" w:hint="default"/>
        <w:color w:val="231F2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031FA"/>
    <w:multiLevelType w:val="hybridMultilevel"/>
    <w:tmpl w:val="4016F8A0"/>
    <w:lvl w:ilvl="0" w:tplc="5B32013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5F701284"/>
    <w:multiLevelType w:val="hybridMultilevel"/>
    <w:tmpl w:val="743EED9E"/>
    <w:lvl w:ilvl="0" w:tplc="4CC46C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060AA"/>
    <w:multiLevelType w:val="hybridMultilevel"/>
    <w:tmpl w:val="096CED58"/>
    <w:lvl w:ilvl="0" w:tplc="E9866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36"/>
    <w:rsid w:val="00016399"/>
    <w:rsid w:val="0009448A"/>
    <w:rsid w:val="000E6918"/>
    <w:rsid w:val="000E7D15"/>
    <w:rsid w:val="001E204B"/>
    <w:rsid w:val="00273BA3"/>
    <w:rsid w:val="002A7B37"/>
    <w:rsid w:val="003C5484"/>
    <w:rsid w:val="003D3B9F"/>
    <w:rsid w:val="003D684A"/>
    <w:rsid w:val="00440FAA"/>
    <w:rsid w:val="00490E02"/>
    <w:rsid w:val="005567F3"/>
    <w:rsid w:val="005B3BD6"/>
    <w:rsid w:val="0063632C"/>
    <w:rsid w:val="006751ED"/>
    <w:rsid w:val="006E40C4"/>
    <w:rsid w:val="007967DD"/>
    <w:rsid w:val="00832B67"/>
    <w:rsid w:val="008376B4"/>
    <w:rsid w:val="00893BCB"/>
    <w:rsid w:val="00933C58"/>
    <w:rsid w:val="00934447"/>
    <w:rsid w:val="009C3279"/>
    <w:rsid w:val="009F592A"/>
    <w:rsid w:val="00A16AFB"/>
    <w:rsid w:val="00A55A34"/>
    <w:rsid w:val="00B34CD3"/>
    <w:rsid w:val="00B638D2"/>
    <w:rsid w:val="00B670E3"/>
    <w:rsid w:val="00BB3A4E"/>
    <w:rsid w:val="00C66B04"/>
    <w:rsid w:val="00C81366"/>
    <w:rsid w:val="00D10DAA"/>
    <w:rsid w:val="00D21CAA"/>
    <w:rsid w:val="00D4578F"/>
    <w:rsid w:val="00D7716A"/>
    <w:rsid w:val="00DD5D77"/>
    <w:rsid w:val="00DF6D1C"/>
    <w:rsid w:val="00E07CCD"/>
    <w:rsid w:val="00EE562E"/>
    <w:rsid w:val="00F737F2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D5F4"/>
  <w15:docId w15:val="{42DC9E70-68F1-4257-A5B7-D2EB055D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0C4"/>
    <w:rPr>
      <w:color w:val="808080"/>
    </w:rPr>
  </w:style>
  <w:style w:type="paragraph" w:styleId="ListParagraph">
    <w:name w:val="List Paragraph"/>
    <w:basedOn w:val="Normal"/>
    <w:uiPriority w:val="34"/>
    <w:qFormat/>
    <w:rsid w:val="00933C58"/>
    <w:pPr>
      <w:ind w:left="720"/>
      <w:contextualSpacing/>
    </w:pPr>
  </w:style>
  <w:style w:type="table" w:styleId="TableGrid">
    <w:name w:val="Table Grid"/>
    <w:basedOn w:val="TableNormal"/>
    <w:uiPriority w:val="39"/>
    <w:rsid w:val="000E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AA"/>
    <w:rPr>
      <w:rFonts w:ascii="Tahoma" w:hAnsi="Tahoma" w:cs="Tahoma"/>
      <w:sz w:val="16"/>
      <w:szCs w:val="16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92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Ryu Uezato</cp:lastModifiedBy>
  <cp:revision>18</cp:revision>
  <dcterms:created xsi:type="dcterms:W3CDTF">2016-09-18T01:04:00Z</dcterms:created>
  <dcterms:modified xsi:type="dcterms:W3CDTF">2018-11-11T05:36:00Z</dcterms:modified>
</cp:coreProperties>
</file>