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44"/>
            <w:shd w:fill="D63C00"/>
            <w:tcBorders>
              <w:top w:val="single" w:sz="2" w:color="D63C00"/>
              <w:left w:val="single" w:sz="2" w:color="D63C00"/>
              <w:bottom w:val="single" w:sz="2" w:color="D63C00"/>
              <w:right w:val="single" w:sz="2" w:color="D63C00"/>
            </w:tcBorders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7557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elo_white_symbo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55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shd w:fill="D63C00"/>
            <w:tcBorders>
              <w:top w:val="single" w:sz="2" w:color="D63C00"/>
              <w:left w:val="single" w:sz="2" w:color="D63C00"/>
              <w:bottom w:val="single" w:sz="2" w:color="D63C00"/>
              <w:right w:val="single" w:sz="2" w:color="D63C00"/>
            </w:tcBorders>
            <w:tcMar>
              <w:top w:w="160" w:type="dxa"/>
              <w:start w:w="140" w:type="dxa"/>
              <w:bottom w:w="160" w:type="dxa"/>
              <w:end w:w="140" w:type="dxa"/>
            </w:tcMar>
          </w:tcPr>
          <w:p>
            <w:pPr>
              <w:jc w:val="left"/>
            </w:pPr>
            <w:r>
              <w:rPr>
                <w:rFonts w:ascii="Nunito Sans" w:hAnsi="Nunito Sans" w:eastAsia="Nunito Sans"/>
                <w:b/>
                <w:color w:val="FFFFFF"/>
                <w:sz w:val="42"/>
              </w:rPr>
              <w:t>COELO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/>
                <w:color w:val="FFFFFF"/>
                <w:sz w:val="36"/>
              </w:rPr>
              <w:t>Mapa de Domínios Oficial v1</w:t>
            </w:r>
          </w:p>
          <w:p>
            <w:r>
              <w:rPr>
                <w:rFonts w:ascii="Nunito Sans" w:hAnsi="Nunito Sans" w:eastAsia="Nunito Sans"/>
                <w:color w:val="FFFFFF"/>
                <w:sz w:val="19"/>
              </w:rPr>
              <w:t>Produto completo · MVP/v1 · roadmap · bounded contexts</w:t>
            </w:r>
          </w:p>
        </w:tc>
      </w:tr>
    </w:tbl>
    <w:p>
      <w:pPr>
        <w:spacing w:after="160"/>
        <w:jc w:val="right"/>
      </w:pPr>
      <w:r>
        <w:rPr>
          <w:rFonts w:ascii="Nunito Sans" w:hAnsi="Nunito Sans" w:eastAsia="Nunito Sans"/>
          <w:color w:val="737B80"/>
          <w:sz w:val="16"/>
        </w:rPr>
        <w:t>Versão: v1.0  |  Data: 21/06/2026  |  Status: Draft oficial para validação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FFF3EE"/>
            <w:tcBorders>
              <w:top w:val="single" w:sz="10" w:color="D63C00"/>
              <w:left w:val="single" w:sz="10" w:color="D63C00"/>
              <w:bottom w:val="single" w:sz="10" w:color="D63C00"/>
              <w:right w:val="single" w:sz="10" w:color="D63C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unito Sans" w:hAnsi="Nunito Sans" w:eastAsia="Nunito Sans"/>
                <w:b/>
                <w:color w:val="B83300"/>
                <w:sz w:val="20"/>
              </w:rPr>
              <w:t>Visão do mapa</w:t>
            </w:r>
          </w:p>
          <w:p>
            <w:pPr>
              <w:spacing w:after="0" w:line="252" w:lineRule="auto"/>
            </w:pPr>
            <w:r>
              <w:rPr>
                <w:rFonts w:ascii="Nunito Sans" w:hAnsi="Nunito Sans" w:eastAsia="Nunito Sans"/>
                <w:color w:val="1C2022"/>
                <w:sz w:val="17"/>
              </w:rPr>
              <w:t>Organizar o Coelo em domínios e contextos com responsabilidades, fontes oficiais, dependências e eventos claros, preservando manutenção independente sem fragmentar a experiência do usuário.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24"/>
            <w:shd w:fill="FFF3EE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unito Sans" w:hAnsi="Nunito Sans" w:eastAsia="Nunito Sans"/>
                <w:b/>
                <w:color w:val="B83300"/>
                <w:sz w:val="17"/>
              </w:rPr>
              <w:t>Simples como Airbnb</w:t>
            </w:r>
          </w:p>
          <w:p>
            <w:pPr>
              <w:jc w:val="center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Fronteiras compreensíveis e arquitetura pragmática.</w:t>
            </w:r>
          </w:p>
        </w:tc>
        <w:tc>
          <w:tcPr>
            <w:tcW w:type="dxa" w:w="3024"/>
            <w:shd w:fill="FFF3EE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unito Sans" w:hAnsi="Nunito Sans" w:eastAsia="Nunito Sans"/>
                <w:b/>
                <w:color w:val="B83300"/>
                <w:sz w:val="17"/>
              </w:rPr>
              <w:t>Visual como Instagram</w:t>
            </w:r>
          </w:p>
          <w:p>
            <w:pPr>
              <w:jc w:val="center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Flow, Now e Moments unidos na experiência, separados no domínio.</w:t>
            </w:r>
          </w:p>
        </w:tc>
        <w:tc>
          <w:tcPr>
            <w:tcW w:type="dxa" w:w="3024"/>
            <w:shd w:fill="FFF3EE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unito Sans" w:hAnsi="Nunito Sans" w:eastAsia="Nunito Sans"/>
                <w:b/>
                <w:color w:val="B83300"/>
                <w:sz w:val="17"/>
              </w:rPr>
              <w:t>Confiável como escola</w:t>
            </w:r>
          </w:p>
          <w:p>
            <w:pPr>
              <w:jc w:val="center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Privacidade, autorização e auditoria desde o desenho.</w:t>
            </w:r>
          </w:p>
        </w:tc>
      </w:tr>
    </w:tbl>
    <w:p>
      <w:pPr>
        <w:spacing w:before="240"/>
        <w:jc w:val="center"/>
      </w:pPr>
      <w:r>
        <w:rPr>
          <w:rFonts w:ascii="Nunito Sans" w:hAnsi="Nunito Sans" w:eastAsia="Nunito Sans"/>
          <w:i/>
          <w:color w:val="596166"/>
          <w:sz w:val="16"/>
        </w:rPr>
        <w:t>Documento derivado do Product Vision, PRD Master, PRDs especializados, Modelo de Dados Master e decisões validadas pelo fundador.</w:t>
      </w:r>
    </w:p>
    <w:p>
      <w:r>
        <w:br w:type="page"/>
      </w: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Resumo executivo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Este documento transforma a lista inicial de módulos do Coelo em um mapa de domínios orientado por Domain-Driven Design. Cada bounded context possui uma responsabilidade, uma fonte oficial de dados e contratos claros com os demais contextos.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A principal decisão estrutural é separar Flow, Now e Moments como contextos independentes dentro do macrodomínio Experiência Social. Eles continuam compostos na mesma tela do aplicativo, mas podem evoluir, receber manutenção e ser liberados por plano de forma independente.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FFF3EE"/>
            <w:tcBorders>
              <w:top w:val="single" w:sz="10" w:color="D63C00"/>
              <w:left w:val="single" w:sz="10" w:color="D63C00"/>
              <w:bottom w:val="single" w:sz="10" w:color="D63C00"/>
              <w:right w:val="single" w:sz="10" w:color="D63C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unito Sans" w:hAnsi="Nunito Sans" w:eastAsia="Nunito Sans"/>
                <w:b/>
                <w:color w:val="B83300"/>
                <w:sz w:val="20"/>
              </w:rPr>
              <w:t>Decisão central</w:t>
            </w:r>
          </w:p>
          <w:p>
            <w:pPr>
              <w:spacing w:after="0" w:line="252" w:lineRule="auto"/>
            </w:pPr>
            <w:r>
              <w:rPr>
                <w:rFonts w:ascii="Nunito Sans" w:hAnsi="Nunito Sans" w:eastAsia="Nunito Sans"/>
                <w:color w:val="1C2022"/>
                <w:sz w:val="17"/>
              </w:rPr>
              <w:t>Mesma tela não significa mesmo domínio. A interface pode compor Flow, Now e Moments, enquanto cada módulo preserva seu ciclo de vida, regras, tabelas e feature entitlement.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O mapa cobre o produto completo e marca o estágio de cada contexto: MVP, MVP limitado, próxima fase ou futuro. A recomendação inicial não é criar dezenas de microserviços, mas construir um monólito modular/monorepo com fronteiras verificáveis, migrations organizadas e comunicação por serviços de aplicação e eventos.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Decisões validadas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88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7056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Decisão oficial v1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Escopo</w:t>
            </w:r>
          </w:p>
        </w:tc>
        <w:tc>
          <w:tcPr>
            <w:tcW w:type="dxa" w:w="70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Produto completo, destacando MVP e roadmap futuro.</w:t>
            </w:r>
          </w:p>
        </w:tc>
      </w:tr>
      <w:tr>
        <w:trPr>
          <w:cantSplit/>
        </w:trPr>
        <w:tc>
          <w:tcPr>
            <w:tcW w:type="dxa" w:w="20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Flow, Now e Moments</w:t>
            </w:r>
          </w:p>
        </w:tc>
        <w:tc>
          <w:tcPr>
            <w:tcW w:type="dxa" w:w="70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Contextos separados dentro do macrodomínio Experiência Social; composição conjunta no App.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Planos</w:t>
            </w:r>
          </w:p>
        </w:tc>
        <w:tc>
          <w:tcPr>
            <w:tcW w:type="dxa" w:w="70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Acesso por feature code/entitlement, permitindo combinações como Basic com Flow e Master com Flow + Now + Moments.</w:t>
            </w:r>
          </w:p>
        </w:tc>
      </w:tr>
      <w:tr>
        <w:trPr>
          <w:cantSplit/>
        </w:trPr>
        <w:tc>
          <w:tcPr>
            <w:tcW w:type="dxa" w:w="20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Rotina</w:t>
            </w:r>
          </w:p>
        </w:tc>
        <w:tc>
          <w:tcPr>
            <w:tcW w:type="dxa" w:w="70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Rotina diária separada de Saúde e Ocorrências Sensíveis.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Agenda</w:t>
            </w:r>
          </w:p>
        </w:tc>
        <w:tc>
          <w:tcPr>
            <w:tcW w:type="dxa" w:w="70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Agenda separada de Autorizações; integração por referência e eventos.</w:t>
            </w:r>
          </w:p>
        </w:tc>
      </w:tr>
      <w:tr>
        <w:trPr>
          <w:cantSplit/>
        </w:trPr>
        <w:tc>
          <w:tcPr>
            <w:tcW w:type="dxa" w:w="20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Futuro</w:t>
            </w:r>
          </w:p>
        </w:tc>
        <w:tc>
          <w:tcPr>
            <w:tcW w:type="dxa" w:w="70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Cobrança, matrícula, integrações, IA, BI e white-label aparecem como contextos futuros.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Como ler este documento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Domínio: área ampla do negócio que agrupa capacidades relacionadas.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Bounded context: limite no qual termos, regras e modelo são consistentes.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Fonte oficial: contexto que pode criar e alterar o dado mestre.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Evento publicado: fato ocorrido que outros contextos podem consumir sem escrever diretamente nas tabelas do dono.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Core: diferencial estratégico; Supporting: viabiliza o core; Generic: capacidade comum de mercado.</w:t>
      </w: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Sumário executivo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720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8424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Seção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1</w:t>
            </w:r>
          </w:p>
        </w:tc>
        <w:tc>
          <w:tcPr>
            <w:tcW w:type="dxa" w:w="842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Objetivo, escopo e princípios</w:t>
            </w:r>
          </w:p>
        </w:tc>
      </w:tr>
      <w:tr>
        <w:trPr>
          <w:cantSplit/>
        </w:trPr>
        <w:tc>
          <w:tcPr>
            <w:tcW w:type="dxa" w:w="72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2</w:t>
            </w:r>
          </w:p>
        </w:tc>
        <w:tc>
          <w:tcPr>
            <w:tcW w:type="dxa" w:w="842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Mapa geral dos domínios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3</w:t>
            </w:r>
          </w:p>
        </w:tc>
        <w:tc>
          <w:tcPr>
            <w:tcW w:type="dxa" w:w="842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Classificação e roadmap</w:t>
            </w:r>
          </w:p>
        </w:tc>
      </w:tr>
      <w:tr>
        <w:trPr>
          <w:cantSplit/>
        </w:trPr>
        <w:tc>
          <w:tcPr>
            <w:tcW w:type="dxa" w:w="72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4</w:t>
            </w:r>
          </w:p>
        </w:tc>
        <w:tc>
          <w:tcPr>
            <w:tcW w:type="dxa" w:w="842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Decisão estrutural: Flow, Now e Moments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5</w:t>
            </w:r>
          </w:p>
        </w:tc>
        <w:tc>
          <w:tcPr>
            <w:tcW w:type="dxa" w:w="842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Context map e regras de relacionamento</w:t>
            </w:r>
          </w:p>
        </w:tc>
      </w:tr>
      <w:tr>
        <w:trPr>
          <w:cantSplit/>
        </w:trPr>
        <w:tc>
          <w:tcPr>
            <w:tcW w:type="dxa" w:w="72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6</w:t>
            </w:r>
          </w:p>
        </w:tc>
        <w:tc>
          <w:tcPr>
            <w:tcW w:type="dxa" w:w="842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Catálogo detalhado dos bounded contexts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7</w:t>
            </w:r>
          </w:p>
        </w:tc>
        <w:tc>
          <w:tcPr>
            <w:tcW w:type="dxa" w:w="842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Fonte oficial e eventos</w:t>
            </w:r>
          </w:p>
        </w:tc>
      </w:tr>
      <w:tr>
        <w:trPr>
          <w:cantSplit/>
        </w:trPr>
        <w:tc>
          <w:tcPr>
            <w:tcW w:type="dxa" w:w="72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8</w:t>
            </w:r>
          </w:p>
        </w:tc>
        <w:tc>
          <w:tcPr>
            <w:tcW w:type="dxa" w:w="842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Entitlements e modularidade comercial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9</w:t>
            </w:r>
          </w:p>
        </w:tc>
        <w:tc>
          <w:tcPr>
            <w:tcW w:type="dxa" w:w="842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Arquitetura recomendada</w:t>
            </w:r>
          </w:p>
        </w:tc>
      </w:tr>
      <w:tr>
        <w:trPr>
          <w:cantSplit/>
        </w:trPr>
        <w:tc>
          <w:tcPr>
            <w:tcW w:type="dxa" w:w="72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10</w:t>
            </w:r>
          </w:p>
        </w:tc>
        <w:tc>
          <w:tcPr>
            <w:tcW w:type="dxa" w:w="842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Critérios de aceite e próximos passos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11</w:t>
            </w:r>
          </w:p>
        </w:tc>
        <w:tc>
          <w:tcPr>
            <w:tcW w:type="dxa" w:w="842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Fontes e referências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1. Objetivo, escopo e princípios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1.1 Objetivo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Criar uma linguagem comum entre produto, design, engenharia, dados, segurança, jurídico, operações e agentes de coding. O mapa reduz duplicidade de tabelas, regras conflitantes e dependências invisíveis entre Superadmin, Admin e App.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1.2 O que este mapa é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Mapa estratégico de capacidades de negócio e bounded contexts.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Base para Functional Specs, Technical Specs, migrations, RLS, eventos e backlog.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Guia de ownership: cada dado possui um domínio responsável.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Base para modularidade de planos e evolução futura.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1.3 O que este mapa não é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Não é a migration final nem o diagrama físico definitivo do Postgres.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Não obriga o Coelo a começar com microserviços.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Não substitui threat modeling, parecer jurídico, DPIA/RIPD ou testes de RLS.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Não transforma telas em domínios: App, Admin e Superadmin são superfícies de experiência/orquestração.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1.4 Princípios de desenho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32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6912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Aplicação no Coelo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Fonte oficial única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Cada entidade mestre possui um único contexto autorizado a criá-la e alterá-la.</w:t>
            </w:r>
          </w:p>
        </w:tc>
      </w:tr>
      <w:tr>
        <w:trPr>
          <w:cantSplit/>
        </w:trPr>
        <w:tc>
          <w:tcPr>
            <w:tcW w:type="dxa" w:w="223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Pessoa global, papel contextual</w:t>
            </w:r>
          </w:p>
        </w:tc>
        <w:tc>
          <w:tcPr>
            <w:tcW w:type="dxa" w:w="691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Identidade não é duplicada por instituição ou papel.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Privado por padrão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Audiência e acesso derivam de vínculo e permissão; negar por padrão.</w:t>
            </w:r>
          </w:p>
        </w:tc>
      </w:tr>
      <w:tr>
        <w:trPr>
          <w:cantSplit/>
        </w:trPr>
        <w:tc>
          <w:tcPr>
            <w:tcW w:type="dxa" w:w="223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Composição sem acoplamento</w:t>
            </w:r>
          </w:p>
        </w:tc>
        <w:tc>
          <w:tcPr>
            <w:tcW w:type="dxa" w:w="691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Uma tela pode combinar vários contextos sem fundir seus modelos.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Eventos antes de acesso lateral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Integrações internas preferem eventos, serviços de aplicação e projeções.</w:t>
            </w:r>
          </w:p>
        </w:tc>
      </w:tr>
      <w:tr>
        <w:trPr>
          <w:cantSplit/>
        </w:trPr>
        <w:tc>
          <w:tcPr>
            <w:tcW w:type="dxa" w:w="223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Shared Kernel mínimo</w:t>
            </w:r>
          </w:p>
        </w:tc>
        <w:tc>
          <w:tcPr>
            <w:tcW w:type="dxa" w:w="691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Somente IDs, timestamps, códigos e contratos estáveis; regras de negócio permanecem no dono.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Evolução pragmática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Começar modular no mesmo deploy e extrair serviços apenas quando houver motivo operacional.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2. Mapa geral dos domínios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O landscape abaixo apresenta os macrodomínios, seus principais bounded contexts e o estágio de evolução. Os blocos laranja representam capacidades core; grafite, supporting; neutros, generic ou operacionais; os blocos tracejados pertencem às próximas fases.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22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landsca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 Sans" w:hAnsi="Nunito Sans" w:eastAsia="Nunito Sans"/>
          <w:i/>
          <w:color w:val="737B80"/>
          <w:sz w:val="15"/>
        </w:rPr>
        <w:t>Figura 1 — Landscape de domínios e bounded contexts do Coelo.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F7F8F8"/>
            <w:tcBorders>
              <w:top w:val="single" w:sz="10" w:color="C4C9CC"/>
              <w:left w:val="single" w:sz="10" w:color="C4C9CC"/>
              <w:bottom w:val="single" w:sz="10" w:color="C4C9CC"/>
              <w:right w:val="single" w:sz="10" w:color="C4C9CC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unito Sans" w:hAnsi="Nunito Sans" w:eastAsia="Nunito Sans"/>
                <w:b/>
                <w:color w:val="3F4549"/>
                <w:sz w:val="20"/>
              </w:rPr>
              <w:t>Leitura de produto</w:t>
            </w:r>
          </w:p>
          <w:p>
            <w:pPr>
              <w:spacing w:after="0" w:line="252" w:lineRule="auto"/>
            </w:pPr>
            <w:r>
              <w:rPr>
                <w:rFonts w:ascii="Nunito Sans" w:hAnsi="Nunito Sans" w:eastAsia="Nunito Sans"/>
                <w:color w:val="1C2022"/>
                <w:sz w:val="17"/>
              </w:rPr>
              <w:t>O coração do Coelo está na combinação de relações contextuais seguras, experiência social privada e acompanhamento da rotina infantil. Os demais contextos sustentam, governam ou monetizam esse núcleo.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3. Classificação e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48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680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Bounded context</w:t>
            </w:r>
          </w:p>
        </w:tc>
        <w:tc>
          <w:tcPr>
            <w:tcW w:type="dxa" w:w="1440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2376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Horizonte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D01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 e Autenticação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Generic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D02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Tenancy e Estrutura Institucional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D03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Contexto e Autorização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Core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D04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Família e Relações com a Criança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Core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D05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Perfis Sociais e Audiência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Core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D06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Flow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Core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D07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Now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Core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D08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Moments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Core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D09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Engajamento Social e Leitura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D10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Rotina Diária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Core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D11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Saúde e Ocorrências Sensíveis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 limitado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D12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Chat e Canais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D13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Agenda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D14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Autorizações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 simples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D15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Mídia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D16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Notificações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Generic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D17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Privacidade, Consentimentos e Ciclo de Vida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D18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Auditoria e Evidências de Segurança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D19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Analytics e Uso do Produto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 dados / UI futura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D20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Administração do Tenant e Onboarding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D21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Operação da Plataforma e Suporte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D22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Planos e Entitlements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 manual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D23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Importação e Qualidade de Dados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D24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Cobrança e Pagamentos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Próxima fase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D25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Matrícula e Documentos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Próxima fase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D26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Integrações e API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Próxima fase / futuro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D27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IA e Automação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Próxima fase / futuro</w:t>
            </w:r>
          </w:p>
        </w:tc>
      </w:tr>
      <w:tr>
        <w:trPr>
          <w:cantSplit/>
        </w:trPr>
        <w:tc>
          <w:tcPr>
            <w:tcW w:type="dxa" w:w="6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D28</w:t>
            </w:r>
          </w:p>
        </w:tc>
        <w:tc>
          <w:tcPr>
            <w:tcW w:type="dxa" w:w="468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BI e Relatórios</w:t>
            </w:r>
          </w:p>
        </w:tc>
        <w:tc>
          <w:tcPr>
            <w:tcW w:type="dxa" w:w="144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Próxima fase / futuro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D29</w:t>
            </w:r>
          </w:p>
        </w:tc>
        <w:tc>
          <w:tcPr>
            <w:tcW w:type="dxa" w:w="468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Branding e White-label</w:t>
            </w:r>
          </w:p>
        </w:tc>
        <w:tc>
          <w:tcPr>
            <w:tcW w:type="dxa" w:w="144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Supporting</w:t>
            </w:r>
          </w:p>
        </w:tc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Futuro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3.1 Core Domains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Contexto e Autorização, Família e Relações com a Criança, Perfis/Audiência, Flow, Now, Moments e Rotina Diária concentram a diferenciação do Coelo. São áreas nas quais linguagem, UX, segurança e regras devem receber maior atenção de produto e engenharia.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3.2 Supporting e Generic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Chat, Agenda, Autorizações, Mídia, Privacidade, Auditoria, Analytics, Administração, Operação e Entitlements viabilizam o core. Identidade/Auth e Notificações podem usar componentes maduros de mercado, mas precisam respeitar as regras contextuais do Coelo.</w:t>
      </w: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4. Decisão estrutural: Flow, Now e Moments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Para atender manutenção independente e liberação por plano, Flow, Now e Moments serão bounded contexts separados. Eles pertencem ao mesmo macrodomínio Experiência Social e compartilham contratos de perfis, audiência, mídia e autorização, mas não compartilham propriedade de tabelas de negócio.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90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modula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 Sans" w:hAnsi="Nunito Sans" w:eastAsia="Nunito Sans"/>
          <w:i/>
          <w:color w:val="737B80"/>
          <w:sz w:val="15"/>
        </w:rPr>
        <w:t>Figura 2 — Composição conjunta na interface e independência no domínio.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4.1 Por que separar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Manutenção: alteração em expiração do Now não exige mexer no ciclo de vida do Flow.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Escalabilidade: processamento de vídeo de Moments pode evoluir sem contaminar posts e comunicados.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Planos: feature codes independentes permitem habilitar flow, now e moments por plano.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Métricas: cada contexto mede adoção, custo e desempenho separadamente.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Roadmap: um módulo pode ser estabilizado, refeito ou extraído sem bloquear os demais.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4.2 O que permanece compartilhado por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60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Capacidade compartilhada</w:t>
            </w:r>
          </w:p>
        </w:tc>
        <w:tc>
          <w:tcPr>
            <w:tcW w:type="dxa" w:w="2448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Dono</w:t>
            </w:r>
          </w:p>
        </w:tc>
        <w:tc>
          <w:tcPr>
            <w:tcW w:type="dxa" w:w="4536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Como os três usam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Perfil e audiência</w:t>
            </w:r>
          </w:p>
        </w:tc>
        <w:tc>
          <w:tcPr>
            <w:tcW w:type="dxa" w:w="24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Perfis Sociais e Audiência</w:t>
            </w:r>
          </w:p>
        </w:tc>
        <w:tc>
          <w:tcPr>
            <w:tcW w:type="dxa" w:w="453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Recebem profile_id e audience_id resolvidos.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Autorização</w:t>
            </w:r>
          </w:p>
        </w:tc>
        <w:tc>
          <w:tcPr>
            <w:tcW w:type="dxa" w:w="24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Contexto e Autorização</w:t>
            </w:r>
          </w:p>
        </w:tc>
        <w:tc>
          <w:tcPr>
            <w:tcW w:type="dxa" w:w="453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Consultam policy/decision; não recriam RBAC.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Mídia</w:t>
            </w:r>
          </w:p>
        </w:tc>
        <w:tc>
          <w:tcPr>
            <w:tcW w:type="dxa" w:w="24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Mídia</w:t>
            </w:r>
          </w:p>
        </w:tc>
        <w:tc>
          <w:tcPr>
            <w:tcW w:type="dxa" w:w="453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Referenciam media_asset_id e status de processamento.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Reações e leitura</w:t>
            </w:r>
          </w:p>
        </w:tc>
        <w:tc>
          <w:tcPr>
            <w:tcW w:type="dxa" w:w="24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Engajamento Social</w:t>
            </w:r>
          </w:p>
        </w:tc>
        <w:tc>
          <w:tcPr>
            <w:tcW w:type="dxa" w:w="453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Registram interação por content_ref tipado.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Planos</w:t>
            </w:r>
          </w:p>
        </w:tc>
        <w:tc>
          <w:tcPr>
            <w:tcW w:type="dxa" w:w="244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Planos e Entitlements</w:t>
            </w:r>
          </w:p>
        </w:tc>
        <w:tc>
          <w:tcPr>
            <w:tcW w:type="dxa" w:w="453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Consultam feature code antes de criar/publicar.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Notificação/auditoria</w:t>
            </w:r>
          </w:p>
        </w:tc>
        <w:tc>
          <w:tcPr>
            <w:tcW w:type="dxa" w:w="244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Contextos transversais</w:t>
            </w:r>
          </w:p>
        </w:tc>
        <w:tc>
          <w:tcPr>
            <w:tcW w:type="dxa" w:w="453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Consomem eventos publicados.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4.3 Exemplo de plano — apenas estrutural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EEF0F1"/>
            <w:tcBorders>
              <w:top w:val="single" w:sz="10" w:color="C4C9CC"/>
              <w:left w:val="single" w:sz="10" w:color="C4C9CC"/>
              <w:bottom w:val="single" w:sz="10" w:color="C4C9CC"/>
              <w:right w:val="single" w:sz="10" w:color="C4C9CC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unito Sans" w:hAnsi="Nunito Sans" w:eastAsia="Nunito Sans"/>
                <w:b/>
                <w:color w:val="3F4549"/>
                <w:sz w:val="20"/>
              </w:rPr>
              <w:t>Exemplo, não decisão comercial final</w:t>
            </w:r>
          </w:p>
          <w:p>
            <w:pPr>
              <w:spacing w:after="0" w:line="252" w:lineRule="auto"/>
            </w:pPr>
            <w:r>
              <w:rPr>
                <w:rFonts w:ascii="Nunito Sans" w:hAnsi="Nunito Sans" w:eastAsia="Nunito Sans"/>
                <w:color w:val="1C2022"/>
                <w:sz w:val="17"/>
              </w:rPr>
              <w:t>Plano Basic: feature flow=true, now=false, moments=false. Plano Master: flow=true, now=true, moments=true. A interface consulta o snapshot de entitlements e mostra ou oculta entradas sem alterar os domínios.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5. Context map e regras de relacionamento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O Context Map registra relações entre os bounded contexts. Ele não mostra todas as chamadas de tela; mostra os contratos que precisam permanecer estáveis.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76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unito Sans" w:hAnsi="Nunito Sans" w:eastAsia="Nunito Sans"/>
          <w:i/>
          <w:color w:val="737B80"/>
          <w:sz w:val="15"/>
        </w:rPr>
        <w:t>Figura 3 — Context Map resumido e padrões de integração.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5.1 Padrões adotados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76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Padrão</w:t>
            </w:r>
          </w:p>
        </w:tc>
        <w:tc>
          <w:tcPr>
            <w:tcW w:type="dxa" w:w="6768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Aplicação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Customer/Supplier</w:t>
            </w:r>
          </w:p>
        </w:tc>
        <w:tc>
          <w:tcPr>
            <w:tcW w:type="dxa" w:w="67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Contexto/Autorização depende de Identidade, Tenancy e Família; contratos são negociados e versionados.</w:t>
            </w:r>
          </w:p>
        </w:tc>
      </w:tr>
      <w:tr>
        <w:trPr>
          <w:cantSplit/>
        </w:trPr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Open Host Service / Published Language</w:t>
            </w:r>
          </w:p>
        </w:tc>
        <w:tc>
          <w:tcPr>
            <w:tcW w:type="dxa" w:w="67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Perfis/Audiência e Mídia expõem contratos estáveis a Flow, Now, Moments, Chat e Rotina.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Policy Service</w:t>
            </w:r>
          </w:p>
        </w:tc>
        <w:tc>
          <w:tcPr>
            <w:tcW w:type="dxa" w:w="67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Entitlements responde se a instituição pode usar uma feature; não executa a regra interna do módulo.</w:t>
            </w:r>
          </w:p>
        </w:tc>
      </w:tr>
      <w:tr>
        <w:trPr>
          <w:cantSplit/>
        </w:trPr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Conformist controlado</w:t>
            </w:r>
          </w:p>
        </w:tc>
        <w:tc>
          <w:tcPr>
            <w:tcW w:type="dxa" w:w="67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Notificações e Analytics consomem eventos padronizados, sem exigir acesso ao modelo interno.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Anti-Corruption Layer</w:t>
            </w:r>
          </w:p>
        </w:tc>
        <w:tc>
          <w:tcPr>
            <w:tcW w:type="dxa" w:w="67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ERPs, gateways, WhatsApp e parceiros futuros são traduzidos pela camada de Integrações.</w:t>
            </w:r>
          </w:p>
        </w:tc>
      </w:tr>
      <w:tr>
        <w:trPr>
          <w:cantSplit/>
        </w:trPr>
        <w:tc>
          <w:tcPr>
            <w:tcW w:type="dxa" w:w="23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Shared Kernel mínimo</w:t>
            </w:r>
          </w:p>
        </w:tc>
        <w:tc>
          <w:tcPr>
            <w:tcW w:type="dxa" w:w="67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IDs, timestamps, códigos de evento e envelope de contexto; nenhuma regra de negócio compartilhada.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5.2 Regras obrigatórias entre domínios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Um contexto não grava diretamente nas tabelas de outro contexto.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Referências cruzadas usam IDs estáveis, contratos de aplicação ou eventos publicados.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Leituras compostas para telas usam projeções/read models, sem transferir ownership.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Mudanças de contrato exigem versionamento e teste de consumidores.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Auditoria e Analytics recebem eventos; não devem copiar conteúdo sensível completo.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Operação/Admin orquestra comandos, mas não vira dona dos dados dos módulos.</w:t>
      </w: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6. Catálogo detalhado dos bounded contexts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Cada ficha define responsabilidade, fonte oficial, limites, entidades conceituais, dependências e eventos. Os nomes físicos finais podem ser refinados na Technical Spec, preservando o ownership estabelecido aqui.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6.1 Identidade, contexto e relações</w:t>
      </w: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D01 · Identidade e Autenticação</w:t>
      </w:r>
      <w:r>
        <w:rPr>
          <w:rFonts w:ascii="Nunito Sans" w:hAnsi="Nunito Sans" w:eastAsia="Nunito Sans"/>
          <w:b/>
          <w:color w:val="737B80"/>
          <w:sz w:val="16"/>
        </w:rPr>
        <w:t xml:space="preserve">   Generic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Manter a identidade global de adultos e crianças, credenciais, contatos verificados, recuperação e perfil básico de conta.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Pessoa global, usuário Auth, username, contatos/identificadores verificados e estado da conta.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Papéis institucionais, permissões por contexto, dados da criança em uma instituição ou audiência de conteúdo.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people, auth.users, user_profiles, usernames, person_contacts, adult_identifiers.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Provedor de autenticação/Supabase Auth; fornece person_id e user_id aos demais contextos.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person_created, identity_verified, username_reserved, account_recovered, account_disabled.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D02 · Tenancy e Estrutura Institucional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Representar instituições, unidades, grupos/turmas e configurações estruturais do tenant.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Instituição, unidade, grupo, tipo de grupo, status estrutural e relações hierárquicas.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Credenciais, permissões efetivas, vínculos familiares, posts ou rotinas.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institutions, units, groups, institution_settings, group_types.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 para owners iniciais; operado por Admin e Superadmin por serviços de aplicação.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institution_created, institution_status_changed, unit_created, group_created, group_inactivated.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D63C00"/>
        </w:pBdr>
      </w:pPr>
      <w:r>
        <w:rPr>
          <w:rFonts w:ascii="Nunito Sans" w:hAnsi="Nunito Sans" w:eastAsia="Nunito Sans"/>
          <w:b/>
          <w:color w:val="1C2022"/>
          <w:sz w:val="23"/>
        </w:rPr>
        <w:t>D03 · Contexto e Autorização</w:t>
      </w:r>
      <w:r>
        <w:rPr>
          <w:rFonts w:ascii="Nunito Sans" w:hAnsi="Nunito Sans" w:eastAsia="Nunito Sans"/>
          <w:b/>
          <w:color w:val="B83300"/>
          <w:sz w:val="16"/>
        </w:rPr>
        <w:t xml:space="preserve">   Core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Calcular quem pode fazer o quê, em qual instituição, unidade, grupo, papel e criança, com RBAC + RLS.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Memberships, papéis, escopos, permissões delegadas, contexto ativo e decisão de acesso.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Cadastro base da pessoa, estrutura do tenant ou relação familiar global.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memberships, roles, permissions, permission_grants, active_contexts, access_policies.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Identidade, Tenancy e Família; publica contratos de autorização para todos os módulos.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membership_granted, role_changed, permission_changed, context_switched, access_revoked.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D63C00"/>
        </w:pBdr>
      </w:pPr>
      <w:r>
        <w:rPr>
          <w:rFonts w:ascii="Nunito Sans" w:hAnsi="Nunito Sans" w:eastAsia="Nunito Sans"/>
          <w:b/>
          <w:color w:val="1C2022"/>
          <w:sz w:val="23"/>
        </w:rPr>
        <w:t>D04 · Família e Relações com a Criança</w:t>
      </w:r>
      <w:r>
        <w:rPr>
          <w:rFonts w:ascii="Nunito Sans" w:hAnsi="Nunito Sans" w:eastAsia="Nunito Sans"/>
          <w:b/>
          <w:color w:val="B83300"/>
          <w:sz w:val="16"/>
        </w:rPr>
        <w:t xml:space="preserve">   Core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Representar criança global, contexto institucional da criança, responsáveis e autorização de visibilidade por instituição.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Vínculo responsável-criança, child_context, permissões familiares contextuais e responsáveis adicionais.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Login, papel de professor, rotina diária, ocorrências ou conteúdo social.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child_contexts, guardian_links, guardian_context_permissions, guardian_roles.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 e Tenancy; alimenta Contexto/Autorização e audiência dos módulos.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child_context_created, guardian_linked, guardian_access_granted, guardian_access_revoked.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6.2 Experiência social</w:t>
      </w:r>
    </w:p>
    <w:p>
      <w:pPr>
        <w:keepNext/>
        <w:spacing w:before="160" w:after="80"/>
        <w:pBdr>
          <w:bottom w:val="single" w:sz="6" w:space="2" w:color="D63C00"/>
        </w:pBdr>
      </w:pPr>
      <w:r>
        <w:rPr>
          <w:rFonts w:ascii="Nunito Sans" w:hAnsi="Nunito Sans" w:eastAsia="Nunito Sans"/>
          <w:b/>
          <w:color w:val="1C2022"/>
          <w:sz w:val="23"/>
        </w:rPr>
        <w:t>D05 · Perfis Sociais e Audiência</w:t>
      </w:r>
      <w:r>
        <w:rPr>
          <w:rFonts w:ascii="Nunito Sans" w:hAnsi="Nunito Sans" w:eastAsia="Nunito Sans"/>
          <w:b/>
          <w:color w:val="B83300"/>
          <w:sz w:val="16"/>
        </w:rPr>
        <w:t xml:space="preserve">   Core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Definir perfis privados de Coelo, instituição, unidade e grupo, seguidores derivados de vínculos e resolução de audiência.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Perfil social, regras de follow, silenciamento, audiência resolvida e identidade social contextual.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Conteúdo específico de Flow, Now ou Moments; arquivos de mídia; planos comerciais.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social_profiles, follows, audience_rules, resolved_audiences, mute_preferences.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Contexto/Autorização, Tenancy e Família; fornece contratos a Flow, Now e Moments.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social_profile_created, audience_resolved, follow_added, follow_removed, profile_muted.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D63C00"/>
        </w:pBdr>
      </w:pPr>
      <w:r>
        <w:rPr>
          <w:rFonts w:ascii="Nunito Sans" w:hAnsi="Nunito Sans" w:eastAsia="Nunito Sans"/>
          <w:b/>
          <w:color w:val="1C2022"/>
          <w:sz w:val="23"/>
        </w:rPr>
        <w:t>D06 · Flow</w:t>
      </w:r>
      <w:r>
        <w:rPr>
          <w:rFonts w:ascii="Nunito Sans" w:hAnsi="Nunito Sans" w:eastAsia="Nunito Sans"/>
          <w:b/>
          <w:color w:val="B83300"/>
          <w:sz w:val="16"/>
        </w:rPr>
        <w:t xml:space="preserve">   Core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feed privado, posts, comunicados, agendamento, confirmação de leitura e publicação contextual.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Post, comunicado, versão, status, audiência referenciada e requisitos de leitura.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Conteúdo temporário, vídeos Moments, arquivos físicos, reações ou regras de plano.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flow_posts, flow_post_versions, flow_audiences, flow_schedules, flow_read_requirements.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Perfis/Audiência, Mídia, Contexto/Autorização e Entitlements.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flow_post_drafted, flow_post_published, flow_post_updated, flow_post_archived, flow_read_required.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D63C00"/>
        </w:pBdr>
      </w:pPr>
      <w:r>
        <w:rPr>
          <w:rFonts w:ascii="Nunito Sans" w:hAnsi="Nunito Sans" w:eastAsia="Nunito Sans"/>
          <w:b/>
          <w:color w:val="1C2022"/>
          <w:sz w:val="23"/>
        </w:rPr>
        <w:t>D07 · Now</w:t>
      </w:r>
      <w:r>
        <w:rPr>
          <w:rFonts w:ascii="Nunito Sans" w:hAnsi="Nunito Sans" w:eastAsia="Nunito Sans"/>
          <w:b/>
          <w:color w:val="B83300"/>
          <w:sz w:val="16"/>
        </w:rPr>
        <w:t xml:space="preserve">   Core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conteúdos temporários privados com expiração padrão de 24 horas e audiência contextual.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Item Now, sequência, status de publicação, expiração e visualização agregada.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Posts permanentes, vídeos Moments, arquivo físico ou política comercial.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now_items, now_sequences, now_audiences, now_views, now_expirations.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Perfis/Audiência, Mídia, Contexto/Autorização e Entitlements.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now_published, now_viewed, now_expired, now_removed.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D63C00"/>
        </w:pBdr>
      </w:pPr>
      <w:r>
        <w:rPr>
          <w:rFonts w:ascii="Nunito Sans" w:hAnsi="Nunito Sans" w:eastAsia="Nunito Sans"/>
          <w:b/>
          <w:color w:val="1C2022"/>
          <w:sz w:val="23"/>
        </w:rPr>
        <w:t>D08 · Moments</w:t>
      </w:r>
      <w:r>
        <w:rPr>
          <w:rFonts w:ascii="Nunito Sans" w:hAnsi="Nunito Sans" w:eastAsia="Nunito Sans"/>
          <w:b/>
          <w:color w:val="B83300"/>
          <w:sz w:val="16"/>
        </w:rPr>
        <w:t xml:space="preserve">   Core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vídeos privados de até dois minutos, publicação, processamento e consumo contextual.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Moment, metadados de duração, status editorial e audiência referenciada.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Arquivo bruto/transcodificação, posts do Flow, itens Now ou cobrança.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moments, moment_audiences, moment_publication_status, moment_play_events.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Perfis/Audiência, Mídia, Contexto/Autorização e Entitlements.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moment_submitted, moment_published, moment_played, moment_archived, moment_rejected.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D09 · Engajamento Social e Leitura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Registrar reações simples, leituras, confirmações e métricas operacionais comuns aos conteúdos sociais.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Reação, read receipt, confirmação explícita e contadores derivados.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Conteúdo, audiência, perfil social ou dados analíticos agregados de BI.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reactions, read_receipts, acknowledgements, engagement_counters.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Flow, Now e Moments por IDs e eventos; Contexto/Autorização para validar ação.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reaction_added, reaction_removed, content_read, read_confirmed.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6.3 Cuidado e rotina</w:t>
      </w:r>
    </w:p>
    <w:p>
      <w:pPr>
        <w:keepNext/>
        <w:spacing w:before="160" w:after="80"/>
        <w:pBdr>
          <w:bottom w:val="single" w:sz="6" w:space="2" w:color="D63C00"/>
        </w:pBdr>
      </w:pPr>
      <w:r>
        <w:rPr>
          <w:rFonts w:ascii="Nunito Sans" w:hAnsi="Nunito Sans" w:eastAsia="Nunito Sans"/>
          <w:b/>
          <w:color w:val="1C2022"/>
          <w:sz w:val="23"/>
        </w:rPr>
        <w:t>D10 · Rotina Diária</w:t>
      </w:r>
      <w:r>
        <w:rPr>
          <w:rFonts w:ascii="Nunito Sans" w:hAnsi="Nunito Sans" w:eastAsia="Nunito Sans"/>
          <w:b/>
          <w:color w:val="B83300"/>
          <w:sz w:val="16"/>
        </w:rPr>
        <w:t xml:space="preserve">   Core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Registrar alimentação, sono, higiene, humor, atividades e demais itens cotidianos com lote por grupo e ajuste individual.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Templates de rotina, entradas, itens, rascunhos, publicação e histórico de alterações.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Ocorrências sensíveis, medicação, diagnóstico, evento de agenda ou mídia física.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routine_templates, routine_entries, routine_items, routine_drafts, routine_change_history.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Família, Contexto/Autorização, Tenancy e Mídia; pode referenciar ocorrência sensível por ID.</w:t>
            </w:r>
          </w:p>
        </w:tc>
      </w:tr>
      <w:tr>
        <w:trPr>
          <w:cantSplit/>
        </w:trPr>
        <w:tc>
          <w:tcPr>
            <w:tcW w:type="dxa" w:w="1944"/>
            <w:shd w:fill="FFF3EE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routine_draft_saved, routine_entry_published, routine_entry_corrected, routine_pending_detected.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D11 · Saúde e Ocorrências Sensíveis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 limitado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Tratar sintomas observados, temperatura, incidentes, encaminhamentos e registros de maior sensibilidade com acesso reforçado.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Ocorrência sensível, classificação, encaminhamento, acesso restrito e trilha de alterações.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Rotina cotidiana comum, prontuário médico, diagnóstico ou prescrição.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sensitive_occurrences, health_observations, occurrence_actions, restricted_access_records.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Família, Contexto/Autorização, Privacidade e Auditoria; fornece projeção mínima à Rotina.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sensitive_occurrence_recorded, occurrence_escalated, occurrence_acknowledged, restricted_record_accessed.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6.4 Comunicação, agenda e decisão</w:t>
      </w: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D12 · Chat e Canais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conversas contextuais, canais por unidade/grupo, membros autorizados, mensagens e recibos.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Conversa, canal, membro, mensagem, anexo referenciado, leitura e políticas de resposta.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Relação responsável-criança, arquivo físico, push ou integração direta com WhatsApp.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conversations, conversation_members, messages, message_receipts, channel_policies.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Contexto/Autorização, Família, Tenancy, Mídia e Notificações.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conversation_created, message_sent, message_read, member_added, conversation_closed.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D13 · Agenda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eventos, lembretes, recorrências, audiência, RSVP e agenda visual da instituição/família.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Evento, data/horário, recorrência, audiência e resposta de presença quando não exige autorização formal.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Decisão formal de autorização, documento assinado, pagamento ou notificação entregue.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agenda_events, agenda_recurrences, agenda_audiences, agenda_responses, reminders.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Tenancy, Contexto/Autorização, Família e Notificações.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agenda_event_created, agenda_event_published, agenda_response_recorded, agenda_event_cancelled.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D14 · Autorizações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 simples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solicitações de decisão do responsável, evidência de resposta, validade, revogação e relação com evento/atividade.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Solicitação, versão do texto, destinatários, decisão, evidência e revogação.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Data do evento, consentimento jurídico geral de imagem/termos ou assinatura contratual de matrícula.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authorization_requests, authorization_versions, authorization_recipients, authorization_decisions, revocations.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Agenda quando ligada a evento; Família, Contexto/Autorização, Notificações e Auditoria.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authorization_requested, authorization_approved, authorization_denied, authorization_revoked, authorization_expired.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D15 · Mídia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Controlar upload, metadados, variantes, processamento, classificação de acesso e ligação com objetos de negócio.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Asset lógico, variante, estado de processamento, classificação e link para objeto de negócio.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Post, rotina, mensagem, consentimento jurídico ou regra de audiência do domínio consumidor.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media_assets, media_variants, media_links, media_processing_jobs, media_access_classification.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Storage privado e políticas de acesso; recebe autorização contextual dos domínios consumidores.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media_uploaded, media_processed, media_linked, media_restricted, media_deleted.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D16 · Notificações</w:t>
      </w:r>
      <w:r>
        <w:rPr>
          <w:rFonts w:ascii="Nunito Sans" w:hAnsi="Nunito Sans" w:eastAsia="Nunito Sans"/>
          <w:b/>
          <w:color w:val="737B80"/>
          <w:sz w:val="16"/>
        </w:rPr>
        <w:t xml:space="preserve">   Generic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Orquestrar central in-app, push e preferências de entrega com payload mínimo e rastreamento.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Solicitação de notificação, entrega, preferência, device token e falha/retry.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Conteúdo completo da mensagem, decisão de audiência ou evento de negócio original.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notifications, notification_deliveries, notification_preferences, device_tokens, delivery_attempts.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Consome eventos publicados por todos os módulos; integra FCM/APNs/serviço de envio.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notification_requested, notification_sent, notification_delivered, notification_failed, preference_changed.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6.5 Governança e dados</w:t>
      </w: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D17 · Privacidade, Consentimentos e Ciclo de Vida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Versionar termos, consentimentos, autorizações de imagem, solicitações de titulares, retenção e exclusão/anonymização.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Termo, consentimento, finalidade, status, revogação, solicitação de titular e política de retenção.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Autorização operacional de evento, post, asset de mídia ou decisão jurídica definitiva controlador/operador.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terms, consent_records, media_consent_records, data_subject_requests, retention_policies, deletion_jobs.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Identidade, Família, Mídia, Auditoria e jurídico/contratos.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consent_granted, consent_revoked, terms_accepted, data_request_opened, retention_action_executed.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D18 · Auditoria e Evidências de Segurança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Registrar ações sensíveis, mudanças de permissão, acesso interno, suporte e evidências para investigação.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Audit log imutável, sessão de suporte, motivo, ator, escopo, objeto e ação sensível.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Evento analítico de produto, conteúdo sensível completo ou regra de negócio do módulo origem.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audit_logs, support_sessions, sensitive_access_logs, security_events, incident_records.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Recebe eventos/commands de todos os domínios; acesso restrito à equipe autorizada.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audit_recorded, support_session_opened, support_session_closed, security_incident_opened.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D19 · Analytics e Uso do Produto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 dados / UI futura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Registrar eventos de uso pseudonimizados, contadores e projeções para métricas e dashboards futuros.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Evento analítico, esquema/versionamento, contador de uso e projeção de métricas.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Audit log, dado financeiro definitivo ou conteúdo pessoal desnecessário.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analytics_events, event_schemas, usage_counters, metric_projections.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Consome eventos publicados; fornece dados a Planos/Entitlements e BI/Relatórios.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analytics_event_ingested, usage_counter_updated, metric_projection_refreshed.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6.6 Administração e operação</w:t>
      </w: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D20 · Administração do Tenant e Onboarding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Orquestrar configuração da instituição, unidades, grupos, pessoas, vínculos, conteúdo e políticas sem assumir propriedade dos dados.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Fluxos de onboarding, checklist, configurações administrativas e comandos compostos.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Pessoa, instituição, permissão, post ou rotina: chama os respectivos contextos.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onboarding_checklists, admin_preferences, configuration_workflows, bulk_operation_requests.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Identidade, Tenancy, Contexto/Autorização, Família, Importação e módulos operacionais.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onboarding_started, onboarding_step_completed, tenant_configuration_changed.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D21 · Operação da Plataforma e Suporte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tenants, usuários internos, avisos de plataforma, suporte autorizado e saúde operacional.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Membership interno Coelo, aviso de plataforma, status operacional e sessão de suporte.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Operação cotidiana da instituição ou edição silenciosa de dados privados.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platform_memberships, platform_notices, notice_audiences, support_sessions, operational_status.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Tenancy, Entitlements, Auditoria e Identidade; executa por backend seguro.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platform_user_invited, platform_notice_published, support_session_opened, tenant_suspended.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D22 · Planos e Entitlements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Definir catálogo de planos, recursos liberados, limites e snapshot de acesso por instituição.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Plano, feature code, entitlement, limite, período, status e atribuição ao tenant.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Cobrança, pagamento, nota fiscal ou regra interna de Flow/Now/Moments.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plans, features, plan_entitlements, institution_subscriptions, usage_limits, entitlement_snapshots.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Operação da Plataforma e Analytics; no futuro recebe estado de Billing.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plan_changed, entitlement_granted, entitlement_revoked, usage_limit_reached, subscription_status_changed.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D23 · Importação e Qualidade de Dados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Processar CSV/XLSX com upload, mapeamento, prévia, validação, deduplicação, erros e confirmação explícita.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Job de importação, arquivo temporário, linha, mapeamento, erro e resultado.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Pessoa, unidade, grupo ou vínculo definitivo; envia comandos aos contextos donos.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import_jobs, import_files, import_mappings, import_rows, import_errors, import_results.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Admin/Onboarding, Identidade, Tenancy, Família e Contexto/Autorização.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import_validated, import_failed, import_confirmed, import_completed, duplicate_detected.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6.7 Próximas fases e futuro</w:t>
      </w: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D24 · Cobrança e Pagamentos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Próxima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cobrança, assinatura, transações, conciliação, inadimplência e eventos financeiros.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Customer financeiro, invoice, charge, payment, refund, reconciliation e status financeiro.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Plano funcional ou feature liberada; comunica estado ao domínio Entitlements.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billing_customers, invoices, charges, payments, refunds, reconciliation_records.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Gateway externo via camada anticorrupção; Planos/Entitlements e Auditoria.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invoice_issued, payment_confirmed, payment_failed, refund_processed, delinquency_changed.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D25 · Matrícula e Documentos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Próxima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inscrição/matrícula digital, documentos, versões, assinatura e status contratual.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Processo de matrícula, documento, checklist, assinatura e evidência contratual.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 global, vínculo familiar permanente ou autorização operacional de agenda.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enrollment_processes, enrollment_forms, documents, document_versions, signatures.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Identidade, Família, Tenancy, Privacidade e integrações de assinatura.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enrollment_started, document_requested, document_signed, enrollment_approved.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D26 · Integrações e API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Próxima fase / futuro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Isolar ERPs, gateways, mensageria e parceiros por APIs, webhooks, sincronização e camada anticorrupção.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Conector, credencial protegida, mapeamento externo, job de sync, webhook e dead letter.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Modelo de negócio interno nem dados mestres dos demais domínios.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integrations, external_mappings, sync_jobs, webhook_endpoints, webhook_deliveries, dead_letters.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Todos os contextos via contratos publicados; nunca acesso irrestrito ao banco.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integration_connected, sync_completed, sync_failed, webhook_received, mapping_conflict_detected.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D27 · IA e Automação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Próxima fase / futuro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Oferecer assistência para comunicados, relatórios, classificação e automações com governança e revisão humana.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Caso de uso de IA, versão de prompt, execução, política, aprovação e evidência de saída.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Dado mestre, decisão sensível automática ou acesso direto irrestrito a dados infantis.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ai_use_cases, prompt_versions, ai_runs, automation_rules, human_reviews, policy_checks.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Integrações, Privacidade, Auditoria e domínios que solicitam assistência.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ai_run_requested, ai_output_generated, human_review_completed, automation_executed.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D28 · BI e Relatórios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Próxima fase / futuro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Produzir dashboards, relatórios operacionais, exportações e modelos analíticos governados.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Definição de métrica, dataset analítico, relatório, dashboard e exportação.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Evento bruto de produto, audit log ou dado operacional transacional.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metric_definitions, analytical_datasets, reports, dashboards, exports.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Analytics, Billing futuro e projeções dos domínios; acesso conforme contexto.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report_generated, dashboard_refreshed, export_requested, export_completed.</w:t>
            </w:r>
          </w:p>
        </w:tc>
      </w:tr>
    </w:tbl>
    <w:p>
      <w:pPr>
        <w:spacing w:after="0"/>
      </w:pPr>
    </w:p>
    <w:p>
      <w:pPr>
        <w:keepNext/>
        <w:spacing w:before="160" w:after="80"/>
        <w:pBdr>
          <w:bottom w:val="single" w:sz="6" w:space="2" w:color="C4C9CC"/>
        </w:pBdr>
      </w:pPr>
      <w:r>
        <w:rPr>
          <w:rFonts w:ascii="Nunito Sans" w:hAnsi="Nunito Sans" w:eastAsia="Nunito Sans"/>
          <w:b/>
          <w:color w:val="1C2022"/>
          <w:sz w:val="23"/>
        </w:rPr>
        <w:t>D29 · Branding e White-label</w:t>
      </w:r>
      <w:r>
        <w:rPr>
          <w:rFonts w:ascii="Nunito Sans" w:hAnsi="Nunito Sans" w:eastAsia="Nunito Sans"/>
          <w:b/>
          <w:color w:val="3F4549"/>
          <w:sz w:val="16"/>
        </w:rPr>
        <w:t xml:space="preserve">   Supporting · Futuro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Responsabilidade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Gerenciar branding leve, temas por instituição e, futuramente, distribuição de apps dedicados.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Fonte oficial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Configuração visual, assets de marca, domínio customizado e variante de distribuição.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Não controla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Design system global, plano comercial ou conteúdo institucional.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Entidades principais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tenant_branding, brand_assets, custom_domains, app_variants, store_release_configs.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Dependências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Tenancy, Planos/Entitlements, Mídia e pipeline de release.</w:t>
            </w:r>
          </w:p>
        </w:tc>
      </w:tr>
      <w:tr>
        <w:trPr>
          <w:cantSplit/>
        </w:trPr>
        <w:tc>
          <w:tcPr>
            <w:tcW w:type="dxa" w:w="1944"/>
            <w:shd w:fill="F7F8F8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3F4549"/>
                <w:sz w:val="15"/>
              </w:rPr>
              <w:t>Eventos publicados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branding_updated, custom_domain_verified, app_variant_requested, release_published.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7. Fonte oficial e eventos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7.1 Matriz de source of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888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Informação</w:t>
            </w:r>
          </w:p>
        </w:tc>
        <w:tc>
          <w:tcPr>
            <w:tcW w:type="dxa" w:w="5256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Contexto proprietário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Pessoa, credencial e username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Identidade e Autenticação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Instituição, unidade e grupo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Tenancy e Estrutura Institucional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Papel, escopo e permissão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Contexto e Autorização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Vínculo responsável-criança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Família e Relações com a Criança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Perfil social e audiência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Perfis Sociais e Audiência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Post/comunicado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Flow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Conteúdo temporário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Now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Vídeo de até 2 minutos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Moments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Reação e confirmação de leitura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Engajamento Social e Leitura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Registro cotidiano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Rotina Diária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Ocorrência sensível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Saúde e Ocorrências Sensíveis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Conversa e mensagem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Chat e Canais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Evento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Agenda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Decisão do responsável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Autorizações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Arquivo e variante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Mídia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Termo e consentimento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Privacidade, Consentimentos e Ciclo de Vida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Evidência de ação sensível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Auditoria e Evidências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Uso e métrica bruta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Analytics e Uso</w:t>
            </w:r>
          </w:p>
        </w:tc>
      </w:tr>
      <w:tr>
        <w:trPr>
          <w:cantSplit/>
        </w:trPr>
        <w:tc>
          <w:tcPr>
            <w:tcW w:type="dxa" w:w="38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Feature liberada</w:t>
            </w:r>
          </w:p>
        </w:tc>
        <w:tc>
          <w:tcPr>
            <w:tcW w:type="dxa" w:w="52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Planos e Entitlements</w:t>
            </w:r>
          </w:p>
        </w:tc>
      </w:tr>
      <w:tr>
        <w:trPr>
          <w:cantSplit/>
        </w:trPr>
        <w:tc>
          <w:tcPr>
            <w:tcW w:type="dxa" w:w="38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Pagamento</w:t>
            </w:r>
          </w:p>
        </w:tc>
        <w:tc>
          <w:tcPr>
            <w:tcW w:type="dxa" w:w="52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Cobrança e Pagamentos — futuro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7.2 Eventos prioritários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44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Família de eventos</w:t>
            </w:r>
          </w:p>
        </w:tc>
        <w:tc>
          <w:tcPr>
            <w:tcW w:type="dxa" w:w="7200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5"/>
              </w:rPr>
              <w:t>Eventos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Acesso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membership_granted, permission_changed, guardian_access_granted</w:t>
            </w:r>
          </w:p>
        </w:tc>
      </w:tr>
      <w:tr>
        <w:trPr>
          <w:cantSplit/>
        </w:trPr>
        <w:tc>
          <w:tcPr>
            <w:tcW w:type="dxa" w:w="194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Social</w:t>
            </w:r>
          </w:p>
        </w:tc>
        <w:tc>
          <w:tcPr>
            <w:tcW w:type="dxa" w:w="720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flow_post_published, now_published, now_expired, moment_published, reaction_added, read_confirmed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Rotina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routine_entry_published, routine_entry_corrected, sensitive_occurrence_recorded</w:t>
            </w:r>
          </w:p>
        </w:tc>
      </w:tr>
      <w:tr>
        <w:trPr>
          <w:cantSplit/>
        </w:trPr>
        <w:tc>
          <w:tcPr>
            <w:tcW w:type="dxa" w:w="194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Comunicação</w:t>
            </w:r>
          </w:p>
        </w:tc>
        <w:tc>
          <w:tcPr>
            <w:tcW w:type="dxa" w:w="720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message_sent, agenda_event_published, authorization_requested, authorization_approved/denied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Mídia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media_uploaded, media_processed, media_restricted</w:t>
            </w:r>
          </w:p>
        </w:tc>
      </w:tr>
      <w:tr>
        <w:trPr>
          <w:cantSplit/>
        </w:trPr>
        <w:tc>
          <w:tcPr>
            <w:tcW w:type="dxa" w:w="1944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Plataforma</w:t>
            </w:r>
          </w:p>
        </w:tc>
        <w:tc>
          <w:tcPr>
            <w:tcW w:type="dxa" w:w="720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plan_changed, entitlement_granted/revoked, import_completed, support_session_opened/closed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Transversais</w:t>
            </w:r>
          </w:p>
        </w:tc>
        <w:tc>
          <w:tcPr>
            <w:tcW w:type="dxa" w:w="720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5"/>
              </w:rPr>
              <w:t>notification_delivered, audit_recorded, analytics_event_ingested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F7F8F8"/>
            <w:tcBorders>
              <w:top w:val="single" w:sz="10" w:color="C4C9CC"/>
              <w:left w:val="single" w:sz="10" w:color="C4C9CC"/>
              <w:bottom w:val="single" w:sz="10" w:color="C4C9CC"/>
              <w:right w:val="single" w:sz="10" w:color="C4C9CC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unito Sans" w:hAnsi="Nunito Sans" w:eastAsia="Nunito Sans"/>
                <w:b/>
                <w:color w:val="3F4549"/>
                <w:sz w:val="20"/>
              </w:rPr>
              <w:t>Envelope mínimo de evento</w:t>
            </w:r>
          </w:p>
          <w:p>
            <w:pPr>
              <w:spacing w:after="0" w:line="252" w:lineRule="auto"/>
            </w:pPr>
            <w:r>
              <w:rPr>
                <w:rFonts w:ascii="Nunito Sans" w:hAnsi="Nunito Sans" w:eastAsia="Nunito Sans"/>
                <w:color w:val="1C2022"/>
                <w:sz w:val="17"/>
              </w:rPr>
              <w:t>event_id, event_type, event_version, occurred_at, actor_person_id quando aplicável, institution_id/context_id, aggregate_type, aggregate_id, correlation_id e payload minimizado.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8. Entitlements e modularidade comercial</w:t>
      </w:r>
    </w:p>
    <w:p>
      <w:pPr>
        <w:spacing w:after="100" w:line="259" w:lineRule="auto"/>
      </w:pPr>
      <w:r>
        <w:rPr>
          <w:rFonts w:ascii="Nunito Sans" w:hAnsi="Nunito Sans" w:eastAsia="Nunito Sans"/>
          <w:color w:val="1C2022"/>
          <w:sz w:val="18"/>
        </w:rPr>
        <w:t>Planos e Entitlements é a camada que permite vender combinações de funcionalidades sem misturar cobrança com regras de produto. Cada módulo conhece seu feature code, mas não conhece preço, gateway ou fatura.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8.1 Feature codes iniciais sugeridos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68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Feature code</w:t>
            </w:r>
          </w:p>
        </w:tc>
        <w:tc>
          <w:tcPr>
            <w:tcW w:type="dxa" w:w="5976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Capacidade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social.flow</w:t>
            </w:r>
          </w:p>
        </w:tc>
        <w:tc>
          <w:tcPr>
            <w:tcW w:type="dxa" w:w="59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Criar e consumir Flow.</w:t>
            </w:r>
          </w:p>
        </w:tc>
      </w:tr>
      <w:tr>
        <w:trPr>
          <w:cantSplit/>
        </w:trPr>
        <w:tc>
          <w:tcPr>
            <w:tcW w:type="dxa" w:w="31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social.now</w:t>
            </w:r>
          </w:p>
        </w:tc>
        <w:tc>
          <w:tcPr>
            <w:tcW w:type="dxa" w:w="59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Criar e consumir Now.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social.moments</w:t>
            </w:r>
          </w:p>
        </w:tc>
        <w:tc>
          <w:tcPr>
            <w:tcW w:type="dxa" w:w="59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Criar e consumir Moments.</w:t>
            </w:r>
          </w:p>
        </w:tc>
      </w:tr>
      <w:tr>
        <w:trPr>
          <w:cantSplit/>
        </w:trPr>
        <w:tc>
          <w:tcPr>
            <w:tcW w:type="dxa" w:w="31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communication.chat</w:t>
            </w:r>
          </w:p>
        </w:tc>
        <w:tc>
          <w:tcPr>
            <w:tcW w:type="dxa" w:w="59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Chat e canais.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care.routine</w:t>
            </w:r>
          </w:p>
        </w:tc>
        <w:tc>
          <w:tcPr>
            <w:tcW w:type="dxa" w:w="59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Rotina diária.</w:t>
            </w:r>
          </w:p>
        </w:tc>
      </w:tr>
      <w:tr>
        <w:trPr>
          <w:cantSplit/>
        </w:trPr>
        <w:tc>
          <w:tcPr>
            <w:tcW w:type="dxa" w:w="31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care.sensitive_occurrences</w:t>
            </w:r>
          </w:p>
        </w:tc>
        <w:tc>
          <w:tcPr>
            <w:tcW w:type="dxa" w:w="59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Saúde/ocorrências sensíveis.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time.agenda</w:t>
            </w:r>
          </w:p>
        </w:tc>
        <w:tc>
          <w:tcPr>
            <w:tcW w:type="dxa" w:w="59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Agenda.</w:t>
            </w:r>
          </w:p>
        </w:tc>
      </w:tr>
      <w:tr>
        <w:trPr>
          <w:cantSplit/>
        </w:trPr>
        <w:tc>
          <w:tcPr>
            <w:tcW w:type="dxa" w:w="31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decision.authorizations</w:t>
            </w:r>
          </w:p>
        </w:tc>
        <w:tc>
          <w:tcPr>
            <w:tcW w:type="dxa" w:w="59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Autorizações.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admin.import</w:t>
            </w:r>
          </w:p>
        </w:tc>
        <w:tc>
          <w:tcPr>
            <w:tcW w:type="dxa" w:w="59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Importação CSV/XLSX.</w:t>
            </w:r>
          </w:p>
        </w:tc>
      </w:tr>
      <w:tr>
        <w:trPr>
          <w:cantSplit/>
        </w:trPr>
        <w:tc>
          <w:tcPr>
            <w:tcW w:type="dxa" w:w="316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analytics.dashboard</w:t>
            </w:r>
          </w:p>
        </w:tc>
        <w:tc>
          <w:tcPr>
            <w:tcW w:type="dxa" w:w="597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Dashboard visual futuro.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branding.white_label</w:t>
            </w:r>
          </w:p>
        </w:tc>
        <w:tc>
          <w:tcPr>
            <w:tcW w:type="dxa" w:w="597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White-label futuro.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8.2 Regra de avaliação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1.  </w:t>
      </w:r>
      <w:r>
        <w:rPr>
          <w:rFonts w:ascii="Nunito Sans" w:hAnsi="Nunito Sans" w:eastAsia="Nunito Sans"/>
          <w:color w:val="1C2022"/>
          <w:sz w:val="17"/>
        </w:rPr>
        <w:t>A instituição recebe um entitlement_snapshot versionado.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2.  </w:t>
      </w:r>
      <w:r>
        <w:rPr>
          <w:rFonts w:ascii="Nunito Sans" w:hAnsi="Nunito Sans" w:eastAsia="Nunito Sans"/>
          <w:color w:val="1C2022"/>
          <w:sz w:val="17"/>
        </w:rPr>
        <w:t>O front-end usa o snapshot para navegação e UX, mas o backend valida novamente.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3.  </w:t>
      </w:r>
      <w:r>
        <w:rPr>
          <w:rFonts w:ascii="Nunito Sans" w:hAnsi="Nunito Sans" w:eastAsia="Nunito Sans"/>
          <w:color w:val="1C2022"/>
          <w:sz w:val="17"/>
        </w:rPr>
        <w:t>O módulo valida feature + limite + contexto antes de aceitar o comando.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4.  </w:t>
      </w:r>
      <w:r>
        <w:rPr>
          <w:rFonts w:ascii="Nunito Sans" w:hAnsi="Nunito Sans" w:eastAsia="Nunito Sans"/>
          <w:color w:val="1C2022"/>
          <w:sz w:val="17"/>
        </w:rPr>
        <w:t>Mudança de plano publica entitlement_changed e invalida caches.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5.  </w:t>
      </w:r>
      <w:r>
        <w:rPr>
          <w:rFonts w:ascii="Nunito Sans" w:hAnsi="Nunito Sans" w:eastAsia="Nunito Sans"/>
          <w:color w:val="1C2022"/>
          <w:sz w:val="17"/>
        </w:rPr>
        <w:t>Bloqueio não apaga dados; muda criação/uso conforme política definida.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6.  </w:t>
      </w:r>
      <w:r>
        <w:rPr>
          <w:rFonts w:ascii="Nunito Sans" w:hAnsi="Nunito Sans" w:eastAsia="Nunito Sans"/>
          <w:color w:val="1C2022"/>
          <w:sz w:val="17"/>
        </w:rPr>
        <w:t>Billing futuro informa estado financeiro a Entitlements, sem editar features diretamente.</w:t>
      </w: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9. Arquitetura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FFF3EE"/>
            <w:tcBorders>
              <w:top w:val="single" w:sz="10" w:color="D63C00"/>
              <w:left w:val="single" w:sz="10" w:color="D63C00"/>
              <w:bottom w:val="single" w:sz="10" w:color="D63C00"/>
              <w:right w:val="single" w:sz="10" w:color="D63C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unito Sans" w:hAnsi="Nunito Sans" w:eastAsia="Nunito Sans"/>
                <w:b/>
                <w:color w:val="B83300"/>
                <w:sz w:val="20"/>
              </w:rPr>
              <w:t>Recomendação v1</w:t>
            </w:r>
          </w:p>
          <w:p>
            <w:pPr>
              <w:spacing w:after="0" w:line="252" w:lineRule="auto"/>
            </w:pPr>
            <w:r>
              <w:rPr>
                <w:rFonts w:ascii="Nunito Sans" w:hAnsi="Nunito Sans" w:eastAsia="Nunito Sans"/>
                <w:color w:val="1C2022"/>
                <w:sz w:val="17"/>
              </w:rPr>
              <w:t>Monólito modular/monorepo por bounded context, com deploy simples e fronteiras rígidas. Microserviços somente quando custo, escala, segurança, equipe ou ciclo de release justificarem.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9.1 Organização 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088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7056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Decisão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Flutter/Dart</w:t>
            </w:r>
          </w:p>
        </w:tc>
        <w:tc>
          <w:tcPr>
            <w:tcW w:type="dxa" w:w="70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Packages/features separados por contexto; UI composition consome application services/read models.</w:t>
            </w:r>
          </w:p>
        </w:tc>
      </w:tr>
      <w:tr>
        <w:trPr>
          <w:cantSplit/>
        </w:trPr>
        <w:tc>
          <w:tcPr>
            <w:tcW w:type="dxa" w:w="20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Supabase/Postgres</w:t>
            </w:r>
          </w:p>
        </w:tc>
        <w:tc>
          <w:tcPr>
            <w:tcW w:type="dxa" w:w="70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Migrations agrupadas por contexto; ownership documentado; RLS aplicada no banco.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Edge Functions/backend</w:t>
            </w:r>
          </w:p>
        </w:tc>
        <w:tc>
          <w:tcPr>
            <w:tcW w:type="dxa" w:w="70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Comandos sensíveis, integração externa, suporte e operações com privilégios.</w:t>
            </w:r>
          </w:p>
        </w:tc>
      </w:tr>
      <w:tr>
        <w:trPr>
          <w:cantSplit/>
        </w:trPr>
        <w:tc>
          <w:tcPr>
            <w:tcW w:type="dxa" w:w="20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Realtime</w:t>
            </w:r>
          </w:p>
        </w:tc>
        <w:tc>
          <w:tcPr>
            <w:tcW w:type="dxa" w:w="70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Somente eventos/objetos autorizados; nenhum canal global com dados privados.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Storage</w:t>
            </w:r>
          </w:p>
        </w:tc>
        <w:tc>
          <w:tcPr>
            <w:tcW w:type="dxa" w:w="70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Buckets privados; Mídia mantém metadados e regras de acesso.</w:t>
            </w:r>
          </w:p>
        </w:tc>
      </w:tr>
      <w:tr>
        <w:trPr>
          <w:cantSplit/>
        </w:trPr>
        <w:tc>
          <w:tcPr>
            <w:tcW w:type="dxa" w:w="2088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Eventos</w:t>
            </w:r>
          </w:p>
        </w:tc>
        <w:tc>
          <w:tcPr>
            <w:tcW w:type="dxa" w:w="7056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Outbox/event table ou mecanismo equivalente para publicação confiável e consumidores idempotentes.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Analytics/Auditoria</w:t>
            </w:r>
          </w:p>
        </w:tc>
        <w:tc>
          <w:tcPr>
            <w:tcW w:type="dxa" w:w="7056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Pipelines separados: produto não substitui evidência de segurança.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9.2 Estrutura de código sugerida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111416"/>
            <w:tcBorders>
              <w:top w:val="single" w:sz="4" w:color="111416"/>
              <w:left w:val="single" w:sz="4" w:color="111416"/>
              <w:bottom w:val="single" w:sz="4" w:color="111416"/>
              <w:right w:val="single" w:sz="4" w:color="11141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color w:val="F5F7F8"/>
                <w:sz w:val="15"/>
              </w:rPr>
              <w:t>apps/app_mobile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apps/admin_web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apps/superadmin_web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packages/shared_kernel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packages/identity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packages/tenancy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packages/authorization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packages/family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packages/social_profiles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packages/flow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packages/now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packages/moments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packages/routine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packages/sensitive_occurrences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packages/chat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packages/agenda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packages/authorizations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packages/media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packages/notifications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packages/entitlements</w:t>
              <w:br/>
            </w:r>
            <w:r>
              <w:rPr>
                <w:rFonts w:ascii="DejaVu Sans Mono" w:hAnsi="DejaVu Sans Mono" w:eastAsia="DejaVu Sans Mono"/>
                <w:color w:val="F5F7F8"/>
                <w:sz w:val="15"/>
              </w:rPr>
              <w:t>packages/audit_analytics</w:t>
            </w:r>
          </w:p>
        </w:tc>
      </w:tr>
    </w:tbl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9.3 Gatilhos para extrair um serviço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Moments exige pipeline de vídeo e escala operacional muito diferente.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Chat exige disponibilidade/throughput independente do restante da plataforma.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Billing exige isolamento de compliance e integrações financeiras.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Um contexto precisa de ciclo de deploy próprio e equipe dedicada.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A separação reduz risco ou custo comprovado; não apenas preferência estética.</w:t>
      </w: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10. Critérios de aceite e próximos passos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10.1 Critérios de aceite do mapa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32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6912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Aceite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Ownership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Toda entidade crítica possui exatamente um contexto proprietário.</w:t>
            </w:r>
          </w:p>
        </w:tc>
      </w:tr>
      <w:tr>
        <w:trPr>
          <w:cantSplit/>
        </w:trPr>
        <w:tc>
          <w:tcPr>
            <w:tcW w:type="dxa" w:w="223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Limites</w:t>
            </w:r>
          </w:p>
        </w:tc>
        <w:tc>
          <w:tcPr>
            <w:tcW w:type="dxa" w:w="691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Cada contexto declara o que controla e o que não controla.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Modularidade social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Flow, Now e Moments são independentes e compostos na interface.</w:t>
            </w:r>
          </w:p>
        </w:tc>
      </w:tr>
      <w:tr>
        <w:trPr>
          <w:cantSplit/>
        </w:trPr>
        <w:tc>
          <w:tcPr>
            <w:tcW w:type="dxa" w:w="223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Entitlements</w:t>
            </w:r>
          </w:p>
        </w:tc>
        <w:tc>
          <w:tcPr>
            <w:tcW w:type="dxa" w:w="691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Feature access é validado no backend e pode variar por plano.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Separação sensível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Rotina comum não incorpora o modelo completo de saúde/ocorrência.</w:t>
            </w:r>
          </w:p>
        </w:tc>
      </w:tr>
      <w:tr>
        <w:trPr>
          <w:cantSplit/>
        </w:trPr>
        <w:tc>
          <w:tcPr>
            <w:tcW w:type="dxa" w:w="223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Agenda/autorizações</w:t>
            </w:r>
          </w:p>
        </w:tc>
        <w:tc>
          <w:tcPr>
            <w:tcW w:type="dxa" w:w="691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Evento e decisão formal possuem ownership separado.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Segurança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Contexto, RLS, mídia privada e auditoria são requisitos transversais.</w:t>
            </w:r>
          </w:p>
        </w:tc>
      </w:tr>
      <w:tr>
        <w:trPr>
          <w:cantSplit/>
        </w:trPr>
        <w:tc>
          <w:tcPr>
            <w:tcW w:type="dxa" w:w="223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Roadmap</w:t>
            </w:r>
          </w:p>
        </w:tc>
        <w:tc>
          <w:tcPr>
            <w:tcW w:type="dxa" w:w="6912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Domínios futuros estão visíveis sem contaminar o MVP.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Integração</w:t>
            </w:r>
          </w:p>
        </w:tc>
        <w:tc>
          <w:tcPr>
            <w:tcW w:type="dxa" w:w="6912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Nenhum contexto exige escrita direta nas tabelas de outro.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10.2 Próximas entregas recomendadas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1.  </w:t>
      </w:r>
      <w:r>
        <w:rPr>
          <w:rFonts w:ascii="Nunito Sans" w:hAnsi="Nunito Sans" w:eastAsia="Nunito Sans"/>
          <w:color w:val="1C2022"/>
          <w:sz w:val="17"/>
        </w:rPr>
        <w:t>Criar Functional Specs individuais para D03 Contexto/Autorização, D05 Perfis/Audiência, D06 Flow, D07 Now, D08 Moments, D10 Rotina, D12 Chat, D13 Agenda e D14 Autorizações.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2.  </w:t>
      </w:r>
      <w:r>
        <w:rPr>
          <w:rFonts w:ascii="Nunito Sans" w:hAnsi="Nunito Sans" w:eastAsia="Nunito Sans"/>
          <w:color w:val="1C2022"/>
          <w:sz w:val="17"/>
        </w:rPr>
        <w:t>Revisar o PRD Modelo de Dados Master para refletir os novos owners e a separação de tabelas de Flow, Now e Moments.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3.  </w:t>
      </w:r>
      <w:r>
        <w:rPr>
          <w:rFonts w:ascii="Nunito Sans" w:hAnsi="Nunito Sans" w:eastAsia="Nunito Sans"/>
          <w:color w:val="1C2022"/>
          <w:sz w:val="17"/>
        </w:rPr>
        <w:t>Criar diagrama ER conceitual por bounded context e contratos entre contextos.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4.  </w:t>
      </w:r>
      <w:r>
        <w:rPr>
          <w:rFonts w:ascii="Nunito Sans" w:hAnsi="Nunito Sans" w:eastAsia="Nunito Sans"/>
          <w:color w:val="1C2022"/>
          <w:sz w:val="17"/>
        </w:rPr>
        <w:t>Definir catálogo inicial de feature codes, limites e comportamento de downgrade.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5.  </w:t>
      </w:r>
      <w:r>
        <w:rPr>
          <w:rFonts w:ascii="Nunito Sans" w:hAnsi="Nunito Sans" w:eastAsia="Nunito Sans"/>
          <w:color w:val="1C2022"/>
          <w:sz w:val="17"/>
        </w:rPr>
        <w:t>Criar padrão de eventos v1 e matriz produtor/consumidor.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6.  </w:t>
      </w:r>
      <w:r>
        <w:rPr>
          <w:rFonts w:ascii="Nunito Sans" w:hAnsi="Nunito Sans" w:eastAsia="Nunito Sans"/>
          <w:color w:val="1C2022"/>
          <w:sz w:val="17"/>
        </w:rPr>
        <w:t>Criar Test Plan de isolamento multi-tenant, múltiplos papéis, entitlements e mídia privada.</w:t>
      </w:r>
    </w:p>
    <w:p>
      <w:pPr>
        <w:spacing w:after="40" w:line="240" w:lineRule="auto"/>
        <w:ind w:left="317" w:hanging="317"/>
      </w:pPr>
      <w:r>
        <w:rPr>
          <w:rFonts w:ascii="Nunito Sans" w:hAnsi="Nunito Sans" w:eastAsia="Nunito Sans"/>
          <w:b/>
          <w:color w:val="1C2022"/>
          <w:sz w:val="17"/>
        </w:rPr>
        <w:t xml:space="preserve">7.  </w:t>
      </w:r>
      <w:r>
        <w:rPr>
          <w:rFonts w:ascii="Nunito Sans" w:hAnsi="Nunito Sans" w:eastAsia="Nunito Sans"/>
          <w:color w:val="1C2022"/>
          <w:sz w:val="17"/>
        </w:rPr>
        <w:t>Validar Saúde/Ocorrências, consentimentos e retenção com jurídico antes do piloto real.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10.3 Decisões ainda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60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6983"/>
            <w:shd w:fill="D63C00"/>
            <w:tcBorders>
              <w:top w:val="single" w:sz="4" w:color="D63C00"/>
              <w:left w:val="single" w:sz="4" w:color="D63C00"/>
              <w:bottom w:val="single" w:sz="4" w:color="D63C00"/>
              <w:right w:val="single" w:sz="4" w:color="D63C0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unito Sans" w:hAnsi="Nunito Sans" w:eastAsia="Nunito Sans"/>
                <w:b/>
                <w:color w:val="FFFFFF"/>
                <w:sz w:val="16"/>
              </w:rPr>
              <w:t>Decisão pendente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Arquitetura física do banco</w:t>
            </w:r>
          </w:p>
        </w:tc>
        <w:tc>
          <w:tcPr>
            <w:tcW w:type="dxa" w:w="6983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Schemas separados, prefixes ou combinação; fechar na Technical Spec.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Medicamentos</w:t>
            </w:r>
          </w:p>
        </w:tc>
        <w:tc>
          <w:tcPr>
            <w:tcW w:type="dxa" w:w="6983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Regras formais, autorização e responsabilidade antes de entrar em produção.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Retenção</w:t>
            </w:r>
          </w:p>
        </w:tc>
        <w:tc>
          <w:tcPr>
            <w:tcW w:type="dxa" w:w="6983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Prazos por mídia, chat, rotina, ocorrência, importação, logs e backups.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Downgrade</w:t>
            </w:r>
          </w:p>
        </w:tc>
        <w:tc>
          <w:tcPr>
            <w:tcW w:type="dxa" w:w="6983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Leitura, criação e exportação quando uma feature deixa de estar ativa.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Planos comerciais</w:t>
            </w:r>
          </w:p>
        </w:tc>
        <w:tc>
          <w:tcPr>
            <w:tcW w:type="dxa" w:w="6983"/>
            <w:shd w:fill="FFFFFF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Nomes, preços e combinações finais; o mapa apenas prepara a estrutura.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Comentários</w:t>
            </w:r>
          </w:p>
        </w:tc>
        <w:tc>
          <w:tcPr>
            <w:tcW w:type="dxa" w:w="6983"/>
            <w:shd w:fill="F8F9FA"/>
            <w:tcBorders>
              <w:top w:val="single" w:sz="3" w:color="DDE0E2"/>
              <w:left w:val="single" w:sz="3" w:color="DDE0E2"/>
              <w:bottom w:val="single" w:sz="3" w:color="DDE0E2"/>
              <w:right w:val="single" w:sz="3" w:color="DDE0E2"/>
            </w:tcBorders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unito Sans" w:hAnsi="Nunito Sans" w:eastAsia="Nunito Sans"/>
                <w:color w:val="1C2022"/>
                <w:sz w:val="16"/>
              </w:rPr>
              <w:t>Preparados no futuro; desativados no MVP.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  <w:pBdr>
          <w:bottom w:val="single" w:sz="12" w:space="4" w:color="D63C00"/>
        </w:pBdr>
      </w:pPr>
      <w:r>
        <w:rPr>
          <w:rFonts w:ascii="Nunito Sans" w:hAnsi="Nunito Sans" w:eastAsia="Nunito Sans"/>
          <w:b/>
          <w:color w:val="1C2022"/>
          <w:sz w:val="32"/>
        </w:rPr>
        <w:t>11. Fontes e referências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11.1 Fontes internas do Coelo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Product Vision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História da Logo e Marca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Mapa competitivo de apps de agenda e comunicação escolar no Brasil.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PRD Master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PRD App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PRD LGPD, Segurança e Mídia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PRD Auth, Multi-tenant e Permissões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PRD Superadmin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PRD Admin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PRD Modelo de Dados Master Oficial v1 — Coelo.</w:t>
      </w:r>
    </w:p>
    <w:p>
      <w:pPr>
        <w:pStyle w:val="ListBullet"/>
        <w:spacing w:after="40" w:line="240" w:lineRule="auto"/>
        <w:ind w:left="317" w:hanging="216"/>
      </w:pPr>
      <w:r>
        <w:rPr>
          <w:rFonts w:ascii="Nunito Sans" w:hAnsi="Nunito Sans" w:eastAsia="Nunito Sans"/>
          <w:color w:val="1C2022"/>
          <w:sz w:val="17"/>
        </w:rPr>
        <w:t>Design System Oficial v1 — Coelo.</w:t>
      </w:r>
    </w:p>
    <w:p>
      <w:pPr>
        <w:pStyle w:val="Heading2"/>
        <w:keepNext/>
        <w:spacing w:before="140" w:after="100"/>
        <w:pBdr>
          <w:bottom w:val="single" w:sz="5" w:space="2" w:color="C4C9CC"/>
        </w:pBdr>
      </w:pPr>
      <w:r>
        <w:rPr>
          <w:rFonts w:ascii="Nunito Sans" w:hAnsi="Nunito Sans" w:eastAsia="Nunito Sans"/>
          <w:b/>
          <w:color w:val="1C2022"/>
          <w:sz w:val="24"/>
        </w:rPr>
        <w:t>11.2 Referências externas</w:t>
      </w:r>
    </w:p>
    <w:p>
      <w:pPr>
        <w:pStyle w:val="ListBullet"/>
        <w:spacing w:after="60"/>
      </w:pPr>
      <w:hyperlink r:id="rId15">
        <w:r>
          <w:rPr>
            <w:color w:val="B83300"/>
            <w:u w:val="single"/>
            <w:rFonts w:ascii="Nunito Sans" w:hAnsi="Nunito Sans"/>
          </w:rPr>
          <w:t>Microsoft Azure Architecture Center — Use Domain Analysis to Model Microservices</w:t>
        </w:r>
      </w:hyperlink>
    </w:p>
    <w:p>
      <w:pPr>
        <w:pStyle w:val="ListBullet"/>
        <w:spacing w:after="60"/>
      </w:pPr>
      <w:hyperlink r:id="rId16">
        <w:r>
          <w:rPr>
            <w:color w:val="B83300"/>
            <w:u w:val="single"/>
            <w:rFonts w:ascii="Nunito Sans" w:hAnsi="Nunito Sans"/>
          </w:rPr>
          <w:t>Martin Fowler — Bounded Context</w:t>
        </w:r>
      </w:hyperlink>
    </w:p>
    <w:p>
      <w:pPr>
        <w:pStyle w:val="ListBullet"/>
        <w:spacing w:after="60"/>
      </w:pPr>
      <w:hyperlink r:id="rId17">
        <w:r>
          <w:rPr>
            <w:color w:val="B83300"/>
            <w:u w:val="single"/>
            <w:rFonts w:ascii="Nunito Sans" w:hAnsi="Nunito Sans"/>
          </w:rPr>
          <w:t>AWS Prescriptive Guidance — Decompose by subdomain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44"/>
            <w:shd w:fill="F7F8F8"/>
            <w:tcBorders>
              <w:top w:val="single" w:sz="10" w:color="C4C9CC"/>
              <w:left w:val="single" w:sz="10" w:color="C4C9CC"/>
              <w:bottom w:val="single" w:sz="10" w:color="C4C9CC"/>
              <w:right w:val="single" w:sz="10" w:color="C4C9CC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unito Sans" w:hAnsi="Nunito Sans" w:eastAsia="Nunito Sans"/>
                <w:b/>
                <w:color w:val="3F4549"/>
                <w:sz w:val="20"/>
              </w:rPr>
              <w:t>Nota de arquitetura</w:t>
            </w:r>
          </w:p>
          <w:p>
            <w:pPr>
              <w:spacing w:after="0" w:line="252" w:lineRule="auto"/>
            </w:pPr>
            <w:r>
              <w:rPr>
                <w:rFonts w:ascii="Nunito Sans" w:hAnsi="Nunito Sans" w:eastAsia="Nunito Sans"/>
                <w:color w:val="1C2022"/>
                <w:sz w:val="17"/>
              </w:rPr>
              <w:t>Este mapa usa DDD estratégico para definir fronteiras e ownership. Ele não transforma automaticamente cada bounded context em microserviço; a decisão de deploy permanece arquitetural e evolutiva.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Nunito Sans" w:hAnsi="Nunito Sans" w:eastAsia="Nunito Sans"/>
          <w:b/>
          <w:color w:val="B83300"/>
          <w:sz w:val="18"/>
        </w:rPr>
        <w:t>COELO · SIMPLES, VISUAL E CONFIÁVEL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572"/>
      <w:gridCol w:w="4572"/>
    </w:tblGrid>
    <w:tr>
      <w:tc>
        <w:tcPr>
          <w:tcW w:type="dxa" w:w="7488"/>
          <w:tcBorders>
            <w:top w:val="single" w:sz="3" w:color="DDE0E2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Nunito Sans" w:hAnsi="Nunito Sans" w:eastAsia="Nunito Sans"/>
              <w:color w:val="737B80"/>
              <w:sz w:val="14"/>
            </w:rPr>
            <w:t>Documento estratégico e técnico · Produto + Engenharia · 21/06/2026</w:t>
          </w:r>
        </w:p>
      </w:tc>
      <w:tc>
        <w:tcPr>
          <w:tcW w:type="dxa" w:w="1655"/>
          <w:tcBorders>
            <w:top w:val="single" w:sz="3" w:color="DDE0E2"/>
          </w:tcBorders>
          <w:tcMar>
            <w:top w:w="5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unito Sans" w:hAnsi="Nunito Sans" w:eastAsia="Nunito Sans"/>
              <w:color w:val="737B8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5" w:space="2" w:color="D63C00"/>
      </w:pBdr>
    </w:pPr>
    <w:r>
      <w:rPr>
        <w:rFonts w:ascii="Nunito Sans" w:hAnsi="Nunito Sans" w:eastAsia="Nunito Sans"/>
        <w:b/>
        <w:color w:val="3F4549"/>
        <w:sz w:val="15"/>
      </w:rPr>
      <w:t>COELO  ·  MAPA DE DOMÍNIOS OFICIAL v1  ·  coelo.me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unito Sans" w:hAnsi="Nunito Sans"/>
      <w:color w:val="1C20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unito Sans" w:hAnsi="Nunito Sans"/>
      <w:b/>
      <w:bCs/>
      <w:color w:val="1C20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unito Sans" w:hAnsi="Nunito Sans"/>
      <w:b/>
      <w:bCs/>
      <w:color w:val="1C20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unito Sans" w:hAnsi="Nunito Sans"/>
      <w:b/>
      <w:bCs/>
      <w:color w:val="1C20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learn.microsoft.com/en-us/azure/architecture/microservices/model/domain-analysis" TargetMode="External"/><Relationship Id="rId16" Type="http://schemas.openxmlformats.org/officeDocument/2006/relationships/hyperlink" Target="https://martinfowler.com/bliki/BoundedContext.html" TargetMode="External"/><Relationship Id="rId17" Type="http://schemas.openxmlformats.org/officeDocument/2006/relationships/hyperlink" Target="https://docs.aws.amazon.com/prescriptive-guidance/latest/modernization-decomposing-monoliths/decompose-subdom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Coelo — Mapa de Domínios Oficial v1</dc:title>
  <dc:subject>Produto completo, MVP/v1, roadmap e bounded contexts</dc:subject>
  <dc:creator>Produto Coelo</dc:creator>
  <cp:keywords>Coelo, DDD, mapa de domínios, bounded contexts, SaaS, multi-tenant</cp:keywords>
  <dc:description>Documento gerado a partir dos PRDs oficiais e decisões validadas em 21/06/2026.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