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pStyle w:val="HexxonKicker"/>
        <w:spacing w:after="40"/>
      </w:pPr>
      <w:r>
        <w:t>HEXXON LABS</w:t>
      </w:r>
    </w:p>
    <w:p>
      <w:pPr>
        <w:pStyle w:val="Title"/>
        <w:spacing w:after="200"/>
      </w:pPr>
      <w:r>
        <w:t>Relatório Consolidado de Entregas e Planejamento de Evolução</w:t>
      </w:r>
    </w:p>
    <w:p>
      <w:pPr>
        <w:pStyle w:val="Subtitle"/>
      </w:pPr>
      <w:r>
        <w:t>Sistema Biodiagnóstico</w:t>
      </w:r>
    </w:p>
    <w:p>
      <w:pPr>
        <w:spacing w:before="120" w:after="400" w:line="276" w:lineRule="auto"/>
      </w:pPr>
      <w:r>
        <w:rPr>
          <w:rFonts w:ascii="Calibri" w:hAnsi="Calibri" w:eastAsia="Calibri"/>
          <w:color w:val="0B2545"/>
          <w:sz w:val="24"/>
        </w:rPr>
        <w:t>Registro informativo das colaborações concluídas e do planejamento comercial previsto até 18 de dezembro de 2026.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Calibri"/>
                <w:b/>
                <w:color w:val="5B6571"/>
                <w:sz w:val="17"/>
              </w:rPr>
              <w:t>PREPARADO POR</w:t>
            </w:r>
          </w:p>
          <w:p>
            <w:pPr>
              <w:spacing w:after="0" w:before="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83080" cy="460150"/>
                  <wp:docPr id="3" name="Picture 3" descr="Logo da Hexxon Labs" title="Logo da Hexxon Lab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46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Calibri"/>
                <w:b/>
                <w:color w:val="5B6571"/>
                <w:sz w:val="17"/>
              </w:rPr>
              <w:t>PREPARADO PARA</w:t>
            </w:r>
          </w:p>
          <w:p>
            <w:pPr>
              <w:spacing w:after="0" w:before="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08275"/>
                  <wp:docPr id="4" name="Picture 4" descr="Logo do Laboratório Biodiagnóstico" title="Logo do Laboratório Biodiagnóstic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08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Calibri"/>
                <w:b/>
                <w:color w:val="5B6571"/>
                <w:sz w:val="17"/>
              </w:rPr>
              <w:t>PERÍODO REALIZADO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01/01/2026 a 17/08/2026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Calibri"/>
                <w:b/>
                <w:color w:val="5B6571"/>
                <w:sz w:val="17"/>
              </w:rPr>
              <w:t>HORIZONTE DE PLANEJAMENTO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18/12/2026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Calibri"/>
                <w:b/>
                <w:color w:val="5B6571"/>
                <w:sz w:val="17"/>
              </w:rPr>
              <w:t>VERSÃO DO DOCUMENTO</w:t>
            </w:r>
          </w:p>
          <w:p>
            <w:pPr>
              <w:spacing w:after="0"/>
            </w:pPr>
            <w:r>
              <w:rPr>
                <w:b w:val="0"/>
              </w:rPr>
              <w:t>1.1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Calibri"/>
                <w:b/>
                <w:color w:val="5B6571"/>
                <w:sz w:val="17"/>
              </w:rPr>
              <w:t>DATA-BASE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17 de agosto de 2026</w:t>
            </w:r>
          </w:p>
        </w:tc>
      </w:tr>
    </w:tbl>
    <w:p>
      <w:pPr>
        <w:spacing w:before="360" w:after="0"/>
      </w:pPr>
      <w:r>
        <w:rPr>
          <w:rFonts w:ascii="Calibri" w:hAnsi="Calibri" w:eastAsia="Calibri"/>
          <w:b/>
          <w:color w:val="5B6571"/>
          <w:sz w:val="17"/>
        </w:rPr>
        <w:t>DOCUMENTO INFORMATIVO - não substitui contrato, proposta comercial, aditivo, termo de aceite ou ordem de serviço.</w:t>
      </w:r>
    </w:p>
    <w:p>
      <w:r>
        <w:br w:type="page"/>
      </w:r>
    </w:p>
    <w:p>
      <w:pPr>
        <w:pStyle w:val="Heading1"/>
      </w:pPr>
      <w:r>
        <w:t>Resumo executivo</w:t>
      </w:r>
    </w:p>
    <w:p>
      <w:pPr>
        <w:spacing w:after="200" w:line="276" w:lineRule="auto"/>
      </w:pPr>
      <w:r>
        <w:rPr>
          <w:rFonts w:ascii="Calibri" w:hAnsi="Calibri" w:eastAsia="Calibri"/>
          <w:b/>
          <w:color w:val="0B2545"/>
          <w:sz w:val="24"/>
        </w:rPr>
        <w:t>Entre janeiro e agosto de 2026, a Hexxon Labs concentrou suas colaborações na modernização do sistema Biodiagnóstico, com migração para Java/React, consolidação do Controle de Qualidade, ampliação da rastreabilidade e criação de novas superfícies de gestão, relatórios e apoio analítico.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CDD"/>
          <w:left w:val="single" w:sz="4" w:space="0" w:color="C8DCDD"/>
          <w:bottom w:val="single" w:sz="4" w:space="0" w:color="C8DCDD"/>
          <w:right w:val="single" w:sz="4" w:space="0" w:color="C8DCDD"/>
          <w:insideH w:val="single" w:sz="4" w:space="0" w:color="C8DCDD"/>
          <w:insideV w:val="single" w:sz="4" w:space="0" w:color="C8DC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4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B6B70"/>
                <w:sz w:val="38"/>
              </w:rPr>
              <w:t>78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B6571"/>
                <w:sz w:val="17"/>
              </w:rPr>
              <w:t>commits únicos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4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B6B70"/>
                <w:sz w:val="38"/>
              </w:rPr>
              <w:t>12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B6571"/>
                <w:sz w:val="17"/>
              </w:rPr>
              <w:t>grupos de entrega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4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B6B70"/>
                <w:sz w:val="38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B6571"/>
                <w:sz w:val="17"/>
              </w:rPr>
              <w:t>integrações Git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4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color w:val="1B6B70"/>
                <w:sz w:val="38"/>
              </w:rPr>
              <w:t>657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5B6571"/>
                <w:sz w:val="17"/>
              </w:rPr>
              <w:t>caminhos versionados</w:t>
            </w:r>
          </w:p>
        </w:tc>
      </w:tr>
    </w:tbl>
    <w:p>
      <w:pPr>
        <w:pStyle w:val="SourceNote"/>
        <w:spacing w:before="80"/>
      </w:pPr>
      <w:r>
        <w:t>Abrangência auditada no Git. Os 657 caminhos representam arquivos tocados ao longo do histórico, não 657 funcionalidades.</w:t>
      </w:r>
    </w:p>
    <w:p>
      <w:pPr>
        <w:spacing w:before="160"/>
      </w:pPr>
      <w:r>
        <w:t>O histórico Git consolidado contém 78 commits únicos, sendo 68 registros de conteúdo e 10 integrações. Todos os commits alcançáveis no período encontram-se hoje incorporados à linha principal remota. Não foram localizadas tags de versão.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Nova plataforma com API Java/Spring Boot, aplicação React/TypeScript, Supabase e Railway.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Controle de Qualidade consolidado para bioquímica, áreas laboratoriais, hematologia e imunologia qualitativa.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Evolução ampla de reagentes, manutenção, dashboard, importação e relatórios profissionais.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Onze recursos assistivos de Inteligência Artificial entregues nas Ondas 1 a 3.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Próximas colaborações organizadas em IA v2, rastreabilidade, validação automatizada e homologação.</w:t>
      </w:r>
    </w:p>
    <w:p>
      <w:pPr>
        <w:pStyle w:val="Heading1"/>
      </w:pPr>
      <w:r>
        <w:t>Objetivo, período e metodologia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Objetivo: </w:t>
      </w:r>
      <w:r>
        <w:rPr>
          <w:rFonts w:ascii="Calibri" w:hAnsi="Calibri" w:eastAsia="Calibri"/>
          <w:color w:val="000000"/>
          <w:sz w:val="22"/>
        </w:rPr>
        <w:t>Registrar o trabalho concluído e apresentar o horizonte de colaboração da Hexxon Labs para o Laboratório Biodiagnóstico.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 solicitado: </w:t>
      </w:r>
      <w:r>
        <w:rPr>
          <w:rFonts w:ascii="Calibri" w:hAnsi="Calibri" w:eastAsia="Calibri"/>
          <w:color w:val="000000"/>
          <w:sz w:val="22"/>
        </w:rPr>
        <w:t>01/01/2026 a 17/08/2026.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Primeira evidência no Git: </w:t>
      </w:r>
      <w:r>
        <w:rPr>
          <w:rFonts w:ascii="Calibri" w:hAnsi="Calibri" w:eastAsia="Calibri"/>
          <w:color w:val="000000"/>
          <w:sz w:val="22"/>
        </w:rPr>
        <w:t>09/04/2026. Não existem commits entre 01/01 e 08/04; documentos datados de março foram incorporados ao repositório no primeiro commit.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Escopo auditado: </w:t>
      </w:r>
      <w:r>
        <w:rPr>
          <w:rFonts w:ascii="Calibri" w:hAnsi="Calibri" w:eastAsia="Calibri"/>
          <w:color w:val="000000"/>
          <w:sz w:val="22"/>
        </w:rPr>
        <w:t>Um repositório Git raiz contendo aplicação, documentação de transição, auditorias, ativos visuais e materiais institucionais, além de todas as referências versionadas, linhas de trabalho, integrações e registros locais disponíveis.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Estado de referência: </w:t>
      </w:r>
      <w:r>
        <w:rPr>
          <w:rFonts w:ascii="Calibri" w:hAnsi="Calibri" w:eastAsia="Calibri"/>
          <w:color w:val="000000"/>
          <w:sz w:val="22"/>
        </w:rPr>
        <w:t>origin/main @ 556fd13, após atualização das referências remotas em 17/08/2026.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Critério de conclusão: </w:t>
      </w:r>
      <w:r>
        <w:rPr>
          <w:rFonts w:ascii="Calibri" w:hAnsi="Calibri" w:eastAsia="Calibri"/>
          <w:color w:val="000000"/>
          <w:sz w:val="22"/>
        </w:rPr>
        <w:t>Implementação versionada e integrada ao histórico canônico, com validação registrada quando indicada. O Git, isoladamente, não comprova implantação, uso em produção, homologação ou aceite formal.</w:t>
      </w:r>
    </w:p>
    <w:p>
      <w:pPr>
        <w:spacing w:before="0" w:after="8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Fonte do planejamento: </w:t>
      </w:r>
      <w:r>
        <w:rPr>
          <w:rFonts w:ascii="Calibri" w:hAnsi="Calibri" w:eastAsia="Calibri"/>
          <w:color w:val="000000"/>
          <w:sz w:val="22"/>
        </w:rPr>
        <w:t>PLANS.md na data-base deste relatório. Alterações locais ainda não commitadas foram consideradas apenas como trabalho em andamento ou previsão.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CDD"/>
          <w:left w:val="single" w:sz="4" w:space="0" w:color="C8DCDD"/>
          <w:bottom w:val="single" w:sz="4" w:space="0" w:color="C8DCDD"/>
          <w:right w:val="single" w:sz="4" w:space="0" w:color="C8DCDD"/>
          <w:insideH w:val="single" w:sz="4" w:space="0" w:color="C8DCDD"/>
          <w:insideV w:val="single" w:sz="4" w:space="0" w:color="C8DC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4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Leitura recomendada: o corpo do documento descreve resultados em linguagem comercial; o anexo preserva a rastreabilidade completa dos 78 commits.</w:t>
            </w:r>
          </w:p>
        </w:tc>
      </w:tr>
    </w:tbl>
    <w:p>
      <w:pPr>
        <w:pStyle w:val="Heading1"/>
      </w:pPr>
      <w:r>
        <w:t>Entregas realizadas e finalizadas</w:t>
      </w:r>
    </w:p>
    <w:p>
      <w:pPr>
        <w:spacing w:after="200"/>
      </w:pPr>
      <w:r>
        <w:t>As entregas abaixo agrupam os commits por resultado percebido pelo laboratório. Integrações, ajustes e refinamentos relacionados foram consolidados no mesmo grupo para evitar duplicidade.</w:t>
      </w:r>
    </w:p>
    <w:p>
      <w:pPr>
        <w:pStyle w:val="Heading2"/>
        <w:keepNext/>
      </w:pPr>
      <w:r>
        <w:t>1. Diagnóstico, auditoria e planejamento da modernização</w:t>
      </w:r>
    </w:p>
    <w:p>
      <w:pPr>
        <w:pStyle w:val="StatusLine"/>
        <w:spacing w:after="80"/>
      </w:pPr>
      <w:r>
        <w:t>Concluída e vigente como base de planejamento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29/03 a 09/04/2026 (documentação incorporada ao Git em 09/04)</w:t>
      </w:r>
    </w:p>
    <w:p>
      <w:pPr>
        <w:spacing w:after="100"/>
      </w:pPr>
      <w:r>
        <w:t>Foi consolidado o levantamento do sistema existente, com documentação de arquitetura, requisitos, implementação, testes, segurança, configuração, evolução e qualidade. O trabalho organizou a migração do ambiente anterior para a plataforma Java/React e estabeleceu um roteiro rastreável para as etapas seguintes.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Mapeamento funcional e técnico do sistema anterior.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Auditoria estruturada dos processos e da qualidade do software.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Plano de transição, sequência de execução e documentação de apoio.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Definição das fontes de verdade e do processo de revisão das entregas.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Redução de incerteza na modernização e criação de uma base comum para todas as colaborações subsequentes.</w:t>
      </w:r>
    </w:p>
    <w:p>
      <w:pPr>
        <w:pStyle w:val="Heading2"/>
        <w:keepNext/>
      </w:pPr>
      <w:r>
        <w:t>2. Fundação da nova plataforma Java/React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09/04 a 16/04/2026</w:t>
      </w:r>
    </w:p>
    <w:p>
      <w:pPr>
        <w:spacing w:after="100"/>
      </w:pPr>
      <w:r>
        <w:t>Foi versionada a fundação da nova plataforma Biodiagnóstico, reunindo backend Java/Spring Boot, frontend React/TypeScript, banco PostgreSQL/Supabase, containers e configuração de execução no Railway.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Estrutura completa da API, modelos, serviços e integrações.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Aplicação web responsiva com componentes reutilizáveis e navegação protegida.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Configuração por ambiente, containers e documentação de implantação.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Migrações de banco e base de testes automatizados.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Plataforma moderna, organizada e preparada para evolução contínua sem perda do fluxo operacional conhecido pelo laboratório.</w:t>
      </w:r>
    </w:p>
    <w:p>
      <w:pPr>
        <w:pStyle w:val="Heading2"/>
        <w:keepNext/>
      </w:pPr>
      <w:r>
        <w:t>3. Segurança, sessão, administração e auditoria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13/04 a 16/04/2026</w:t>
      </w:r>
    </w:p>
    <w:p>
      <w:pPr>
        <w:spacing w:after="100"/>
      </w:pPr>
      <w:r>
        <w:t>Os fluxos de acesso e administração foram fortalecidos, incluindo ciclo de sessão, renovação de acesso, proteção de rotas, recuperação de senha, administração de usuários e trilha de atividades.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Fortalecimento do login, logout e renovação de sessão.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Controle de acesso por perfil e proteção das áreas administrativas.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Gestão de usuários, redefinição de senha e histórico de atividades.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Cadastro dos dados institucionais do laboratório e destinatários de relatórios.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Maior controle sobre quem acessa o sistema e melhor rastreabilidade das ações administrativas.</w:t>
      </w:r>
    </w:p>
    <w:p>
      <w:pPr>
        <w:pStyle w:val="Heading2"/>
        <w:keepNext/>
      </w:pPr>
      <w:r>
        <w:t>4. Controle de Qualidade bioquímico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03/04 a 14/05/2026</w:t>
      </w:r>
    </w:p>
    <w:p>
      <w:pPr>
        <w:spacing w:after="100"/>
      </w:pPr>
      <w:r>
        <w:t>O fluxo bioquímico foi consolidado desde o cadastro de referências até o registro, a análise de histórico, as regras de Westgard, o acompanhamento visual e o pós-calibração.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Cadastro, vigência e seleção rastreável de referências.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Registro de medições com histórico compatível por exame, referência, nível, lote e data.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Aplicação das regras de Westgard e apresentação clara do resultado ao operador.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Gráfico Levey-Jennings com seleção de período e histórico operacional.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Fluxo de pós-calibração refletido no histórico e nos relatórios.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Fluxo de CQ mais coerente, explicável e conectado entre operação, histórico, gráficos e documentos emitidos.</w:t>
      </w:r>
    </w:p>
    <w:p>
      <w:pPr>
        <w:pStyle w:val="Heading2"/>
        <w:keepNext/>
      </w:pPr>
      <w:r>
        <w:t>5. Controle de Qualidade por áreas e hematologia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09/04 a 14/05/2026</w:t>
      </w:r>
    </w:p>
    <w:p>
      <w:pPr>
        <w:spacing w:after="100"/>
      </w:pPr>
      <w:r>
        <w:t>As áreas laboratoriais passaram a contar com superfícies próprias de trabalho, preservando parâmetros, medições, histórico e consolidação das informações. A hematologia recebeu fluxo específico para seus registros.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Áreas de Bioquímica, Hematologia, Imunologia, Parasitologia, Microbiologia e Uroanálise na navegação.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Parâmetros e medições rastreáveis nas áreas especializadas.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Fluxos específicos de hematologia e registros Bio.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Integração dos resultados com o dashboard e os relatórios disponíveis.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Organização do trabalho por área laboratorial e ampliação da cobertura operacional da plataforma.</w:t>
      </w:r>
    </w:p>
    <w:p>
      <w:pPr>
        <w:pStyle w:val="Heading2"/>
        <w:keepNext/>
      </w:pPr>
      <w:r>
        <w:t>6. Manutenção, dashboard e operação cotidiana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16/04 a 02/05/2026</w:t>
      </w:r>
    </w:p>
    <w:p>
      <w:pPr>
        <w:spacing w:after="100"/>
      </w:pPr>
      <w:r>
        <w:t>A rotina diária ganhou indicadores, filtros, histórico por equipamento, ações de edição e exclusão controlada, além de uma navegação reorganizada para acesso direto aos módulos transversais.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Indicadores e filtros de manutenção por tipo, equipamento, técnico e situação.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Histórico por equipamento e possibilidade de desfazer exclusões.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Dashboard com indicadores e alertas operacionais.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Navegação principal com Reagentes, Manutenção e Relatórios em destaque.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Aprimoramentos de acessibilidade, legibilidade e consistência visual.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Acesso mais rápido às rotinas recorrentes e melhor leitura das prioridades do laboratório.</w:t>
      </w:r>
    </w:p>
    <w:p>
      <w:pPr>
        <w:pStyle w:val="Heading2"/>
        <w:keepNext/>
      </w:pPr>
      <w:r>
        <w:t>7. Gestão e rastreabilidade de reagentes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16/04 a 17/06/2026</w:t>
      </w:r>
    </w:p>
    <w:p>
      <w:pPr>
        <w:spacing w:after="100"/>
      </w:pPr>
      <w:r>
        <w:t>O módulo de reagentes evoluiu para controlar o ciclo de vida de lotes e unidades, do recebimento ao final de uso, com histórico de movimentações, arquivamento, filtros e apresentação orientada à prioridade operacional.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Cadastro de lotes com fabricante, etiqueta, validade, localização e fornecedor.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Controle separado de unidades em estoque e em uso.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Registro de entrada, abertura, fechamento, consumo e ajustes.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Datas declaradas de abertura e final de uso, com histórico de movimentações.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Arquivamento e exclusão como ações distintas, com controles de permissão.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Unicidade por lote, fabricante e etiqueta e identificação visual por área.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Relatórios de rastreabilidade por etiqueta e por entidade.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Visão mais completa sobre estoque, validade, uso e trajetória de cada lote de reagente.</w:t>
      </w:r>
    </w:p>
    <w:p>
      <w:pPr>
        <w:pStyle w:val="Heading2"/>
        <w:keepNext/>
      </w:pPr>
      <w:r>
        <w:t>8. Relatórios profissionais e pacote regulatório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16/04 a 17/06/2026</w:t>
      </w:r>
    </w:p>
    <w:p>
      <w:pPr>
        <w:spacing w:after="100"/>
      </w:pPr>
      <w:r>
        <w:t>Foi criada uma plataforma de relatórios com catálogo, filtros, histórico, assinatura, verificação e documentos especializados para CQ, Westgard, reagentes, manutenção, calibração, múltiplas áreas e pacote regulatório.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Capa institucional, dados do laboratório e numeração própria dos documentos.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Sete modalidades de relatório com gráficos, filtros e conteúdo detalhado.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Assinatura, verificação pública e registro do histórico de emissões.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Histórico diário do CQ e detalhamento por exame, área, equipamento ou etiqueta.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Pacote regulatório consolidado e registro de downloads.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Métricas de geração e melhorias sucessivas de estabilidade e apresentação.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Documentos mais completos, verificáveis e adequados à prestação de contas e à rastreabilidade operacional.</w:t>
      </w:r>
    </w:p>
    <w:p>
      <w:pPr>
        <w:pStyle w:val="Heading2"/>
        <w:keepNext/>
      </w:pPr>
      <w:r>
        <w:t>9. Controle qualitativo de imunologia</w:t>
      </w:r>
    </w:p>
    <w:p>
      <w:pPr>
        <w:pStyle w:val="StatusLine"/>
        <w:spacing w:after="80"/>
      </w:pPr>
      <w:r>
        <w:t>Concluída e vigente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29/05 a 01/06/2026</w:t>
      </w:r>
    </w:p>
    <w:p>
      <w:pPr>
        <w:spacing w:after="100"/>
      </w:pPr>
      <w:r>
        <w:t>Foi implementado o fluxo qualitativo de imunologia, com conjuntos de controle, itens, rodadas, resultados, associação com reagentes, histórico e interface ajustada ao modelo operacional do laboratório.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Cadastro de conjuntos e itens de controle.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Registro de rodadas e seus resultados.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Associação do registro ao reagente utilizado.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Interface refinada e nomenclatura consolidada como soro-controle.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Cobertura automatizada do fluxo e integração com relatórios.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Digitalização de uma rotina qualitativa específica, mantendo o formato familiar à operação.</w:t>
      </w:r>
    </w:p>
    <w:p>
      <w:pPr>
        <w:pStyle w:val="Heading2"/>
        <w:keepNext/>
      </w:pPr>
      <w:r>
        <w:t>10. Recursos assistivos de Inteligência Artificial</w:t>
      </w:r>
    </w:p>
    <w:p>
      <w:pPr>
        <w:pStyle w:val="StatusLine"/>
        <w:spacing w:after="80"/>
      </w:pPr>
      <w:r>
        <w:t>Concluída e vigente nas Ondas 1 a 3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17/06 a 18/06/2026</w:t>
      </w:r>
    </w:p>
    <w:p>
      <w:pPr>
        <w:spacing w:after="100"/>
      </w:pPr>
      <w:r>
        <w:t>Foram entregues onze recursos assistivos de IA para apoiar a leitura dos dados, a priorização e a revisão humana, mantendo as decisões laboratoriais no núcleo determinístico do sistema.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Explicação de violações e interpretação de tendências.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Sugestão de observações e chat sobre dados de CQ.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Apoio à validação de planilhas e à escolha explícita de referências.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Resumos executivo e administrativo.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Hipóteses de causa-raiz e priorização operacional.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Detecção preventiva de tendências antes de uma rejeição.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Migração do provedor para OpenAI e padronização visual das respostas.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Apoio analítico mais rápido para o operador e para a administração, sempre sujeito à revisão humana.</w:t>
      </w:r>
    </w:p>
    <w:p>
      <w:pPr>
        <w:pStyle w:val="Heading2"/>
        <w:keepNext/>
      </w:pPr>
      <w:r>
        <w:t>11. Qualidade, testes e preparação operacional</w:t>
      </w:r>
    </w:p>
    <w:p>
      <w:pPr>
        <w:pStyle w:val="StatusLine"/>
        <w:spacing w:after="80"/>
      </w:pPr>
      <w:r>
        <w:t>Atividade contínua incorporada às entregas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Abril a junho de 2026</w:t>
      </w:r>
    </w:p>
    <w:p>
      <w:pPr>
        <w:spacing w:after="100"/>
      </w:pPr>
      <w:r>
        <w:t>As funcionalidades foram acompanhadas por testes automatizados, validações de compilação e construção, migrações versionadas, configuração por ambiente e ciclos de revisão e integração.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Conjuntos automatizados de validação dos serviços e da aplicação web.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Validações de compilação e qualidade da aplicação registradas nos marcos de entrega.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Migrações versionadas para evolução controlada do banco.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Dez integrações formais, incluindo nove solicitações de incorporação à linha principal.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Documentação de implantação e configuração por ambiente.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Maior previsibilidade na evolução do sistema e evidências repetíveis em cada marco de desenvolvimento.</w:t>
      </w:r>
    </w:p>
    <w:p>
      <w:pPr>
        <w:pStyle w:val="Heading2"/>
        <w:keepNext/>
      </w:pPr>
      <w:r>
        <w:t>12. Materiais institucionais e de apresentação</w:t>
      </w:r>
    </w:p>
    <w:p>
      <w:pPr>
        <w:pStyle w:val="StatusLine"/>
        <w:spacing w:after="80"/>
      </w:pPr>
      <w:r>
        <w:t>Concluída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Período: </w:t>
      </w:r>
      <w:r>
        <w:rPr>
          <w:rFonts w:ascii="Calibri" w:hAnsi="Calibri" w:eastAsia="Calibri"/>
          <w:color w:val="000000"/>
          <w:sz w:val="22"/>
        </w:rPr>
        <w:t>Abril a junho de 2026</w:t>
      </w:r>
    </w:p>
    <w:p>
      <w:pPr>
        <w:spacing w:after="100"/>
      </w:pPr>
      <w:r>
        <w:t>Foram preparados materiais de análise visual, capturas das principais telas, documentação de implantação e conteúdo institucional para apresentação do projeto.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Análise das abas e dos principais fluxos do Biodiagnóstico.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Conjunto de imagens das telas de CQ, referências, relatórios e reagentes.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Material institucional de apresentação pública do projeto.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Guias de implantação e operação do ambiente.</w:t>
      </w:r>
    </w:p>
    <w:p>
      <w:pPr>
        <w:spacing w:before="0" w:after="160" w:line="264" w:lineRule="auto"/>
      </w:pPr>
      <w:r>
        <w:rPr>
          <w:rFonts w:ascii="Calibri" w:hAnsi="Calibri" w:eastAsia="Calibri"/>
          <w:b/>
          <w:color w:val="0B2545"/>
          <w:sz w:val="22"/>
        </w:rPr>
        <w:t xml:space="preserve">Valor para o contratante: </w:t>
      </w:r>
      <w:r>
        <w:rPr>
          <w:rFonts w:ascii="Calibri" w:hAnsi="Calibri" w:eastAsia="Calibri"/>
          <w:color w:val="0B2545"/>
          <w:sz w:val="22"/>
        </w:rPr>
        <w:t>Melhor comunicação do progresso e apoio à apresentação do sistema para públicos técnicos e institucionais.</w:t>
      </w:r>
    </w:p>
    <w:p>
      <w:r>
        <w:br w:type="page"/>
      </w:r>
    </w:p>
    <w:p>
      <w:pPr>
        <w:pStyle w:val="Heading1"/>
      </w:pPr>
      <w:r>
        <w:t>Evolução cronológica consolidada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6"/>
          <w:left w:val="single" w:sz="5" w:space="0" w:color="D8DEE6"/>
          <w:bottom w:val="single" w:sz="5" w:space="0" w:color="D8DEE6"/>
          <w:right w:val="single" w:sz="5" w:space="0" w:color="D8DEE6"/>
          <w:insideH w:val="single" w:sz="5" w:space="0" w:color="D8DEE6"/>
          <w:insideV w:val="single" w:sz="5" w:space="0" w:color="D8DEE6"/>
        </w:tblBorders>
      </w:tblPr>
      <w:tblGrid>
        <w:gridCol w:w="1550"/>
        <w:gridCol w:w="2600"/>
        <w:gridCol w:w="5210"/>
      </w:tblGrid>
      <w:tr>
        <w:trPr>
          <w:tblHeader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Período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Marco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Registro comercial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01/01 a 08/04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Sem commits no histórico disponível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 período foi mantido no escopo, mas a primeira evidência versionada é de 09/04.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09/04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Base completa versionada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Aplicação, documentação de transição, auditorias e estrutura operacional incorporadas ao Git.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13/04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Segurança e administração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Fortalecimento de sessão, acesso, usuários e trilha de atividades.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16/04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CQ, configuração e Sprints A-E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Aprimoramentos de CQ, identidade dos relatórios, manutenção, reagentes, importação e testes iniciais do frontend.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20/04 a 02/05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 e Relatórios V2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Evolução estrutural dos lotes, estoque, rastreabilidade, catálogo de relatórios e pacote regulatório.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14/05 a 01/06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Alinhamento de entrega e Imunologia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Consolidação de CQ/relatórios e implementação do fluxo qualitativo de imunologia.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10/06 a 18/06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Integrações e recursos de IA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da versão oficial e entrega das Ondas 1 a 3 de apoio assistivo.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06/08 a 11/08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Ciclo de revisão de coagulação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Implementação posteriormente desativada em revisão versionada; não integra o produto vigente.</w:t>
            </w:r>
          </w:p>
        </w:tc>
      </w:tr>
    </w:tbl>
    <w:p>
      <w:pPr>
        <w:pStyle w:val="Heading1"/>
      </w:pPr>
      <w:r>
        <w:t>Evidências registradas de validação</w:t>
      </w:r>
    </w:p>
    <w:p>
      <w:pPr>
        <w:spacing w:after="160"/>
      </w:pPr>
      <w:r>
        <w:t>Os números abaixo são fotografias de marcos diferentes do projeto. Eles demonstram evolução de cobertura e não devem ser somados nem interpretados como reexecução realizada para este relatório.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6"/>
          <w:left w:val="single" w:sz="5" w:space="0" w:color="D8DEE6"/>
          <w:bottom w:val="single" w:sz="5" w:space="0" w:color="D8DEE6"/>
          <w:right w:val="single" w:sz="5" w:space="0" w:color="D8DEE6"/>
          <w:insideH w:val="single" w:sz="5" w:space="0" w:color="D8DEE6"/>
          <w:insideV w:val="single" w:sz="5" w:space="0" w:color="D8DEE6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Data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Marco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Evidência histórica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04/04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Consolidação inicial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139 testes dos serviços e compilação da aplicação web sem erros, conforme registro no PLANS.md.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16/04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Sprints A-E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167 testes dos serviços, 17 testes da aplicação web e compilação validados.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22/04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 V2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Evolução registrada de 293 para 332 testes dos serviços e 37 testes da aplicação web.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02/05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 e rastreabilidade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406 testes dos serviços, 52 testes da aplicação web e compilação validados.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17/06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Ondas de IA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Evolução registrada de 531 para 600 testes dos serviços e de 64 para 87 testes da aplicação web.</w:t>
            </w:r>
          </w:p>
        </w:tc>
      </w:tr>
    </w:tbl>
    <w:p>
      <w:r>
        <w:br w:type="page"/>
      </w:r>
    </w:p>
    <w:p>
      <w:pPr>
        <w:pStyle w:val="Heading1"/>
      </w:pPr>
      <w:r>
        <w:t>Trabalho em andamento na data-base</w:t>
      </w:r>
    </w:p>
    <w:p>
      <w:pPr>
        <w:spacing w:after="160"/>
      </w:pPr>
      <w:r>
        <w:t>Na data de elaboração, a Onda 4 de IA está descrita no plano de trabalho e possui alterações locais ainda não incorporadas a um commit. Por esse motivo, ela não foi contabilizada entre as entregas concluídas.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Fase A em implementação: respostas progressivas, tratamento de disponibilidade e reforço de estabilidade.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Fase B prevista: contexto estruturado, segmentação por lote, monitoramento de tendências e auditoria leve.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Fase C prevista: histórico persistido de conversas, feedback e telemetria.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CDD"/>
          <w:left w:val="single" w:sz="4" w:space="0" w:color="C8DCDD"/>
          <w:bottom w:val="single" w:sz="4" w:space="0" w:color="C8DCDD"/>
          <w:right w:val="single" w:sz="4" w:space="0" w:color="C8DCDD"/>
          <w:insideH w:val="single" w:sz="4" w:space="0" w:color="C8DCDD"/>
          <w:insideV w:val="single" w:sz="4" w:space="0" w:color="C8DCD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4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Status comercial: em andamento. Não integra o total de entregas finalizadas deste relatório.</w:t>
            </w:r>
          </w:p>
        </w:tc>
      </w:tr>
    </w:tbl>
    <w:p>
      <w:pPr>
        <w:pStyle w:val="Heading1"/>
      </w:pPr>
      <w:r>
        <w:t>Próximas colaborações previstas até 18/12/2026</w:t>
      </w:r>
    </w:p>
    <w:p>
      <w:pPr>
        <w:spacing w:after="160"/>
      </w:pPr>
      <w:r>
        <w:t>O horizonte abaixo organiza o PLANS.md em marcos comerciais. As datas intermediárias representam janelas de trabalho propostas para planejamento e poderão ser ajustadas em alinhamento com o contratante.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6"/>
          <w:left w:val="single" w:sz="5" w:space="0" w:color="D8DEE6"/>
          <w:bottom w:val="single" w:sz="5" w:space="0" w:color="D8DEE6"/>
          <w:right w:val="single" w:sz="5" w:space="0" w:color="D8DEE6"/>
          <w:insideH w:val="single" w:sz="5" w:space="0" w:color="D8DEE6"/>
          <w:insideV w:val="single" w:sz="5" w:space="0" w:color="D8DEE6"/>
        </w:tblBorders>
      </w:tblPr>
      <w:tblGrid>
        <w:gridCol w:w="1450"/>
        <w:gridCol w:w="1850"/>
        <w:gridCol w:w="3900"/>
        <w:gridCol w:w="21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Janela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Colaboração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Resultado esperado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Marco de conclusão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17/08 a 18/09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IA v2 - Fase A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Respostas progressivas, melhor tratamento de disponibilidade e reforço da experiência assistiva.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Conclusão técnica e validação registradas.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21/09 a 30/10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IA v2 - Fase B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Respostas estruturadas, contexto segmentado, acompanhamento preventivo e controles administrativos leves.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Revisão integrada de API e interface.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02/11 a 27/11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IA v2 - Fase C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Histórico de conversas entre dispositivos, feedback e indicadores de uso.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Migrações e evidências de validação concluídas.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30/11 a 11/12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Rastreabilidade e cobertura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Aprimoramento do vínculo entre fabricante, lote e CQ, revisão de movimentações e expansão dos testes da aplicação web.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Fluxos prioritários validados de ponta a ponta.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14/12 a 18/12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Versão e homologação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Fechamento das fases, versão formal, pacote documental, publicação em homologação e testes básicos de disponibilidade.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Pacote disponibilizado para validação do contratante.</w:t>
            </w:r>
          </w:p>
        </w:tc>
      </w:tr>
    </w:tbl>
    <w:p>
      <w:pPr>
        <w:pStyle w:val="Heading2"/>
      </w:pPr>
      <w:r>
        <w:t>Premissas comerciais do horizonte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O planejamento é informativo e não cria obrigação contratual automática.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A execução pressupõe manutenção do escopo, priorização contínua e disponibilidade dos acessos necessários.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Publicação e homologação dependem da disponibilidade do ambiente e da validação do contratante.</w:t>
      </w:r>
    </w:p>
    <w:p>
      <w:pPr>
        <w:numPr>
          <w:ilvl w:val="0"/>
          <w:numId w:val="90"/>
        </w:numPr>
        <w:spacing w:before="0" w:after="80" w:line="280" w:lineRule="auto"/>
      </w:pPr>
      <w:r>
        <w:rPr>
          <w:rFonts w:ascii="Calibri" w:hAnsi="Calibri" w:eastAsia="Calibri"/>
          <w:color w:val="000000"/>
          <w:sz w:val="22"/>
        </w:rPr>
        <w:t>Novas funcionalidades fora do PLANS.md deverão ser tratadas em alinhamento específico.</w:t>
      </w:r>
    </w:p>
    <w:p>
      <w:pPr>
        <w:pStyle w:val="Heading1"/>
      </w:pPr>
      <w:r>
        <w:t>Considerações finais</w:t>
      </w:r>
    </w:p>
    <w:p>
      <w:r>
        <w:t>O histórico analisado demonstra uma evolução ampla do Biodiagnóstico: a base tecnológica foi modernizada, os fluxos centrais de Controle de Qualidade foram consolidados e os módulos de apoio ganharam rastreabilidade, relatórios e recursos assistivos. O planejamento até 18/12/2026 prioriza concluir as etapas em andamento, ampliar a validação e preparar uma versão formal para homologação.</w:t>
      </w:r>
    </w:p>
    <w:p>
      <w:r>
        <w:t>Como documento informativo, este relatório não contém valores, horas, campos de assinatura ou declaração de aceite.</w:t>
      </w:r>
    </w:p>
    <w:p>
      <w:pPr>
        <w:pStyle w:val="Heading2"/>
      </w:pPr>
      <w:r>
        <w:t>Fontes consultadas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Histórico completo do Git em todas as referências, atualizado em 17/08/2026.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Árvore consolidada em origin/main no commit 556fd13.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PLANS.md, utilizado como fonte de planejamento e status das fases.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README.md e documentação de transição em transicao-java.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Materiais históricos e auditorias em tudo para a transicao.</w:t>
      </w:r>
    </w:p>
    <w:p>
      <w:pPr>
        <w:numPr>
          <w:ilvl w:val="0"/>
          <w:numId w:val="90"/>
        </w:numPr>
        <w:spacing w:before="0" w:after="60" w:line="280" w:lineRule="auto"/>
      </w:pPr>
      <w:r>
        <w:rPr>
          <w:rFonts w:ascii="Calibri" w:hAnsi="Calibri" w:eastAsia="Calibri"/>
          <w:color w:val="000000"/>
          <w:sz w:val="22"/>
        </w:rPr>
        <w:t>Código ativo da API Java e da aplicação web React.</w:t>
      </w:r>
    </w:p>
    <w:p>
      <w:r>
        <w:br w:type="page"/>
      </w:r>
    </w:p>
    <w:p>
      <w:pPr>
        <w:pStyle w:val="Heading1"/>
      </w:pPr>
      <w:r>
        <w:t>Anexo A - Inventário completo de commits</w:t>
      </w:r>
    </w:p>
    <w:p>
      <w:r>
        <w:t>Os 78 commits alcançáveis no período são apresentados uma única vez. As integrações do histórico não representam entregas adicionais. As descrições foram adaptadas para leitura comercial; o hash preserva a rastreabilidade técnica.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1150"/>
        <w:gridCol w:w="1050"/>
        <w:gridCol w:w="1200"/>
        <w:gridCol w:w="2200"/>
        <w:gridCol w:w="3760"/>
      </w:tblGrid>
      <w:tr>
        <w:trPr>
          <w:tblHeader w:val="true"/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Data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Hash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Tipo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Agrupamento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Registro histórico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09/04/2026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6b79c8e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Registro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Diagnóstico e planejamento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Registro inicial da base completa do projeto, incluindo aplicação, documentação de transição, auditorias e estrutura operacional.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13/04/2026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c4b86b2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Segurança e administração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Reforço do fluxo de autenticação e do ciclo de acesso.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13/04/2026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67a428d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Segurança e administração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Reforço do tratamento de sessão na aplicação web.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13/04/2026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1de7a1a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Segurança e administração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Administração de usuários e trilha de atividades administrativas.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13/04/2026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8c9c653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Segurança e administração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Ajuste da configuração de produção para o serviço de e-mail.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078fded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Aprimoramento de acessibilidade, legibilidade e consistência da interface.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6be98f6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Aplicação das correções previstas no plano de entrega do Controle de Qualidade.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bea2d6b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Inclusão de filtro por período no gráfico de acompanhamento do Controle de Qualidade.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758b842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Inclusão de filtros de vigência na gestão de referências.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eef65f4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Organização do Controle de Qualidade em áreas laboratoriais específicas.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874344f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Novo retorno após o registro e inclusão do estado de pós-calibração no histórico e nos relatórios.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75d23b2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Simplificação do cadastro de referências para reduzir campos não aplicáveis ao fluxo.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6e0b431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Segurança e administração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Cadastro administrativo dos dados institucionais do laboratório e dos destinatários de relatórios.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79190c3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Padronização da capa, da identificação institucional e da numeração dos documentos emitidos.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8e1b898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Registro histórico de alinhamento do estado do subprojeto.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945711b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Organização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Organização da estrutura do código para facilitar manutenção e evolução.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ebc2098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Compatibilidade das alterações de banco com o processo de migração versionada.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e4ec44f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Consolidação das etapas de sessão, identidade visual, manutenção, reagentes, relatórios e importação.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f1a5bb0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Configuração dinâmica da URL da API por ambiente.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1a66fcd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Organização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Reorganização do módulo de reagentes e prevenção de cadastros duplicados.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b72a731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Acesso direto a Reagentes, Manutenção e Relatórios, com funções administrativas reunidas no menu do usuário.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3ca9a5c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Separação dos estados inativo e vencido, com registro das alterações.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0ec8a47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Adequação da interface à separação entre lotes inativos e vencidos.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21/04/2026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03aaafa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dos Relatórios V2 com catálogo, geração, assinatura, armazenamento e verificação.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21/04/2026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70e44c0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Catálogo, construtor dinâmico e página pública de verificação de relatórios.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21/04/2026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1237cfa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Estabilização da inicialização dos Relatórios V2 quando o armazenamento não está configurado.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22/04/2026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f840d0e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Disponibilização de sete modalidades de relatório com gráficos, apoio analítico e pacote regulatório.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22/04/2026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94e1f64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Adequação do cadastro de lotes para aceitar datas opcionais não informadas.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22/04/2026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02804d2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Primeira etapa de estabilização e reforço da qualidade dos relatórios.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22/04/2026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cbf1c55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Segunda etapa dos relatórios, com auditoria de downloads e indicadores operacionais.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22/04/2026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b0744da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Mapa visual das ocorrências de Westgard organizado por severidade.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22/04/2026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ae9f8f4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Tolerância configurável para a variação do coeficiente de variação em calibrações.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26/04/2026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6fc2396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Estabilização da segunda versão da plataforma de relatórios.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27/04/2026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5dfbf87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Registro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Evolução do módulo de reagentes.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27/04/2026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06d32c5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Consolidação do fluxo de estados dos reagentes.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27/04/2026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42f5b71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Padronização da seleção de fabricante, localização e fornecedor.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27/04/2026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e4b6072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por unidade, estado inativo e separação entre arquivamento e exclusão.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cd809b3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Registro das datas de abertura e consumo, edição simplificada e controle do final de uso.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81ea5ef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Ajuste da nomenclatura de entrada no cadastro de novos lotes.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3917ae2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Adequação da visão consolidada para ocultar lotes inativos.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d1e29ba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Organização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Simplificação do cabeçalho do módulo de reagentes.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fc10d55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 de rastreabilidade de reagentes organizado por etiqueta, com informações completas.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37dd48c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Organização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Remoção de informação duplicada no cabeçalho da gestão de reagentes.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a63ad5a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Organização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Fundação e operação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Remoção de informação duplicada no cabeçalho de manutenção.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679c2d8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Ampliação da rastreabilidade em quatro modalidades de relatório, com detalhamento por entidade.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f1db6bf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Organização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Aprimoramento visual do catálogo de relatórios.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02/05/2026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38132ba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Relatórios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Inclusão do histórico diário de Controle de Qualidade no pacote regulatório.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14/05/2026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57833e6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Controle de Qualidade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Alinhamento entre Controle de Qualidade e relatórios para consolidação da entrega.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15/05/2026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397337d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Correção da identificação única dos lotes de reagentes.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15/05/2026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4a5f94a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#1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7e0f93f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Implementação do Controle de Qualidade qualitativo de imunologia.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4708d05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Adequação do fluxo de imunologia ao modelo operacional utilizado pelo laboratório.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4651f01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#2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8740893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Interface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Aprimoramento visual da interface de imunologia.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5d76f68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Conclusão do fluxo funcional de imunologia.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0e7130c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#3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9098f69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Interface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Refinamento da apresentação do fluxo de imunologia.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375e32d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#4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29/05/2026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786e7d0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Interface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Padronização do cabeçalho do Controle de Qualidade de imunologia.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31/05/2026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39decc7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Registro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Revisão do fluxo de Controle de Qualidade de imunologia.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01/06/2026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82fbd70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Registro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Imunologia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Padronização da nomenclatura de soro-controle na imunologia.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10/06/2026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3c2b6e1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da versão de desenvolvimento à linha oficial.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e02ed67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Registro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Validação e materiais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Aprimoramentos de validação e relatórios, análise das telas e materiais institucionais do 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b220412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#5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491694c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Reagentes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Identificação visual da área laboratorial nas etiquetas de reagentes.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b646707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#6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ed9c125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Inteligência Artificial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Disponibilização de recursos assistivos de Inteligência Artificial e atualização do provedor tecnológico.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577b31c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Documentação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Inteligência Artificial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Atualização da documentação de configuração do ambiente para o provedor de Inteligência Artificial adotado.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61688d1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Inteligência Artificial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Segunda onda de IA, com apoio à validação em lote e à escolha explícita de referências.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70ee03e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Inteligência Artificial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Terceira onda de IA, com resumos, apoio à auditoria, hipóteses de causa-raiz e priorização operacional.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399b68f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Ajuste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Inteligência Artificial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Estabilização do acesso aos registros relacionados durante o uso dos recursos assistivos.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17/06/2026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2d81e9a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Inteligência Artificial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Detecção preventiva de tendências antes de uma possível rejeição.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18/06/2026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6609ffd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Inteligência Artificial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Padronização visual da apresentação das respostas assistivas de IA.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18/06/2026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b68fbd9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#7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06/08/2026</w:t>
            </w:r>
          </w:p>
        </w:tc>
        <w:tc>
          <w:tcPr>
            <w:tcW w:type="dxa" w:w="105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501ca57</w:t>
            </w:r>
          </w:p>
        </w:tc>
        <w:tc>
          <w:tcPr>
            <w:tcW w:type="dxa" w:w="120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Evolução</w:t>
            </w:r>
          </w:p>
        </w:tc>
        <w:tc>
          <w:tcPr>
            <w:tcW w:type="dxa" w:w="220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Ciclo histórico de coagulação</w:t>
            </w:r>
          </w:p>
        </w:tc>
        <w:tc>
          <w:tcPr>
            <w:tcW w:type="dxa" w:w="37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Ciclo histórico: inclusão de controle de coagulação, posteriormente desativada em revisão versionada.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06/08/2026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b156bf9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#8 à linha principal do projeto.</w:t>
            </w:r>
          </w:p>
        </w:tc>
      </w:tr>
      <w:tr>
        <w:trPr>
          <w:cantSplit w:val="true"/>
        </w:trPr>
        <w:tc>
          <w:tcPr>
            <w:tcW w:type="dxa" w:w="115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11/08/2026</w:t>
            </w:r>
          </w:p>
        </w:tc>
        <w:tc>
          <w:tcPr>
            <w:tcW w:type="dxa" w:w="105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fcce80e</w:t>
            </w:r>
          </w:p>
        </w:tc>
        <w:tc>
          <w:tcPr>
            <w:tcW w:type="dxa" w:w="120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Reversão</w:t>
            </w:r>
          </w:p>
        </w:tc>
        <w:tc>
          <w:tcPr>
            <w:tcW w:type="dxa" w:w="220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Ciclo histórico de coagulação</w:t>
            </w:r>
          </w:p>
        </w:tc>
        <w:tc>
          <w:tcPr>
            <w:tcW w:type="dxa" w:w="37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Retirada controlada do controle de coagulação; o estado consolidado permanece sem essa funcionalidade.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11/08/2026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556fd13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Integração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Integração e governança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Incorporação da solicitação #9 à linha principal do projeto.</w:t>
            </w:r>
          </w:p>
        </w:tc>
      </w:tr>
    </w:tbl>
    <w:p>
      <w:r>
        <w:br w:type="page"/>
      </w:r>
    </w:p>
    <w:p>
      <w:pPr>
        <w:pStyle w:val="Heading1"/>
      </w:pPr>
      <w:r>
        <w:t>Anexo B - Referências, integrações e rastreabilidade</w:t>
      </w:r>
    </w:p>
    <w:p>
      <w:pPr>
        <w:pStyle w:val="Heading2"/>
      </w:pPr>
      <w:r>
        <w:t>Nota sobre o ciclo de coagulação</w:t>
      </w:r>
    </w:p>
    <w:p>
      <w:r>
        <w:t>O histórico registra a implementação em 06/08 e a desativação em 11/08. A sequência foi mantida no Anexo A por completude histórica, mas o controle de coagulação não é apresentado como capacidade vigente.</w:t>
      </w:r>
    </w:p>
    <w:p>
      <w:pPr>
        <w:pStyle w:val="Heading2"/>
      </w:pPr>
      <w:r>
        <w:t>Versões intermediárias preservadas no histórico</w:t>
      </w:r>
    </w:p>
    <w:p>
      <w:r>
        <w:t>Dois registros não alcançáveis pelas referências atuais foram identificados. Ambos possuem conteúdo equivalente a versões posteriores geradas após reorganização do histórico e não foram contados como novas entregas.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6"/>
          <w:left w:val="single" w:sz="5" w:space="0" w:color="D8DEE6"/>
          <w:bottom w:val="single" w:sz="5" w:space="0" w:color="D8DEE6"/>
          <w:right w:val="single" w:sz="5" w:space="0" w:color="D8DEE6"/>
          <w:insideH w:val="single" w:sz="5" w:space="0" w:color="D8DEE6"/>
          <w:insideV w:val="single" w:sz="5" w:space="0" w:color="D8DEE6"/>
        </w:tblBorders>
      </w:tblPr>
      <w:tblGrid>
        <w:gridCol w:w="1900"/>
        <w:gridCol w:w="1900"/>
        <w:gridCol w:w="5560"/>
      </w:tblGrid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Registro intermediário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Equivalente vigente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Tratamento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70308ff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ed9c125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Mesma alteração da Onda 1 de IA após reorganização do histórico; não duplicada.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4c08f7a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8740893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Mesmo refinamento visual de imunologia após reorganização do histórico; não duplicado.</w:t>
            </w:r>
          </w:p>
        </w:tc>
      </w:tr>
    </w:tbl>
    <w:p>
      <w:pPr>
        <w:pStyle w:val="Heading2"/>
      </w:pPr>
      <w:r>
        <w:t>Referências versionadas auditadas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D8DEE6"/>
          <w:left w:val="single" w:sz="5" w:space="0" w:color="D8DEE6"/>
          <w:bottom w:val="single" w:sz="5" w:space="0" w:color="D8DEE6"/>
          <w:right w:val="single" w:sz="5" w:space="0" w:color="D8DEE6"/>
          <w:insideH w:val="single" w:sz="5" w:space="0" w:color="D8DEE6"/>
          <w:insideV w:val="single" w:sz="5" w:space="0" w:color="D8DEE6"/>
        </w:tblBorders>
      </w:tblPr>
      <w:tblGrid>
        <w:gridCol w:w="3400"/>
        <w:gridCol w:w="1100"/>
        <w:gridCol w:w="1300"/>
        <w:gridCol w:w="3560"/>
      </w:tblGrid>
      <w:tr>
        <w:trPr>
          <w:tblHeader w:val="true"/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Referência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Hash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Data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Observação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local/claude/practical-raman-f5c2c5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38132ba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2026-05-02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histórica dos Relatórios V2.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local/codex/fix-reagent-lot-natural-key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82fbd70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2026-06-01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preservada do ciclo de reagentes e imunologia.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local/feature/recursos-de-ia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fcce80e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2026-08-11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local; conteúdo final idêntico à linha principal remota.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local/fix/lote1-duplicacao-registros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491694c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2026-06-17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preservada do ciclo de correções e apresentação.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local/main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57833e6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2026-05-14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Ponteiro local histórico, anterior à atualização da linha remota.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local/worktree-agent-ab642aec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8c9c653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2026-04-13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histórica de configuração de produção.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remoto/origin/HEAD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556fd13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2026-08-11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Ponteiro remoto para a linha principal.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remoto/origin/codex/fix-reagent-lot-natural-key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82fbd70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2026-06-01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remota correspondente; conteúdo integrado.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remoto/origin/feature/recursos-de-ia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fcce80e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2026-08-11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remota de evolução; conteúdo integrado.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remoto/origin/fix/lote1-duplicacao-registros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491694c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2026-06-17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Referência remota correspondente; conteúdo integrado.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remoto/origin/main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556fd13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  <w:jc w:val="center"/>
            </w:pPr>
            <w:r>
              <w:t>2026-08-11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t>Linha principal remota consolidada.</w:t>
            </w:r>
          </w:p>
        </w:tc>
      </w:tr>
    </w:tbl>
    <w:p>
      <w:pPr>
        <w:pStyle w:val="SourceNote"/>
        <w:spacing w:before="120"/>
      </w:pPr>
      <w:r>
        <w:t>Versões nomeadas localizadas no período: nenhuma.</w:t>
      </w:r>
    </w:p>
    <w:p>
      <w:pPr>
        <w:pStyle w:val="Heading2"/>
      </w:pPr>
      <w:r>
        <w:t>Integrações</w:t>
      </w:r>
    </w:p>
    <w:p>
      <w:r>
        <w:t>Foram registradas dez integrações: nove solicitações de incorporação (#1 a #9) e uma integração da versão de desenvolvimento à linha oficial. Todas constam no Anexo 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Calibri"/>
        <w:color w:val="5B6571"/>
        <w:sz w:val="17"/>
      </w:rPr>
      <w:t xml:space="preserve">Hexxon Labs  |  Página </w:t>
    </w:r>
    <w:r>
      <w:rPr>
        <w:rFonts w:ascii="Calibri" w:hAnsi="Calibri" w:eastAsia="Calibri"/>
        <w:color w:val="5B6571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B6571"/>
        <w:sz w:val="17"/>
      </w:rPr>
      <w:t xml:space="preserve"> de </w:t>
    </w:r>
    <w:r>
      <w:rPr>
        <w:rFonts w:ascii="Calibri" w:hAnsi="Calibri" w:eastAsia="Calibri"/>
        <w:color w:val="5B6571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4" w:color="D7DBE2"/>
      </w:pBdr>
    </w:pPr>
    <w:r>
      <w:rPr>
        <w:rFonts w:ascii="Calibri" w:hAnsi="Calibri" w:eastAsia="Calibri"/>
        <w:b/>
        <w:color w:val="5B6571"/>
        <w:sz w:val="17"/>
      </w:rPr>
      <w:t>HEXXON LABS  |  RELATÓRIO DE ENTREGAS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440"/>
    </w:pPr>
    <w:rPr>
      <w:rFonts w:asciiTheme="majorHAnsi" w:eastAsiaTheme="majorEastAsia" w:hAnsiTheme="majorHAnsi" w:cstheme="majorBidi" w:ascii="Calibri" w:hAnsi="Calibri"/>
      <w:i/>
      <w:iCs/>
      <w:color w:val="5B6571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xxonKicker">
    <w:name w:val="Hexxon Kicker"/>
    <w:pPr>
      <w:spacing w:before="0" w:after="80" w:line="264" w:lineRule="auto"/>
    </w:pPr>
    <w:rPr>
      <w:rFonts w:ascii="Calibri" w:hAnsi="Calibri"/>
      <w:b/>
      <w:color w:val="1B6B70"/>
      <w:sz w:val="20"/>
    </w:rPr>
  </w:style>
  <w:style w:type="paragraph" w:customStyle="1" w:styleId="TableText">
    <w:name w:val="Table Text"/>
    <w:pPr>
      <w:spacing w:before="0" w:after="80" w:line="264" w:lineRule="auto"/>
    </w:pPr>
    <w:rPr>
      <w:rFonts w:ascii="Calibri" w:hAnsi="Calibri"/>
      <w:b w:val="0"/>
      <w:color w:val="000000"/>
      <w:sz w:val="18"/>
    </w:rPr>
  </w:style>
  <w:style w:type="paragraph" w:customStyle="1" w:styleId="TableHeader">
    <w:name w:val="Table Header"/>
    <w:pPr>
      <w:spacing w:before="0" w:after="80" w:line="264" w:lineRule="auto"/>
    </w:pPr>
    <w:rPr>
      <w:rFonts w:ascii="Calibri" w:hAnsi="Calibri"/>
      <w:b/>
      <w:color w:val="0B2545"/>
      <w:sz w:val="19"/>
    </w:rPr>
  </w:style>
  <w:style w:type="paragraph" w:customStyle="1" w:styleId="SourceNote">
    <w:name w:val="Source Note"/>
    <w:pPr>
      <w:spacing w:before="0" w:after="80" w:line="264" w:lineRule="auto"/>
    </w:pPr>
    <w:rPr>
      <w:rFonts w:ascii="Calibri" w:hAnsi="Calibri"/>
      <w:b w:val="0"/>
      <w:color w:val="5B6571"/>
      <w:sz w:val="18"/>
    </w:rPr>
  </w:style>
  <w:style w:type="paragraph" w:customStyle="1" w:styleId="StatusLine">
    <w:name w:val="Status Line"/>
    <w:pPr>
      <w:spacing w:before="0" w:after="80" w:line="264" w:lineRule="auto"/>
    </w:pPr>
    <w:rPr>
      <w:rFonts w:ascii="Calibri" w:hAnsi="Calibri"/>
      <w:b/>
      <w:color w:val="1B6B7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Consolidado de Entregas e Planejamento de Evolução - Sistema Biodiagnóstico</dc:title>
  <dc:subject>Registro informativo das entregas da Hexxon Labs e planejamento até 18/12/2026</dc:subject>
  <dc:creator>Hexxon Labs</dc:creator>
  <cp:keywords>Hexxon Labs, Laboratório Biodiagnóstico, entregas, planejamento, 2026</cp:keywords>
  <dc:description>Documento informativo gerado a partir do histórico Git e do PLANS.md.</dc:description>
  <cp:lastModifiedBy>Hexxon Labs</cp:lastModifiedBy>
  <cp:revision>1</cp:revision>
  <dcterms:created xsi:type="dcterms:W3CDTF">2013-12-23T23:15:00Z</dcterms:created>
  <dcterms:modified xsi:type="dcterms:W3CDTF">2013-12-23T23:15:00Z</dcterms:modified>
  <cp:category/>
</cp:coreProperties>
</file>