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2"/>
        </w:rPr>
        <w:t>BIODIAGNÓSTICO</w:t>
      </w:r>
    </w:p>
    <w:p>
      <w:pPr>
        <w:pStyle w:val="Title"/>
        <w:jc w:val="center"/>
      </w:pPr>
      <w:r>
        <w:rPr>
          <w:b/>
        </w:rPr>
        <w:t>Análise completa das abas do projeto</w:t>
      </w:r>
    </w:p>
    <w:p>
      <w:pPr>
        <w:jc w:val="center"/>
      </w:pPr>
      <w:r>
        <w:rPr>
          <w:color w:val="6B7280"/>
          <w:sz w:val="22"/>
        </w:rPr>
        <w:t>Diagnóstico técnico-funcional, riscos e próximos passos para entrega até 17/05/2026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87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Resumo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Data da análise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14/05/2026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Prazo de entrega solicitado</w:t>
            </w:r>
          </w:p>
        </w:tc>
        <w:tc>
          <w:tcPr>
            <w:tcW w:type="dxa" w:w="708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17/05/2026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Classificação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Grande e crítica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Módulos de maior risco</w:t>
            </w:r>
          </w:p>
        </w:tc>
        <w:tc>
          <w:tcPr>
            <w:tcW w:type="dxa" w:w="708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Controle de Qualidade, referências, Westgard, pós-calibração, relatórios, permissões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Resultado geral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Base funcional consistente, com bloqueios de segurança/autorização e ajustes de UX/contrato antes da entrega</w:t>
            </w:r>
          </w:p>
        </w:tc>
      </w:tr>
    </w:tbl>
    <w:p/>
    <w:p>
      <w:pPr>
        <w:spacing w:after="120"/>
      </w:pPr>
      <w:r>
        <w:rPr>
          <w:color w:val="1F2937"/>
          <w:sz w:val="19"/>
        </w:rPr>
        <w:t>Este documento consolida o estado das abas e telas do sistema Biodiagnóstico, a partir do código ativo Java/React, da matriz oficial do CQ em PLANS.md e dos materiais de migração. A análise prioriza corretude operacional, rastreabilidade e segurança lógica para uma homologação real de laboratório.</w:t>
      </w:r>
    </w:p>
    <w:p>
      <w:r>
        <w:br w:type="page"/>
      </w:r>
    </w:p>
    <w:p>
      <w:pPr>
        <w:pStyle w:val="Heading1"/>
      </w:pPr>
      <w:r>
        <w:rPr>
          <w:b/>
          <w:color w:val="1E3A8A"/>
        </w:rPr>
        <w:t>1. Gate 0 -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087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Tamanho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Grande: cobre múltiplas rotas, camadas backend/frontend, relatórios, permissões e fluxo crítico de CQ.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Criticidade</w:t>
            </w:r>
          </w:p>
        </w:tc>
        <w:tc>
          <w:tcPr>
            <w:tcW w:type="dxa" w:w="708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Crítica: envolve CQ, referência, histórico, lote, status, Westgard, calibração/pós-calibração e rastreabilidade.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Agentes/gates aplicados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context_engineer, architect, executor documental, qa_engineer, domain_auditor e release_engineer como seções do relatório.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Architect pode ser pulado?</w:t>
            </w:r>
          </w:p>
        </w:tc>
        <w:tc>
          <w:tcPr>
            <w:tcW w:type="dxa" w:w="708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Não. Há contratos e responsabilidades entre frontend/backend, além de risco de domínio.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Condição de pronto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DOCX gerado, análise por aba completa, validações registradas, riscos residuais claros e plano até 17/05/2026.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2. Fontes de verdade</w:t>
      </w:r>
    </w:p>
    <w:p>
      <w:pPr>
        <w:spacing w:after="120"/>
      </w:pPr>
      <w:r>
        <w:rPr>
          <w:color w:val="1F2937"/>
          <w:sz w:val="19"/>
        </w:rPr>
        <w:t>Precedência aplicada nesta análise:</w:t>
      </w:r>
    </w:p>
    <w:p>
      <w:pPr>
        <w:pStyle w:val="ListNumber"/>
        <w:spacing w:after="60"/>
      </w:pPr>
      <w:r>
        <w:rPr>
          <w:color w:val="1F2937"/>
          <w:sz w:val="18"/>
        </w:rPr>
        <w:t>Código ativo Java/React quando já existe comportamento implementado: App.tsx, Navbar.tsx, páginas, componentes PROIN/CQ, serviços frontend, controllers/services backend e catálogo de relatórios.</w:t>
      </w:r>
    </w:p>
    <w:p>
      <w:pPr>
        <w:pStyle w:val="ListNumber"/>
        <w:spacing w:after="60"/>
      </w:pPr>
      <w:r>
        <w:rPr>
          <w:color w:val="1F2937"/>
          <w:sz w:val="18"/>
        </w:rPr>
        <w:t>PLANS.md, especialmente a Fase CQ-01, como matriz oficial para ambiguidades CQ-A01 a CQ-A06 durante o congelamento operacional do Controle de Qualidade.</w:t>
      </w:r>
    </w:p>
    <w:p>
      <w:pPr>
        <w:pStyle w:val="ListNumber"/>
        <w:spacing w:after="60"/>
      </w:pPr>
      <w:r>
        <w:rPr>
          <w:color w:val="1F2937"/>
          <w:sz w:val="18"/>
        </w:rPr>
        <w:t>Documentação de migração em transicao-java como referência de comportamento alvo ainda em consolidação.</w:t>
      </w:r>
    </w:p>
    <w:p>
      <w:pPr>
        <w:pStyle w:val="ListNumber"/>
        <w:spacing w:after="60"/>
      </w:pPr>
      <w:r>
        <w:rPr>
          <w:color w:val="1F2937"/>
          <w:sz w:val="18"/>
        </w:rPr>
        <w:t>Material legado em tudo para a transicao/auditorias/00-mapeamento-geral.md como evidência histórica, não como decisão canônica isolada.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3572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6350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 na análise</w:t>
            </w:r>
          </w:p>
        </w:tc>
      </w:tr>
      <w:tr>
        <w:tc>
          <w:tcPr>
            <w:tcW w:type="dxa" w:w="357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biodiagnostico-web/src/App.tsx</w:t>
            </w:r>
          </w:p>
        </w:tc>
        <w:tc>
          <w:tcPr>
            <w:tcW w:type="dxa" w:w="635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Rotas públicas/protegidas e ponto de entrada das telas.</w:t>
            </w:r>
          </w:p>
        </w:tc>
      </w:tr>
      <w:tr>
        <w:tc>
          <w:tcPr>
            <w:tcW w:type="dxa" w:w="357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biodiagnostico-web/src/components/layout/Navbar.tsx</w:t>
            </w:r>
          </w:p>
        </w:tc>
        <w:tc>
          <w:tcPr>
            <w:tcW w:type="dxa" w:w="6350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Menu principal, áreas CQ e exposição por perfil.</w:t>
            </w:r>
          </w:p>
        </w:tc>
      </w:tr>
      <w:tr>
        <w:tc>
          <w:tcPr>
            <w:tcW w:type="dxa" w:w="357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biodiagnostico-web/src/pages/ProinPage.tsx</w:t>
            </w:r>
          </w:p>
        </w:tc>
        <w:tc>
          <w:tcPr>
            <w:tcW w:type="dxa" w:w="635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Abas reais do módulo CQ e roteamento por área.</w:t>
            </w:r>
          </w:p>
        </w:tc>
      </w:tr>
      <w:tr>
        <w:tc>
          <w:tcPr>
            <w:tcW w:type="dxa" w:w="357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biodiagnostico-web/src/components/proin/*</w:t>
            </w:r>
          </w:p>
        </w:tc>
        <w:tc>
          <w:tcPr>
            <w:tcW w:type="dxa" w:w="6350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Estado funcional das abas de CQ, áreas laboratoriais, importação, referências e pós-calibração.</w:t>
            </w:r>
          </w:p>
        </w:tc>
      </w:tr>
      <w:tr>
        <w:tc>
          <w:tcPr>
            <w:tcW w:type="dxa" w:w="357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biodiagnostico-web/src/pages/ReagentesPage.tsx, ManutencaoPage.tsx, RelatoriosPage.tsx</w:t>
            </w:r>
          </w:p>
        </w:tc>
        <w:tc>
          <w:tcPr>
            <w:tcW w:type="dxa" w:w="635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Telas top-level movidas para fora das abas antigas de Bioquímica.</w:t>
            </w:r>
          </w:p>
        </w:tc>
      </w:tr>
      <w:tr>
        <w:tc>
          <w:tcPr>
            <w:tcW w:type="dxa" w:w="357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biodiagnostico-api/src/main/java/com/biodiagnostico/service/*</w:t>
            </w:r>
          </w:p>
        </w:tc>
        <w:tc>
          <w:tcPr>
            <w:tcW w:type="dxa" w:w="6350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Regras canônicas de CQ, referência, Westgard, pós-calibração, áreas, hematologia, reagentes e relatórios.</w:t>
            </w:r>
          </w:p>
        </w:tc>
      </w:tr>
      <w:tr>
        <w:tc>
          <w:tcPr>
            <w:tcW w:type="dxa" w:w="357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biodiagnostico-api/src/main/java/com/biodiagnostico/controller/*</w:t>
            </w:r>
          </w:p>
        </w:tc>
        <w:tc>
          <w:tcPr>
            <w:tcW w:type="dxa" w:w="635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Contratos HTTP e autorização efetiva no backend.</w:t>
            </w:r>
          </w:p>
        </w:tc>
      </w:tr>
      <w:tr>
        <w:tc>
          <w:tcPr>
            <w:tcW w:type="dxa" w:w="357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PLANS.md</w:t>
            </w:r>
          </w:p>
        </w:tc>
        <w:tc>
          <w:tcPr>
            <w:tcW w:type="dxa" w:w="6350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Matriz oficial CQ-A01 a CQ-A06 e status planejado das fases CQ-02 a CQ-06.</w:t>
            </w:r>
          </w:p>
        </w:tc>
      </w:tr>
      <w:tr>
        <w:tc>
          <w:tcPr>
            <w:tcW w:type="dxa" w:w="357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transicao-java/prompts/14-pagina-proin-cq.md</w:t>
            </w:r>
          </w:p>
        </w:tc>
        <w:tc>
          <w:tcPr>
            <w:tcW w:type="dxa" w:w="635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Referência auxiliar de UX/fluxo para a página PROIN/CQ.</w:t>
            </w:r>
          </w:p>
        </w:tc>
      </w:tr>
      <w:tr>
        <w:tc>
          <w:tcPr>
            <w:tcW w:type="dxa" w:w="357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site-screenshots-2026-04-16_152309/manifest.json</w:t>
            </w:r>
          </w:p>
        </w:tc>
        <w:tc>
          <w:tcPr>
            <w:tcW w:type="dxa" w:w="6350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Evidência de expectativa visual/navegacional anterior.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3. Gate 1 - Contexto</w:t>
      </w:r>
    </w:p>
    <w:p>
      <w:pPr>
        <w:spacing w:after="120"/>
      </w:pPr>
      <w:r>
        <w:rPr>
          <w:color w:val="1F2937"/>
          <w:sz w:val="19"/>
        </w:rPr>
        <w:t>Pacote mínimo seguro de contexto usado para avaliar as abas:</w:t>
      </w:r>
    </w:p>
    <w:p>
      <w:pPr>
        <w:pStyle w:val="ListBullet"/>
        <w:spacing w:after="60"/>
      </w:pPr>
      <w:r>
        <w:rPr>
          <w:color w:val="1F2937"/>
          <w:sz w:val="18"/>
        </w:rPr>
        <w:t>Frontend: rotas, Navbar, páginas top-level, ProinPage e componentes das abas de Bioquímica e demais áreas CQ.</w:t>
      </w:r>
    </w:p>
    <w:p>
      <w:pPr>
        <w:pStyle w:val="ListBullet"/>
        <w:spacing w:after="60"/>
      </w:pPr>
      <w:r>
        <w:rPr>
          <w:color w:val="1F2937"/>
          <w:sz w:val="18"/>
        </w:rPr>
        <w:t>Backend: serviços e controllers de CQ, referência, Westgard, pós-calibração, áreas, hematologia, reagentes, manutenção e relatórios.</w:t>
      </w:r>
    </w:p>
    <w:p>
      <w:pPr>
        <w:pStyle w:val="ListBullet"/>
        <w:spacing w:after="60"/>
      </w:pPr>
      <w:r>
        <w:rPr>
          <w:color w:val="1F2937"/>
          <w:sz w:val="18"/>
        </w:rPr>
        <w:t>Contratos: services TypeScript, DTOs Java, permissões do frontend e anotações @PreAuthorize do backend.</w:t>
      </w:r>
    </w:p>
    <w:p>
      <w:pPr>
        <w:pStyle w:val="ListBullet"/>
        <w:spacing w:after="60"/>
      </w:pPr>
      <w:r>
        <w:rPr>
          <w:color w:val="1F2937"/>
          <w:sz w:val="18"/>
        </w:rPr>
        <w:t>Negócio: referência, registro de medição, histórico por data/lote, média, DP, CV, status CQ, decisão de calibração e pós-calibração.</w:t>
      </w:r>
    </w:p>
    <w:p>
      <w:pPr>
        <w:pStyle w:val="ListBullet"/>
        <w:spacing w:after="60"/>
      </w:pPr>
      <w:r>
        <w:rPr>
          <w:color w:val="1F2937"/>
          <w:sz w:val="18"/>
        </w:rPr>
        <w:t>Fora do escopo da implementação desta entrega: alteração de código funcional, deploy e correção das pendências encontradas. Este artefato é diagnóstico e plano.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Ambiguidade CQ</w:t>
            </w:r>
          </w:p>
        </w:tc>
        <w:tc>
          <w:tcPr>
            <w:tcW w:type="dxa" w:w="7654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Situação observada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CQ-A01 - Referência</w:t>
            </w:r>
          </w:p>
        </w:tc>
        <w:tc>
          <w:tcPr>
            <w:tcW w:type="dxa" w:w="76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Backend possui resolução explícita e por lote, mas a UI de referências não expõe todos os campos críticos como nível/lote/fabricante/CV/notas.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CQ-A02 - Histórico Westgard</w:t>
            </w:r>
          </w:p>
        </w:tc>
        <w:tc>
          <w:tcPr>
            <w:tcW w:type="dxa" w:w="76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Backend recorta histórico por referenceId/exame/nível/área/data/lote quando aplicável. Tests passam; smoke visual ainda pendente.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CQ-A03 - Pós-calibração</w:t>
            </w:r>
          </w:p>
        </w:tc>
        <w:tc>
          <w:tcPr>
            <w:tcW w:type="dxa" w:w="76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Semântica preservada: pós-calibração não reescreve medição original nem status/violations.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CQ-A04 - Exposição no frontend</w:t>
            </w:r>
          </w:p>
        </w:tc>
        <w:tc>
          <w:tcPr>
            <w:tcW w:type="dxa" w:w="76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Registro normal expõe ambiguidade de referência; batch mode e referências ainda precisam alinhar campos e permissões.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CQ-A05 - Rastreabilidade comum</w:t>
            </w:r>
          </w:p>
        </w:tc>
        <w:tc>
          <w:tcPr>
            <w:tcW w:type="dxa" w:w="76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Há bons contratos em áreas CQ, mas autorização backend e validação de hematologia ainda precisam endurecer.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CQ-A06 - Estado canônico</w:t>
            </w:r>
          </w:p>
        </w:tc>
        <w:tc>
          <w:tcPr>
            <w:tcW w:type="dxa" w:w="76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Dashboard, gráfico e PDF dependem do estado backend; validação unitária passou, mas inspeção ponta a ponta deve entrar no checklist final.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4. Gate 2 - Nota arquitetural</w:t>
      </w:r>
    </w:p>
    <w:p>
      <w:pPr>
        <w:spacing w:after="120"/>
      </w:pPr>
      <w:r>
        <w:rPr>
          <w:color w:val="1F2937"/>
          <w:sz w:val="19"/>
        </w:rPr>
        <w:t>A responsabilidade correta deve permanecer assim: o backend calcula e decide regra de domínio; o frontend coleta dados, apresenta ambiguidades, exige seleção explícita quando necessário e nunca cria decisão paralela de CQ. A autorização precisa ser validada também no backend, usando o mesmo sentido operacional das permissões exibidas no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654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Responsabilidade esperada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Backend</w:t>
            </w:r>
          </w:p>
        </w:tc>
        <w:tc>
          <w:tcPr>
            <w:tcW w:type="dxa" w:w="76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Resolver referência, validar lote/nível/vigência, calcular CV/z-score/Westgard/status, preservar histórico e aplicar autorização real em writes críticos.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Frontend</w:t>
            </w:r>
          </w:p>
        </w:tc>
        <w:tc>
          <w:tcPr>
            <w:tcW w:type="dxa" w:w="76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Expor campos obrigatórios, bloquear ações pelo perfil, mostrar ambiguidade sem decidir regra laboratorial localmente e refletir o contrato backend.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Relatórios</w:t>
            </w:r>
          </w:p>
        </w:tc>
        <w:tc>
          <w:tcPr>
            <w:tcW w:type="dxa" w:w="76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Consumir estado canônico, manter rastreabilidade/assinatura/verificação e diferenciar relatórios V1 legados de relatórios V2 regulatórios.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76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Gerenciar roles/permissões, mas sem substituir controles de segurança no backend.</w:t>
            </w:r>
          </w:p>
        </w:tc>
      </w:tr>
    </w:tbl>
    <w:p/>
    <w:p>
      <w:pPr>
        <w:sectPr>
          <w:footerReference w:type="default" r:id="rId9"/>
          <w:pgSz w:w="12240" w:h="15840"/>
          <w:pgMar w:top="822" w:right="822" w:bottom="765" w:left="82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/>
          <w:color w:val="1E3A8A"/>
        </w:rPr>
        <w:t>5. Gate 3 - Estado das abas e telas</w:t>
      </w:r>
    </w:p>
    <w:p>
      <w:pPr>
        <w:spacing w:after="120"/>
      </w:pPr>
      <w:r>
        <w:rPr>
          <w:color w:val="1F2937"/>
          <w:sz w:val="19"/>
        </w:rPr>
        <w:t>A tabela abaixo consolida as abas/telas observadas no código ativo. O status considera prontidão funcional, risco de domínio, risco de autorização e validação ainda pendente.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Aba/Tela</w:t>
            </w:r>
          </w:p>
        </w:tc>
        <w:tc>
          <w:tcPr>
            <w:tcW w:type="dxa" w:w="3620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620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Evidência principal</w:t>
            </w:r>
          </w:p>
        </w:tc>
        <w:tc>
          <w:tcPr>
            <w:tcW w:type="dxa" w:w="3620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Pendência antes de 17/05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Login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pública /login com AuthContext/authService; fluxo base presente.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Executar smoke real com credenciais de homologação e verificar mensagens de erro/expiração.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Reset Password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pública /reset-password implementada e integrada ao serviço de autenticação.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Validar token real, expiração, mensagem para usuário e logs de auditoria.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Verificação pública de laudo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/r/verify/:hash existe fora da autenticação e conecta com relatórios assinados.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Gerar relatório assinado, abrir hash público e validar dados exibidos antes do deploy.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Dashboard principal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Cards de ação rápida ainda apontam para /qc?tab=configuracao e /qc?tab=relatorios.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Corrigir links para /config e /relatorios ou reintroduzir tratamento explícito desses tabs.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Bioquímica - Dashboard CQ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Painel usa dados do CQ e gráficos; depende do estado canônico backend.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Smoke visual com dados reais/sanitizados, conferindo contadores, LJ e status em cenários limítrofes.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Bioquímica - Registro CQ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Fluxo normal resolve referência no backend e mostra ambiguidade; cálculo local é informativo.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Adicionar seletor/contrato de nível quando necessário e alinhar batch mode à mesma política de referência/lote.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Bioquímica - Referências</w:t>
            </w:r>
          </w:p>
        </w:tc>
        <w:tc>
          <w:tcPr>
            <w:tcW w:type="dxa" w:w="3620"/>
            <w:vAlign w:val="top"/>
            <w:shd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91B1B"/>
                <w:sz w:val="15"/>
              </w:rPr>
              <w:t>Bloqueante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UI não expõe todos os campos críticos do contrato e controller backend não restringe writes por permissão fina.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Expor nível, lote, fabricante, CV máximo e notas; validar overlap por lote; endurecer autorização.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Bioquímica - Importar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Importação existe e deve usar backend como decisão canônica.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Verificar permissões, ambiguidade de referência e lote em importação antes da homologação.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Hematologia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Módulo especializado existe, com controller/service próprios.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Endurecer autorização backend e revisar validações de parâmetro/tolerância para paridade com demais áreas.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Imunologia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Módulo usa AreaQcModule/AreaQcService com parâmetros e medições.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Adicionar @PreAuthorize em writes e smoke de parâmetro explícito, ambiguidade e histórico.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Parasitologia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Módulo especializado por área está disponível no Navbar e ProinPage.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Mesma validação de autorização, parâmetro explícito e rastreabilidade comum CQ-A05.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Microbiologia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Módulo especializado por área está disponível no Navbar e ProinPage.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Mesma validação de autorização, parâmetro explícito e rastreabilidade comum CQ-A05.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Uroanálise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Módulo especializado por área está disponível no Navbar e ProinPage.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Mesma validação de autorização, parâmetro explícito e rastreabilidade comum CQ-A05.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Reagentes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própria /reagentes e service/controller dedicados; menu top-level.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Alinhar backend a permissões finas REAGENT_WRITE/READ e validar rastreabilidade de lote/unidade.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Manutenção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própria /manutencao e service/controller dedicados.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Corrigir lint em ManutencaoTab legado e alinhar permissões MAINTENANCE_WRITE no backend.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Relatórios - Catálogo V2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Catálogo V2 expõe relatórios operacionais, Westgard, reagentes, manutenção, calibração, multi-área e regulatório.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Smoke completo: gerar, assinar quando aplicável, baixar PDF e verificar hash público.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Relatórios - Histórico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ExecutionsTable e reportsV2Service cobrem listagem/filtros/histórico.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Validar paginação, filtros por status e erros de geração em ambiente real.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Relatórios - Legado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Fallback /relatorios/legado preserva relatórios antigos durante transição.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Confirmar quais relatórios V1 ainda são obrigatórios para o laboratório e congelar plano de descontinuação.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Report Builder</w:t>
            </w:r>
          </w:p>
        </w:tc>
        <w:tc>
          <w:tcPr>
            <w:tcW w:type="dxa" w:w="3620"/>
            <w:vAlign w:val="top"/>
            <w:shd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66534"/>
                <w:sz w:val="15"/>
              </w:rPr>
              <w:t>Pronto com ressalvas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/relatorios/:code usa ReportBuilder e catálogo backend.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Validar parâmetros por código de relatório e permissões de assinatura/regulatório.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Admin/Usuários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Tela gerencia usuários, roles e permissões.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Garantir que permissões administradas no frontend sejam efetivamente aplicadas no backend.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Configuração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Rota admin /config com controller protegido para writes.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Corrigir lint em ConfiguracaoPage e validar salvamento/leitura de parâmetros laboratoriais.</w:t>
            </w:r>
          </w:p>
        </w:tc>
      </w:tr>
      <w:tr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Navbar e permissões transversais</w:t>
            </w:r>
          </w:p>
        </w:tc>
        <w:tc>
          <w:tcPr>
            <w:tcW w:type="dxa" w:w="3620"/>
            <w:vAlign w:val="top"/>
            <w:shd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92400E"/>
                <w:sz w:val="15"/>
              </w:rPr>
              <w:t>Atenção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Menu expõe áreas CQ, rotas top-level e administração por perfil.</w:t>
            </w:r>
          </w:p>
        </w:tc>
        <w:tc>
          <w:tcPr>
            <w:tcW w:type="dxa" w:w="3620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Resolver divergência com screenshots antigas e remover navegação para tabs inexistentes.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6. Contratos e backend por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871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3969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Estado observado</w:t>
            </w:r>
          </w:p>
        </w:tc>
        <w:tc>
          <w:tcPr>
            <w:tcW w:type="dxa" w:w="4082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Risco/ação</w:t>
            </w:r>
          </w:p>
        </w:tc>
      </w:tr>
      <w:tr>
        <w:tc>
          <w:tcPr>
            <w:tcW w:type="dxa" w:w="187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CQ Bioquímica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QcService centraliza criação de registro, resolução de referência, CV, z-score, Westgard, status e histórico recortado.</w:t>
            </w:r>
          </w:p>
        </w:tc>
        <w:tc>
          <w:tcPr>
            <w:tcW w:type="dxa" w:w="408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Manter backend como autoridade. Validar batch mode e fluxo de importação contra a mesma política de referência/lote.</w:t>
            </w:r>
          </w:p>
        </w:tc>
      </w:tr>
      <w:tr>
        <w:tc>
          <w:tcPr>
            <w:tcW w:type="dxa" w:w="187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Referências CQ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QcReferenceService possui resolução ativa, seleção explícita e vigência. Há indício de overlap por exame/nível sem lote.</w:t>
            </w:r>
          </w:p>
        </w:tc>
        <w:tc>
          <w:tcPr>
            <w:tcW w:type="dxa" w:w="408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Confirmar repository e ajustar sobreposição para permitir lotes distintos quando a regra oficial exigir.</w:t>
            </w:r>
          </w:p>
        </w:tc>
      </w:tr>
      <w:tr>
        <w:tc>
          <w:tcPr>
            <w:tcW w:type="dxa" w:w="187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Westgard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WestgardEngine e testes backend passam; histórico considera recorte por referência/lote quando disponível.</w:t>
            </w:r>
          </w:p>
        </w:tc>
        <w:tc>
          <w:tcPr>
            <w:tcW w:type="dxa" w:w="408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Executar cenário manual com 1-2s, 1-3s e regras combinadas antes da homologação.</w:t>
            </w:r>
          </w:p>
        </w:tc>
      </w:tr>
      <w:tr>
        <w:tc>
          <w:tcPr>
            <w:tcW w:type="dxa" w:w="187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Pós-calibração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PostCalibrationService preserva o registro original e cria avaliação 1:1 quando há needsCalibration.</w:t>
            </w:r>
          </w:p>
        </w:tc>
        <w:tc>
          <w:tcPr>
            <w:tcW w:type="dxa" w:w="408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Manter mensagem de UI explícita e validar PDF/dashboard antes/depois da pós-calibração.</w:t>
            </w:r>
          </w:p>
        </w:tc>
      </w:tr>
      <w:tr>
        <w:tc>
          <w:tcPr>
            <w:tcW w:type="dxa" w:w="187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Áreas laboratoriais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AreaQcService valida parâmetro explícito, compatibilidade e ambiguidade.</w:t>
            </w:r>
          </w:p>
        </w:tc>
        <w:tc>
          <w:tcPr>
            <w:tcW w:type="dxa" w:w="408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Adicionar autorização backend em writes de parâmetros/medições e testar cada área.</w:t>
            </w:r>
          </w:p>
        </w:tc>
      </w:tr>
      <w:tr>
        <w:tc>
          <w:tcPr>
            <w:tcW w:type="dxa" w:w="187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Hematologia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HematologyQcService opera com parâmetro explícito e cálculo simples por intervalo/tolerância.</w:t>
            </w:r>
          </w:p>
        </w:tc>
        <w:tc>
          <w:tcPr>
            <w:tcW w:type="dxa" w:w="408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Revisar validação de alvo, mínimo/máximo e tolerância para ficar no mesmo padrão de AreaQcService.</w:t>
            </w:r>
          </w:p>
        </w:tc>
      </w:tr>
      <w:tr>
        <w:tc>
          <w:tcPr>
            <w:tcW w:type="dxa" w:w="187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Reagentes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Serviço e controller existem, com operações de lote/unidade/rastreabilidade.</w:t>
            </w:r>
          </w:p>
        </w:tc>
        <w:tc>
          <w:tcPr>
            <w:tcW w:type="dxa" w:w="408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Roles atuais precisam refletir permissões finas do frontend para evitar write indevido por usuário autenticado.</w:t>
            </w:r>
          </w:p>
        </w:tc>
      </w:tr>
      <w:tr>
        <w:tc>
          <w:tcPr>
            <w:tcW w:type="dxa" w:w="187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Manutenção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Serviço e controller existem, com fluxo top-level.</w:t>
            </w:r>
          </w:p>
        </w:tc>
        <w:tc>
          <w:tcPr>
            <w:tcW w:type="dxa" w:w="408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Alinhar autorização com permissões MAINTENANCE_* e corrigir lint legado.</w:t>
            </w:r>
          </w:p>
        </w:tc>
      </w:tr>
      <w:tr>
        <w:tc>
          <w:tcPr>
            <w:tcW w:type="dxa" w:w="187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Relatórios V2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ReportDefinitionRegistry contém CQ_OPERATIONAL_V2, WESTGARD_DEEPDIVE, REAGENTES_RASTREABILIDADE, MANUTENCAO_KPI, CALIBRACAO_PREPOST, MULTI_AREA_CONSOLIDADO e REGULATORIO_PACOTE.</w:t>
            </w:r>
          </w:p>
        </w:tc>
        <w:tc>
          <w:tcPr>
            <w:tcW w:type="dxa" w:w="408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Smoke de geração, assinatura, retenção e verificação pública precisa fechar o pacote.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7. Gate 4 - QA: achados por severidade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077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243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3402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005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107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P0</w:t>
            </w:r>
          </w:p>
        </w:tc>
        <w:tc>
          <w:tcPr>
            <w:tcW w:type="dxa" w:w="243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Autorização backend insuficiente para writes críticos.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QcReferenceController, AreaQcController e HematologyController expõem POST/PUT/DELETE/measurements sem @PreAuthorize fino; SecurityConfig só exige autenticação geral fora de /api/admin/**.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Adicionar guards por role/permissão em todos os writes críticos e cobrir com testes de acesso negado/permitido.</w:t>
            </w:r>
          </w:p>
        </w:tc>
      </w:tr>
      <w:tr>
        <w:tc>
          <w:tcPr>
            <w:tcW w:type="dxa" w:w="107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43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Frontend e backend divergem no modelo de permissões.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Frontend usa canWriteQc/canImport/canManageReagents; backend em vários pontos aceita ADMIN ou FUNCIONARIO, ou qualquer autenticado.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Padronizar permissões e garantir enforcement no backend, não apenas no menu.</w:t>
            </w:r>
          </w:p>
        </w:tc>
      </w:tr>
      <w:tr>
        <w:tc>
          <w:tcPr>
            <w:tcW w:type="dxa" w:w="107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43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Referências CQ não expõem todos os campos críticos na UI.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Contrato/documentação pedem nível, lote, fabricante, CV máximo e notas; modal observado cria referência com campos defaults/ausentes.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Atualizar ReferenciasTab e validações, citando CQ-A01/CQ-A04 no handoff.</w:t>
            </w:r>
          </w:p>
        </w:tc>
      </w:tr>
      <w:tr>
        <w:tc>
          <w:tcPr>
            <w:tcW w:type="dxa" w:w="107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43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Navegação rápida aponta para tabs inexistentes.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DashboardPage navega para /qc?tab=configuracao e /qc?tab=relatorios; ProinPage renderiza default quando tab não é reconhecida.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Corrigir rotas para /config e /relatorios ou tratar tabs legadas explicitamente.</w:t>
            </w:r>
          </w:p>
        </w:tc>
      </w:tr>
      <w:tr>
        <w:tc>
          <w:tcPr>
            <w:tcW w:type="dxa" w:w="107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43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Lint frontend falha.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npm run lint retornou 7 erros, incluindo react-hooks/set-state-in-effect e prefer-const.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Corrigir antes de qualquer release se CI exigir lint verde.</w:t>
            </w:r>
          </w:p>
        </w:tc>
      </w:tr>
      <w:tr>
        <w:tc>
          <w:tcPr>
            <w:tcW w:type="dxa" w:w="107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243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Possível bloqueio de múltiplos lotes vigentes em referência.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QcReferenceService.checkOverlap chama findOverlapping por examId/level/datas/excludeId, sem lote visível na assinatura.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Validar repository e ajustar política conforme CQ-A01.</w:t>
            </w:r>
          </w:p>
        </w:tc>
      </w:tr>
      <w:tr>
        <w:tc>
          <w:tcPr>
            <w:tcW w:type="dxa" w:w="107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243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Batch mode de Registro CQ pode não seguir a mesma UX de ambiguidade do fluxo normal/importação.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Fluxo batch seleciona referência ativa localmente de forma mais simples.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Unificar resolução/seleção de referência ou reduzir batch até ficar seguro.</w:t>
            </w:r>
          </w:p>
        </w:tc>
      </w:tr>
      <w:tr>
        <w:tc>
          <w:tcPr>
            <w:tcW w:type="dxa" w:w="107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243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Hematologia tem validações menos rígidas que áreas genéricas.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AreaQcService valida alvo/tolerância/min/max com mais rigor; HematologyQcService aparenta contrato mais simples.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Adicionar validações e testes para CQ-A05.</w:t>
            </w:r>
          </w:p>
        </w:tc>
      </w:tr>
      <w:tr>
        <w:tc>
          <w:tcPr>
            <w:tcW w:type="dxa" w:w="107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243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Smoke visual/ponta a ponta ainda não executado.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Testes unitários/build passaram, mas não houve navegação real com backend rodando, usuários e dados de homologação.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Executar checklist manual em 16/05 e 17/05.</w:t>
            </w:r>
          </w:p>
        </w:tc>
      </w:tr>
    </w:tbl>
    <w:p/>
    <w:p>
      <w:pPr>
        <w:sectPr>
          <w:type w:val="nextColumn"/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/>
          <w:color w:val="1E3A8A"/>
        </w:rPr>
        <w:t>8. Gate 5 - Auditoria de domínio</w:t>
      </w:r>
    </w:p>
    <w:p>
      <w:pPr>
        <w:spacing w:after="120"/>
      </w:pPr>
      <w:r>
        <w:rPr>
          <w:color w:val="1F2937"/>
          <w:sz w:val="19"/>
        </w:rPr>
        <w:t>Conceitos auditados: referência, registro de medição, lote, histórico por data e lote, média, desvio padrão, CV, status CQ, decisão de calibração e pós-calibração.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Conceito</w:t>
            </w:r>
          </w:p>
        </w:tc>
        <w:tc>
          <w:tcPr>
            <w:tcW w:type="dxa" w:w="226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Veredito</w:t>
            </w:r>
          </w:p>
        </w:tc>
        <w:tc>
          <w:tcPr>
            <w:tcW w:type="dxa" w:w="5386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Referência</w:t>
            </w:r>
          </w:p>
        </w:tc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Aprovado com bloqueio de entrega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Backend está bem direcionado, mas UI/autorizações/overlap por lote precisam fechar antes do release.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Registro de medição</w:t>
            </w:r>
          </w:p>
        </w:tc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Aprovado com ressalvas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Fluxo normal preserva decisão backend; batch/importação precisam verificação específica.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Histórico por data/lote</w:t>
            </w:r>
          </w:p>
        </w:tc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Aprovado com ressalvas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Recorte backend parece aderente; falta smoke com dados reais e comparação visual de LJ/PDF.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CV/média/DP</w:t>
            </w:r>
          </w:p>
        </w:tc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Aprovado com ressalvas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Cálculo backend é autoridade. UI deve manter cálculo local apenas como prévia.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Status CQ/Westgard</w:t>
            </w:r>
          </w:p>
        </w:tc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Aprovado com ressalvas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Testes passam, mas cenários limítrofes devem entrar na homologação final.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Pós-calibração</w:t>
            </w:r>
          </w:p>
        </w:tc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Aprovado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Semântica CQ-06 preservada: não reescreve valor/status/violations do registro original.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Rastreabilidade</w:t>
            </w:r>
          </w:p>
        </w:tc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Bloqueio parcial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Sem autorização backend alinhada, usuário autenticado pode alterar dados críticos além do que a UI sugere.</w:t>
            </w:r>
          </w:p>
        </w:tc>
      </w:tr>
    </w:tbl>
    <w:p/>
    <w:p>
      <w:pPr>
        <w:spacing w:after="120"/>
      </w:pPr>
      <w:r>
        <w:rPr>
          <w:color w:val="1F2937"/>
          <w:sz w:val="19"/>
        </w:rPr>
        <w:t>Veredito do domínio: a base técnica está próxima de uma homologação controlada, mas a entrega de produção até 17/05/2026 depende de fechar autorização backend, campos de referência/lote, navegação inconsistente, lint e smoke ponta a ponta. Sem esses itens, o risco residual em CQ e rastreabilidade permanece alto.</w:t>
      </w:r>
    </w:p>
    <w:p>
      <w:pPr>
        <w:pStyle w:val="Heading1"/>
      </w:pPr>
      <w:r>
        <w:rPr>
          <w:b/>
          <w:color w:val="1E3A8A"/>
        </w:rPr>
        <w:t>9. Evidências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28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Comando</w:t>
            </w:r>
          </w:p>
        </w:tc>
        <w:tc>
          <w:tcPr>
            <w:tcW w:type="dxa" w:w="1701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932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328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npm run test (biodiagnostico-web)</w:t>
            </w:r>
          </w:p>
        </w:tc>
        <w:tc>
          <w:tcPr>
            <w:tcW w:type="dxa" w:w="170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Passou</w:t>
            </w:r>
          </w:p>
        </w:tc>
        <w:tc>
          <w:tcPr>
            <w:tcW w:type="dxa" w:w="493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7 arquivos de teste, 52 testes aprovados; warnings de future flags do React Router.</w:t>
            </w:r>
          </w:p>
        </w:tc>
      </w:tr>
      <w:tr>
        <w:tc>
          <w:tcPr>
            <w:tcW w:type="dxa" w:w="328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./mvnw test (biodiagnostico-api)</w:t>
            </w:r>
          </w:p>
        </w:tc>
        <w:tc>
          <w:tcPr>
            <w:tcW w:type="dxa" w:w="170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Passou</w:t>
            </w:r>
          </w:p>
        </w:tc>
        <w:tc>
          <w:tcPr>
            <w:tcW w:type="dxa" w:w="493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406 testes, 0 falhas, 0 erros, 0 ignorados; logs simulados de Gemini/circuit breaker e auditoria em testes.</w:t>
            </w:r>
          </w:p>
        </w:tc>
      </w:tr>
      <w:tr>
        <w:tc>
          <w:tcPr>
            <w:tcW w:type="dxa" w:w="328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npm run build (biodiagnostico-web)</w:t>
            </w:r>
          </w:p>
        </w:tc>
        <w:tc>
          <w:tcPr>
            <w:tcW w:type="dxa" w:w="170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Passou</w:t>
            </w:r>
          </w:p>
        </w:tc>
        <w:tc>
          <w:tcPr>
            <w:tcW w:type="dxa" w:w="493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Vite 8.0.3 gerou build; há bundles grandes, mas sem falha.</w:t>
            </w:r>
          </w:p>
        </w:tc>
      </w:tr>
      <w:tr>
        <w:tc>
          <w:tcPr>
            <w:tcW w:type="dxa" w:w="328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npm run lint (biodiagnostico-web)</w:t>
            </w:r>
          </w:p>
        </w:tc>
        <w:tc>
          <w:tcPr>
            <w:tcW w:type="dxa" w:w="170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Falhou</w:t>
            </w:r>
          </w:p>
        </w:tc>
        <w:tc>
          <w:tcPr>
            <w:tcW w:type="dxa" w:w="4932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7 erros: prefer-const em ManutencaoTab e set-state-in-effect em modais/Combobox/ConfiguracaoPage.</w:t>
            </w:r>
          </w:p>
        </w:tc>
      </w:tr>
      <w:tr>
        <w:tc>
          <w:tcPr>
            <w:tcW w:type="dxa" w:w="328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Renderização do DOCX</w:t>
            </w:r>
          </w:p>
        </w:tc>
        <w:tc>
          <w:tcPr>
            <w:tcW w:type="dxa" w:w="170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Passou</w:t>
            </w:r>
          </w:p>
        </w:tc>
        <w:tc>
          <w:tcPr>
            <w:tcW w:type="dxa" w:w="4932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Documento renderizado para PDF/PNG e revisado visualmente em páginas representativas.</w:t>
            </w:r>
          </w:p>
        </w:tc>
      </w:tr>
    </w:tbl>
    <w:p/>
    <w:p>
      <w:pPr>
        <w:spacing w:after="120"/>
      </w:pPr>
      <w:r>
        <w:rPr>
          <w:color w:val="1F2937"/>
          <w:sz w:val="19"/>
        </w:rPr>
        <w:t>Limitação declarada: não foi realizado deploy, smoke test com backend/frontend rodando, validação com usuários reais ou navegação autenticada por perfil. Essas atividades estão no cronograma recomendado de 16/05 e 17/05.</w:t>
      </w:r>
    </w:p>
    <w:p>
      <w:r>
        <w:br w:type="page"/>
      </w:r>
    </w:p>
    <w:p>
      <w:pPr>
        <w:pStyle w:val="Heading1"/>
      </w:pPr>
      <w:r>
        <w:rPr>
          <w:b/>
          <w:color w:val="1E3A8A"/>
        </w:rPr>
        <w:t>10. Plano de entrega até 17/05/2026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531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154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969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Tarefas</w:t>
            </w:r>
          </w:p>
        </w:tc>
        <w:tc>
          <w:tcPr>
            <w:tcW w:type="dxa" w:w="2268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>
        <w:tc>
          <w:tcPr>
            <w:tcW w:type="dxa" w:w="153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14/05/2026</w:t>
            </w:r>
          </w:p>
        </w:tc>
        <w:tc>
          <w:tcPr>
            <w:tcW w:type="dxa" w:w="21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Fechar bloqueios rápidos e contrato visual.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Corrigir lint; ajustar links do Dashboard; decidir navegação top-level vs tabs antigas; expandir ReferenciasTab com nível/lote/fabricante/CV/notas; planejar guards backend.</w:t>
            </w:r>
          </w:p>
        </w:tc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Lint verde localmente; navegação sem fallback silencioso; UI de referência compatível com CQ-A01/CQ-A04.</w:t>
            </w:r>
          </w:p>
        </w:tc>
      </w:tr>
      <w:tr>
        <w:tc>
          <w:tcPr>
            <w:tcW w:type="dxa" w:w="153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15/05/2026</w:t>
            </w:r>
          </w:p>
        </w:tc>
        <w:tc>
          <w:tcPr>
            <w:tcW w:type="dxa" w:w="21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Endurecer segurança e contratos críticos.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Adicionar @PreAuthorize/guards finos para QcReference, AreaQc, Hematology, Reagent, Maintenance, QcRecord/import; testar acesso por perfil; validar overlap por lote; revisar batch/importação e hematologia.</w:t>
            </w:r>
          </w:p>
        </w:tc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Testes backend cobrindo permitido/negado; política de lote documentada; nenhum write crítico protegido apenas por UI.</w:t>
            </w:r>
          </w:p>
        </w:tc>
      </w:tr>
      <w:tr>
        <w:tc>
          <w:tcPr>
            <w:tcW w:type="dxa" w:w="1531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16/05/2026</w:t>
            </w:r>
          </w:p>
        </w:tc>
        <w:tc>
          <w:tcPr>
            <w:tcW w:type="dxa" w:w="2154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Homologação técnica interna.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Rodar npm run lint, npm run test, npm run build e ./mvnw test; smoke em Login, Dashboard, CQ, áreas, Reagentes, Manutenção, Relatórios, Admin e Config; gerar/assinar/verificar PDF.</w:t>
            </w:r>
          </w:p>
        </w:tc>
        <w:tc>
          <w:tcPr>
            <w:tcW w:type="dxa" w:w="2268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Checklist verde ou pendências classificadas; evidências anexáveis; release notes e rollback preparados.</w:t>
            </w:r>
          </w:p>
        </w:tc>
      </w:tr>
      <w:tr>
        <w:tc>
          <w:tcPr>
            <w:tcW w:type="dxa" w:w="1531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17/05/2026</w:t>
            </w:r>
          </w:p>
        </w:tc>
        <w:tc>
          <w:tcPr>
            <w:tcW w:type="dxa" w:w="2154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Homologação operacional e entrega.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Executar validação com dados reais/sanitizados; revisar usuários/perfis; validar Railway/Supabase/env vars; confirmar pacote regulatório, assinatura e verificação pública.</w:t>
            </w:r>
          </w:p>
        </w:tc>
        <w:tc>
          <w:tcPr>
            <w:tcW w:type="dxa" w:w="2268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Aceite operacional assinado, riscos residuais explícitos e pacote pronto para produção ou go/no-go documentado.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11. Checklist de pronto para entrega</w:t>
      </w:r>
    </w:p>
    <w:p>
      <w:pPr>
        <w:pStyle w:val="ListBullet"/>
        <w:spacing w:after="60"/>
      </w:pPr>
      <w:r>
        <w:rPr>
          <w:color w:val="1F2937"/>
          <w:sz w:val="18"/>
        </w:rPr>
        <w:t>Todos os writes críticos protegidos no backend por role/permissão coerente com o frontend.</w:t>
      </w:r>
    </w:p>
    <w:p>
      <w:pPr>
        <w:pStyle w:val="ListBullet"/>
        <w:spacing w:after="60"/>
      </w:pPr>
      <w:r>
        <w:rPr>
          <w:color w:val="1F2937"/>
          <w:sz w:val="18"/>
        </w:rPr>
        <w:t>Referências CQ registram e exibem nível, lote, vigência, fabricante, CV máximo e notas quando aplicável.</w:t>
      </w:r>
    </w:p>
    <w:p>
      <w:pPr>
        <w:pStyle w:val="ListBullet"/>
        <w:spacing w:after="60"/>
      </w:pPr>
      <w:r>
        <w:rPr>
          <w:color w:val="1F2937"/>
          <w:sz w:val="18"/>
        </w:rPr>
        <w:t>Dashboard não navega para tabs inexistentes e a estratégia de rotas/top-level está fechada.</w:t>
      </w:r>
    </w:p>
    <w:p>
      <w:pPr>
        <w:pStyle w:val="ListBullet"/>
        <w:spacing w:after="60"/>
      </w:pPr>
      <w:r>
        <w:rPr>
          <w:color w:val="1F2937"/>
          <w:sz w:val="18"/>
        </w:rPr>
        <w:t>npm run lint, npm run test, npm run build e ./mvnw test passam no mesmo commit de release.</w:t>
      </w:r>
    </w:p>
    <w:p>
      <w:pPr>
        <w:pStyle w:val="ListBullet"/>
        <w:spacing w:after="60"/>
      </w:pPr>
      <w:r>
        <w:rPr>
          <w:color w:val="1F2937"/>
          <w:sz w:val="18"/>
        </w:rPr>
        <w:t>Smoke test por perfil: ADMIN, FUNCIONARIO com permissão, FUNCIONARIO sem permissão, VIGILANCIA_SANITARIA e VISUALIZADOR.</w:t>
      </w:r>
    </w:p>
    <w:p>
      <w:pPr>
        <w:pStyle w:val="ListBullet"/>
        <w:spacing w:after="60"/>
      </w:pPr>
      <w:r>
        <w:rPr>
          <w:color w:val="1F2937"/>
          <w:sz w:val="18"/>
        </w:rPr>
        <w:t>Cenários CQ-A01 a CQ-A06 revisitados no fechamento, sem ambiguidade bloqueante aberta.</w:t>
      </w:r>
    </w:p>
    <w:p>
      <w:pPr>
        <w:pStyle w:val="ListBullet"/>
        <w:spacing w:after="60"/>
      </w:pPr>
      <w:r>
        <w:rPr>
          <w:color w:val="1F2937"/>
          <w:sz w:val="18"/>
        </w:rPr>
        <w:t>Relatórios V2 geram PDF, assinatura, retenção e verificação pública com hash válido.</w:t>
      </w:r>
    </w:p>
    <w:p>
      <w:pPr>
        <w:pStyle w:val="ListBullet"/>
        <w:spacing w:after="60"/>
      </w:pPr>
      <w:r>
        <w:rPr>
          <w:color w:val="1F2937"/>
          <w:sz w:val="18"/>
        </w:rPr>
        <w:t>Rollback, variáveis de ambiente e plano de deploy estão documentados.</w:t>
      </w:r>
    </w:p>
    <w:p>
      <w:pPr>
        <w:pStyle w:val="Heading1"/>
      </w:pPr>
      <w:r>
        <w:rPr>
          <w:b/>
          <w:color w:val="1E3A8A"/>
        </w:rPr>
        <w:t>12. Gate 6 - Fechamento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87"/>
            <w:vAlign w:val="top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Conclusão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Status de prontidão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Não pronto para produção hoje sem correções; pronto para sprint intensiva de fechamento até 17/05/2026 se os P0/P1 forem priorizados.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Evidência forte</w:t>
            </w:r>
          </w:p>
        </w:tc>
        <w:tc>
          <w:tcPr>
            <w:tcW w:type="dxa" w:w="708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Testes backend/frontend e build frontend passaram; arquitetura de domínio do CQ está majoritariamente centralizada no backend.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Bloqueio principal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Autorização backend não acompanha permissões finas do frontend em endpoints críticos.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Risco residual alto</w:t>
            </w:r>
          </w:p>
        </w:tc>
        <w:tc>
          <w:tcPr>
            <w:tcW w:type="dxa" w:w="7087"/>
            <w:vAlign w:val="top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Referência/lote e rastreabilidade podem ficar inconsistentes se UI, overlap e guards não forem corrigidos.</w:t>
            </w:r>
          </w:p>
        </w:tc>
      </w:tr>
      <w:tr>
        <w:tc>
          <w:tcPr>
            <w:tcW w:type="dxa" w:w="2835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Próximo passo imediato</w:t>
            </w:r>
          </w:p>
        </w:tc>
        <w:tc>
          <w:tcPr>
            <w:tcW w:type="dxa" w:w="7087"/>
            <w:vAlign w:val="top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Abrir task crítica para guards backend e ReferenciasTab; em paralelo corrigir lint e links de Dashboard.</w:t>
            </w:r>
          </w:p>
        </w:tc>
      </w:tr>
    </w:tbl>
    <w:p/>
    <w:sectPr w:rsidR="00FC693F" w:rsidRPr="0006063C" w:rsidSect="00034616">
      <w:type w:val="continuous"/>
      <w:pgSz w:w="12240" w:h="15840"/>
      <w:pgMar w:top="822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Biodiagnóstico | Análise das abas e plano de entrega | 14/05/2026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A8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completa das abas do projeto Biodiagnóstico</dc:title>
  <dc:subject>Diagnóstico técnico-funcional e plano de entrega até 17/05/2026</dc:subject>
  <dc:creator>Codex</dc:creator>
  <cp:keywords/>
  <dc:description>Gerado em 14/05/2026 a partir do workspace Bio Java Codex.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