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pPr>
      <w:r>
        <w:rPr>
          <w:b w:val="0"/>
          <w:i w:val="0"/>
          <w:color w:val="0B0B0B"/>
          <w:sz w:val="16"/>
        </w:rPr>
      </w:r>
    </w:p>
    <w:p>
      <w:pPr>
        <w:spacing w:before="1400"/>
        <w:jc w:val="center"/>
      </w:pPr>
      <w:r>
        <w:rPr>
          <w:b/>
          <w:color w:val="0B0B0B"/>
          <w:sz w:val="104"/>
        </w:rPr>
        <w:t>VolBoy</w:t>
      </w:r>
    </w:p>
    <w:p>
      <w:pPr>
        <w:jc w:val="center"/>
      </w:pPr>
      <w:r>
        <w:rPr>
          <w:color w:val="3A3A38"/>
          <w:sz w:val="28"/>
        </w:rPr>
        <w:t>Robô quantitativo de volatilidade em opções de dólar (USD/BRL)</w:t>
      </w:r>
    </w:p>
    <w:p>
      <w:pPr>
        <w:spacing w:before="120"/>
        <w:jc w:val="center"/>
      </w:pPr>
      <w:r>
        <w:rPr>
          <w:i/>
          <w:color w:val="6B6A66"/>
          <w:sz w:val="24"/>
        </w:rPr>
        <w:t>Relatório Final  ·  Desafio Itaú Asset Quant AI 2026</w:t>
      </w:r>
    </w:p>
    <w:p>
      <w:pPr>
        <w:spacing w:after="120" w:before="0"/>
      </w:pPr>
      <w:r>
        <w:rPr>
          <w:b w:val="0"/>
          <w:i w:val="0"/>
          <w:color w:val="0B0B0B"/>
          <w:sz w:val="28"/>
        </w:rPr>
      </w:r>
    </w:p>
    <w:p>
      <w:pPr>
        <w:jc w:val="center"/>
      </w:pPr>
      <w:r>
        <w:drawing>
          <wp:inline xmlns:a="http://schemas.openxmlformats.org/drawingml/2006/main" xmlns:pic="http://schemas.openxmlformats.org/drawingml/2006/picture">
            <wp:extent cx="5486400" cy="2862470"/>
            <wp:docPr id="1" name="Picture 1"/>
            <wp:cNvGraphicFramePr>
              <a:graphicFrameLocks noChangeAspect="1"/>
            </wp:cNvGraphicFramePr>
            <a:graphic>
              <a:graphicData uri="http://schemas.openxmlformats.org/drawingml/2006/picture">
                <pic:pic>
                  <pic:nvPicPr>
                    <pic:cNvPr id="0" name="r2_por_horizonte.png"/>
                    <pic:cNvPicPr/>
                  </pic:nvPicPr>
                  <pic:blipFill>
                    <a:blip r:embed="rId9"/>
                    <a:stretch>
                      <a:fillRect/>
                    </a:stretch>
                  </pic:blipFill>
                  <pic:spPr>
                    <a:xfrm>
                      <a:off x="0" y="0"/>
                      <a:ext cx="5486400" cy="2862470"/>
                    </a:xfrm>
                    <a:prstGeom prst="rect"/>
                  </pic:spPr>
                </pic:pic>
              </a:graphicData>
            </a:graphic>
          </wp:inline>
        </w:drawing>
      </w:r>
    </w:p>
    <w:p>
      <w:pPr>
        <w:spacing w:before="480"/>
        <w:jc w:val="center"/>
      </w:pPr>
      <w:r>
        <w:rPr>
          <w:i/>
          <w:color w:val="3A3A38"/>
          <w:sz w:val="22"/>
        </w:rPr>
        <w:t>Negociamos o spread entre a volatilidade que o mercado precifica (IV)</w:t>
        <w:br/>
        <w:t>e a volatilidade que projetamos que vai se realizar (RV).</w:t>
      </w:r>
    </w:p>
    <w:p>
      <w:pPr>
        <w:spacing w:before="600"/>
        <w:jc w:val="center"/>
      </w:pPr>
      <w:r>
        <w:rPr>
          <w:color w:val="6B6A66"/>
          <w:sz w:val="18"/>
        </w:rPr>
        <w:t>Amostra: 830 pregões do futuro de dólar da B3 (2023-04-10 a 2026-08-05)  ·  240 testes automatizados  ·  22 configurações registradas</w:t>
      </w:r>
    </w:p>
    <w:p>
      <w:r>
        <w:br w:type="page"/>
      </w:r>
    </w:p>
    <w:p>
      <w:pPr>
        <w:pStyle w:val="Heading1"/>
      </w:pPr>
      <w:r>
        <w:t>Sumário executivo</w:t>
      </w:r>
    </w:p>
    <w:p>
      <w:pPr>
        <w:spacing w:after="120" w:before="0"/>
      </w:pPr>
      <w:r>
        <w:rPr>
          <w:b w:val="0"/>
          <w:i w:val="0"/>
          <w:color w:val="0B0B0B"/>
          <w:sz w:val="21"/>
        </w:rPr>
        <w:t>O VolBoy é um robô de volatilidade em opções de dólar. A tese é simples de enunciar: o mercado de opções embute, no prêmio, uma expectativa de volatilidade futura (a volatilidade implícita, IV). Se conseguirmos projetar a volatilidade que de fato vai se realizar (RV) melhor que o mercado, compramos volatilidade quando ela está barata e vendemos quando está cara — capturando o spread, e não a direção do dólar.</w:t>
      </w:r>
    </w:p>
    <w:p>
      <w:pPr>
        <w:spacing w:after="120" w:before="0"/>
      </w:pPr>
      <w:r>
        <w:rPr>
          <w:b w:val="0"/>
          <w:i w:val="0"/>
          <w:color w:val="0B0B0B"/>
          <w:sz w:val="21"/>
        </w:rPr>
        <w:t>A aposta diferencial do projeto era que fluxo de notícias e um índice de credibilidade do Banco Central melhorariam essa projeção. Testamos essa hipótese com rigor, e o resultado principal deste relatório é um resultado negativo bem estabelecido — que consideramos mais valioso, e certamente mais honesto, do que um número de backtest favorável obtido sem escrutínio.</w:t>
      </w:r>
    </w:p>
    <w:p>
      <w:pPr>
        <w:pStyle w:val="Heading2"/>
      </w:pPr>
      <w:r>
        <w:t>Os achados que estruturam este relatório</w:t>
      </w:r>
    </w:p>
    <w:p>
      <w:pPr>
        <w:pStyle w:val="ListBullet"/>
        <w:spacing w:after="60"/>
      </w:pPr>
      <w:r>
        <w:rPr>
          <w:b/>
          <w:sz w:val="21"/>
        </w:rPr>
        <w:t xml:space="preserve">Nenhuma camada de informação melhorou a previsão. </w:t>
      </w:r>
      <w:r>
        <w:rPr>
          <w:sz w:val="21"/>
        </w:rPr>
        <w:t>Notícia (tom do GDELT), credibilidade do BC (Focus vs. meta), risco fiscal em três formulações — incluindo sentimento via FinBERT-PT-BR — e risco global exógeno (VIX, DXY). Foram 22 configurações registradas; nenhuma produziu ganho consistente.</w:t>
      </w:r>
    </w:p>
    <w:p>
      <w:pPr>
        <w:pStyle w:val="ListBullet"/>
        <w:spacing w:after="60"/>
      </w:pPr>
      <w:r>
        <w:rPr>
          <w:b/>
          <w:sz w:val="21"/>
        </w:rPr>
        <w:t xml:space="preserve">Encontramos e corrigimos dois erros metodológicos nossos. </w:t>
      </w:r>
      <w:r>
        <w:rPr>
          <w:sz w:val="21"/>
        </w:rPr>
        <w:t>Um na métrica (R² calculado por fold e depois promediado, instável com folds pequenos) e outro na fonte de preço (as barras diárias do yfinance para BRL=X têm abertura ≈ fechamento, o que defasava em um dia toda feature derivada do fechamento). Ambos foram diagnosticados com evidência quantitativa e estão documentados neste relatório.</w:t>
      </w:r>
    </w:p>
    <w:p>
      <w:pPr>
        <w:pStyle w:val="ListBullet"/>
        <w:spacing w:after="60"/>
      </w:pPr>
      <w:r>
        <w:rPr>
          <w:b/>
          <w:sz w:val="21"/>
        </w:rPr>
        <w:t xml:space="preserve">O único R² positivo não sobreviveu à fonte correta. </w:t>
      </w:r>
      <w:r>
        <w:rPr>
          <w:sz w:val="21"/>
        </w:rPr>
        <w:t>Sobre o proxy de preço, a persistência atingia R² = +0,126. Ao migrar para o futuro de dólar da B3 — o instrumento sobre o qual a opção é escrita —, o mesmo método cai para −0,367 e o HAR-RV para −0,255.</w:t>
      </w:r>
    </w:p>
    <w:p>
      <w:pPr>
        <w:pStyle w:val="ListBullet"/>
        <w:spacing w:after="60"/>
      </w:pPr>
      <w:r>
        <w:rPr>
          <w:b/>
          <w:sz w:val="21"/>
        </w:rPr>
        <w:t xml:space="preserve">O diagnóstico final não é 'faltou feature': é descasamento de horizonte. </w:t>
      </w:r>
      <w:r>
        <w:rPr>
          <w:sz w:val="21"/>
        </w:rPr>
        <w:t>No instrumento correto existe previsibilidade real, ainda que modesta, a 1 dia (HAR-RV R² = +0,049), que decai monotonicamente até ficar francamente negativa em 21 dias — o prazo de que a estratégia precisa. Nenhuma feature adicional resolve isso; é uma propriedade do processo de volatilidade neste período.</w:t>
      </w:r>
    </w:p>
    <w:p>
      <w:pPr>
        <w:pStyle w:val="ListBullet"/>
        <w:spacing w:after="60"/>
      </w:pPr>
      <w:r>
        <w:rPr>
          <w:b/>
          <w:sz w:val="21"/>
        </w:rPr>
        <w:t xml:space="preserve">O diagnóstico ficou sem hipótese alternativa. </w:t>
      </w:r>
      <w:r>
        <w:rPr>
          <w:sz w:val="21"/>
        </w:rPr>
        <w:t>Depois da primeira versão deste relatório, testamos as quatro explicações concorrentes: forma funcional (gradient boosting e GARCH), features (todas as camadas reavaliadas também em horizonte curto), tamanho de amostra (estendida para 2.135 pregões) e erro de medição (cinco estimadores de variância). Nenhuma delas resgata o horizonte de 21 dias. As Seções 6.6 a 6.12 documentam cada uma.</w:t>
      </w:r>
    </w:p>
    <w:p>
      <w:pPr>
        <w:pStyle w:val="ListBullet"/>
        <w:spacing w:after="60"/>
      </w:pPr>
      <w:r>
        <w:rPr>
          <w:b/>
          <w:sz w:val="21"/>
        </w:rPr>
        <w:t xml:space="preserve">Construímos volatilidade implícita própria, que era dada como inviável. </w:t>
      </w:r>
      <w:r>
        <w:rPr>
          <w:sz w:val="21"/>
        </w:rPr>
        <w:t>Invertendo Black-76 sobre preços efetivamente negociados de opção — e não sobre preços de ajuste, que a B3 simplesmente não publica para esse mercado. A série permitiu medir pela primeira vez o prêmio de risco de variância e rodar o backtest com implícita real.</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Conclusão honesta.  </w:t>
            </w:r>
            <w:r>
              <w:rPr>
                <w:sz w:val="19"/>
              </w:rPr>
              <w:t>O VolBoy não demonstrou capacidade preditiva superior ao mercado no horizonte que a estratégia exige. A infraestrutura, o rigor metodológico e o diagnóstico do porquê estão sólidos e são reproduzíveis; a tese de que notícia melhora previsão de volatilidade de USD/BRL foi testada e não se sustentou nesta amostra.</w:t>
            </w:r>
          </w:p>
        </w:tc>
      </w:tr>
    </w:tbl>
    <w:p>
      <w:pPr>
        <w:spacing w:after="120"/>
      </w:pPr>
    </w:p>
    <w:p>
      <w:pPr>
        <w:spacing w:after="120" w:before="120"/>
      </w:pPr>
      <w:r>
        <w:rPr>
          <w:b w:val="0"/>
          <w:i w:val="0"/>
          <w:color w:val="0B0B0B"/>
          <w:sz w:val="21"/>
        </w:rPr>
        <w:t>As seções seguintes percorrem a trajetória completa: o que motivou cada decisão, o que funcionou, o que falhou, e — com igual atenção — os erros que cometemos e como foram descobertos. A Seção 8 discute o que faríamos diferente e os próximos passos.</w:t>
      </w:r>
    </w:p>
    <w:p>
      <w:r>
        <w:br w:type="page"/>
      </w:r>
    </w:p>
    <w:p>
      <w:pPr>
        <w:pStyle w:val="Heading1"/>
      </w:pPr>
      <w:r>
        <w:t>1. O conceito do VolBoy</w:t>
      </w:r>
    </w:p>
    <w:p>
      <w:pPr>
        <w:pStyle w:val="Heading2"/>
      </w:pPr>
      <w:r>
        <w:t>1.1 Por que negociar volatilidade, e não direção</w:t>
      </w:r>
    </w:p>
    <w:p>
      <w:pPr>
        <w:spacing w:after="120" w:before="0"/>
      </w:pPr>
      <w:r>
        <w:rPr>
          <w:b w:val="0"/>
          <w:i w:val="0"/>
          <w:color w:val="0B0B0B"/>
          <w:sz w:val="21"/>
        </w:rPr>
        <w:t>Prever a direção do dólar é notoriamente difícil: a literatura de câmbio documenta há décadas que taxas de câmbio de economias abertas se comportam próximo a um passeio aleatório em horizontes curtos. Volatilidade, ao contrário, tem duas propriedades que a tornam mais tratável: ela é persistente (períodos turbulentos se agrupam) e é diretamente negociável via opções.</w:t>
      </w:r>
    </w:p>
    <w:p>
      <w:pPr>
        <w:spacing w:after="120" w:before="0"/>
      </w:pPr>
      <w:r>
        <w:rPr>
          <w:b w:val="0"/>
          <w:i w:val="0"/>
          <w:color w:val="0B0B0B"/>
          <w:sz w:val="21"/>
        </w:rPr>
        <w:t>O VolBoy explora isso operando o spread entre duas quantidades:</w:t>
      </w:r>
    </w:p>
    <w:tbl>
      <w:tblPr>
        <w:tblStyle w:val="TableGrid"/>
        <w:tblW w:type="auto" w:w="0"/>
        <w:jc w:val="center"/>
        <w:tblLook w:firstColumn="1" w:firstRow="1" w:lastColumn="0" w:lastRow="0" w:noHBand="0" w:noVBand="1" w:val="04A0"/>
      </w:tblPr>
      <w:tblGrid>
        <w:gridCol w:w="3211"/>
        <w:gridCol w:w="3211"/>
        <w:gridCol w:w="3211"/>
      </w:tblGrid>
      <w:tr>
        <w:tc>
          <w:tcPr>
            <w:tcW w:type="dxa" w:w="2448"/>
            <w:shd w:val="clear" w:fill="2A2A28"/>
          </w:tcPr>
          <w:p>
            <w:r/>
            <w:r>
              <w:rPr>
                <w:b/>
                <w:color w:val="FFFFFF"/>
                <w:sz w:val="18"/>
              </w:rPr>
              <w:t>Quantidade</w:t>
            </w:r>
          </w:p>
        </w:tc>
        <w:tc>
          <w:tcPr>
            <w:tcW w:type="dxa" w:w="4176"/>
            <w:shd w:val="clear" w:fill="2A2A28"/>
          </w:tcPr>
          <w:p>
            <w:r/>
            <w:r>
              <w:rPr>
                <w:b/>
                <w:color w:val="FFFFFF"/>
                <w:sz w:val="18"/>
              </w:rPr>
              <w:t>O que é</w:t>
            </w:r>
          </w:p>
        </w:tc>
        <w:tc>
          <w:tcPr>
            <w:tcW w:type="dxa" w:w="2736"/>
            <w:shd w:val="clear" w:fill="2A2A28"/>
          </w:tcPr>
          <w:p>
            <w:r/>
            <w:r>
              <w:rPr>
                <w:b/>
                <w:color w:val="FFFFFF"/>
                <w:sz w:val="18"/>
              </w:rPr>
              <w:t>De onde vem</w:t>
            </w:r>
          </w:p>
        </w:tc>
      </w:tr>
      <w:tr>
        <w:tc>
          <w:tcPr>
            <w:tcW w:type="dxa" w:w="2448"/>
          </w:tcPr>
          <w:p>
            <w:r/>
            <w:r>
              <w:rPr>
                <w:sz w:val="18"/>
              </w:rPr>
              <w:t>IV — volatilidade implícita</w:t>
            </w:r>
          </w:p>
        </w:tc>
        <w:tc>
          <w:tcPr>
            <w:tcW w:type="dxa" w:w="4176"/>
          </w:tcPr>
          <w:p>
            <w:r/>
            <w:r>
              <w:rPr>
                <w:sz w:val="18"/>
              </w:rPr>
              <w:t>A volatilidade que o mercado precifica hoje, embutida no prêmio da opção</w:t>
            </w:r>
          </w:p>
        </w:tc>
        <w:tc>
          <w:tcPr>
            <w:tcW w:type="dxa" w:w="2736"/>
          </w:tcPr>
          <w:p>
            <w:r/>
            <w:r>
              <w:rPr>
                <w:sz w:val="18"/>
              </w:rPr>
              <w:t>Superfície de volatilidade publicada pela B3</w:t>
            </w:r>
          </w:p>
        </w:tc>
      </w:tr>
      <w:tr>
        <w:tc>
          <w:tcPr>
            <w:tcW w:type="dxa" w:w="2448"/>
          </w:tcPr>
          <w:p>
            <w:r/>
            <w:r>
              <w:rPr>
                <w:sz w:val="18"/>
              </w:rPr>
              <w:t>RV — volatilidade realizada</w:t>
            </w:r>
          </w:p>
        </w:tc>
        <w:tc>
          <w:tcPr>
            <w:tcW w:type="dxa" w:w="4176"/>
          </w:tcPr>
          <w:p>
            <w:r/>
            <w:r>
              <w:rPr>
                <w:sz w:val="18"/>
              </w:rPr>
              <w:t>A volatilidade que de fato se materializou no preço, medida ex-post</w:t>
            </w:r>
          </w:p>
        </w:tc>
        <w:tc>
          <w:tcPr>
            <w:tcW w:type="dxa" w:w="2736"/>
          </w:tcPr>
          <w:p>
            <w:r/>
            <w:r>
              <w:rPr>
                <w:sz w:val="18"/>
              </w:rPr>
              <w:t>Preços do futuro de dólar (B3)</w:t>
            </w:r>
          </w:p>
        </w:tc>
      </w:tr>
    </w:tbl>
    <w:p>
      <w:pPr>
        <w:spacing w:after="80"/>
      </w:pPr>
    </w:p>
    <w:p>
      <w:pPr>
        <w:spacing w:after="120"/>
      </w:pPr>
      <w:r>
        <w:rPr>
          <w:b w:val="0"/>
          <w:i w:val="0"/>
          <w:color w:val="0B0B0B"/>
          <w:sz w:val="21"/>
        </w:rPr>
        <w:t xml:space="preserve">A regra de decisão é o spread entre a RV que projetamos e a IV cotada: </w:t>
      </w:r>
      <w:r>
        <w:rPr>
          <w:b/>
          <w:i w:val="0"/>
          <w:color w:val="0B0B0B"/>
          <w:sz w:val="21"/>
        </w:rPr>
        <w:t>se projetamos RV acima da IV, o mercado está subestimando a turbulência futura e compramos volatilidade; se projetamos abaixo, vendemos.</w:t>
      </w:r>
    </w:p>
    <w:p>
      <w:pPr>
        <w:pStyle w:val="Heading2"/>
      </w:pPr>
      <w:r>
        <w:t>1.2 A estrutura escolhida: straddle ATM</w:t>
      </w:r>
    </w:p>
    <w:p>
      <w:pPr>
        <w:spacing w:after="120" w:before="0"/>
      </w:pPr>
      <w:r>
        <w:rPr>
          <w:b w:val="0"/>
          <w:i w:val="0"/>
          <w:color w:val="0B0B0B"/>
          <w:sz w:val="21"/>
        </w:rPr>
        <w:t>Compramos (ou vendemos) volatilidade via straddle no dinheiro — call e put de mesmo strike e vencimento. A escolha tem uma razão precisa: no dinheiro, o straddle tem delta próximo de zero, de modo que o resultado depende principalmente de quanto o preço se move, não da direção em que se move. É a expressão mais limpa de uma aposta em volatilidade pura.</w:t>
      </w:r>
    </w:p>
    <w:p>
      <w:pPr>
        <w:spacing w:after="120" w:before="0"/>
      </w:pPr>
      <w:r>
        <w:rPr>
          <w:b w:val="0"/>
          <w:i w:val="0"/>
          <w:color w:val="0B0B0B"/>
          <w:sz w:val="21"/>
        </w:rPr>
        <w:t>Optamos deliberadamente pela estrutura mais simples disponível. Estruturas mais elaboradas (strangle, condor, risk reversal) foram consideradas e adiadas: elas introduzem parâmetros adicionais de calibração que ampliariam o espaço de busca — e, como discutimos na Seção 4.4, controlar esse espaço foi uma preocupação central do projeto.</w:t>
      </w:r>
    </w:p>
    <w:p>
      <w:pPr>
        <w:pStyle w:val="Heading2"/>
      </w:pPr>
      <w:r>
        <w:t>1.3 A hipótese diferencial: informação além do preço</w:t>
      </w:r>
    </w:p>
    <w:p>
      <w:pPr>
        <w:spacing w:after="120" w:before="0"/>
      </w:pPr>
      <w:r>
        <w:rPr>
          <w:b w:val="0"/>
          <w:i w:val="0"/>
          <w:color w:val="0B0B0B"/>
          <w:sz w:val="21"/>
        </w:rPr>
        <w:t>Um HAR-RV alimentado apenas pelo histórico de preços é um ponto de partida bem estabelecido, não um diferencial. A aposta do VolBoy era que informação exógena antecipasse mudanças de regime de volatilidade antes que elas aparecessem no próprio preço. Três camadas foram construídas e testadas:</w:t>
      </w:r>
    </w:p>
    <w:p>
      <w:pPr>
        <w:pStyle w:val="ListBullet"/>
        <w:spacing w:after="60"/>
      </w:pPr>
      <w:r>
        <w:rPr>
          <w:b/>
          <w:sz w:val="21"/>
        </w:rPr>
        <w:t xml:space="preserve">Fluxo de notícias (GDELT). </w:t>
      </w:r>
      <w:r>
        <w:rPr>
          <w:sz w:val="21"/>
        </w:rPr>
        <w:t>Tom médio diário da cobertura global sobre o Brasil e, depois, atenção e sentimento especificamente sobre risco fiscal.</w:t>
      </w:r>
    </w:p>
    <w:p>
      <w:pPr>
        <w:pStyle w:val="ListBullet"/>
        <w:spacing w:after="60"/>
      </w:pPr>
      <w:r>
        <w:rPr>
          <w:b/>
          <w:sz w:val="21"/>
        </w:rPr>
        <w:t xml:space="preserve">Credibilidade do Banco Central. </w:t>
      </w:r>
      <w:r>
        <w:rPr>
          <w:sz w:val="21"/>
        </w:rPr>
        <w:t>Um índice θₜ derivado do Boletim Focus, ancorado em teoria dos jogos (Barro-Gordon) — detalhado na Seção 2.7.</w:t>
      </w:r>
    </w:p>
    <w:p>
      <w:pPr>
        <w:pStyle w:val="ListBullet"/>
        <w:spacing w:after="60"/>
      </w:pPr>
      <w:r>
        <w:rPr>
          <w:b/>
          <w:sz w:val="21"/>
        </w:rPr>
        <w:t xml:space="preserve">Risco global exógeno. </w:t>
      </w:r>
      <w:r>
        <w:rPr>
          <w:sz w:val="21"/>
        </w:rPr>
        <w:t>VIX e índice dólar (DXY): a única camada testada que não deriva do próprio preço ou da imprensa sobre o Brasil.</w:t>
      </w:r>
    </w:p>
    <w:p>
      <w:pPr>
        <w:spacing w:after="120" w:before="0"/>
      </w:pPr>
      <w:r>
        <w:rPr>
          <w:b w:val="0"/>
          <w:i/>
          <w:color w:val="3A3A38"/>
          <w:sz w:val="21"/>
        </w:rPr>
        <w:t>A Seção 5 percorre o que aconteceu com cada uma. Adiantando: nenhuma sobreviveu ao teste de ablação formal.</w:t>
      </w:r>
    </w:p>
    <w:p>
      <w:r>
        <w:br w:type="page"/>
      </w:r>
    </w:p>
    <w:p>
      <w:pPr>
        <w:pStyle w:val="Heading1"/>
      </w:pPr>
      <w:r>
        <w:t>2. Arquitetura e modelagem</w:t>
      </w:r>
    </w:p>
    <w:p>
      <w:pPr>
        <w:pStyle w:val="Heading2"/>
      </w:pPr>
      <w:r>
        <w:t>2.1 Visão geral do pipeline</w:t>
      </w:r>
    </w:p>
    <w:p>
      <w:pPr>
        <w:spacing w:after="120" w:before="0"/>
      </w:pPr>
      <w:r>
        <w:rPr>
          <w:b w:val="0"/>
          <w:i w:val="0"/>
          <w:color w:val="0B0B0B"/>
          <w:sz w:val="21"/>
        </w:rPr>
        <w:t>O VolBoy é organizado em seis camadas, cada uma num pacote Python isolado. Os dados fluem em uma única direção — coleta → processamento → modelagem → estratégia → backtest → relatório — e nenhuma camada superior importa de uma inferior. Essa disciplina existe por um motivo prático: permite testar a matemática sem tocar em disco ou rede, o que sustenta os 240 testes automatizados do projeto.</w:t>
      </w:r>
    </w:p>
    <w:p>
      <w:pPr>
        <w:jc w:val="center"/>
      </w:pPr>
      <w: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diagrama_pipeline.png"/>
                    <pic:cNvPicPr/>
                  </pic:nvPicPr>
                  <pic:blipFill>
                    <a:blip r:embed="rId10"/>
                    <a:stretch>
                      <a:fillRect/>
                    </a:stretch>
                  </pic:blipFill>
                  <pic:spPr>
                    <a:xfrm>
                      <a:off x="0" y="0"/>
                      <a:ext cx="5852160" cy="4389120"/>
                    </a:xfrm>
                    <a:prstGeom prst="rect"/>
                  </pic:spPr>
                </pic:pic>
              </a:graphicData>
            </a:graphic>
          </wp:inline>
        </w:drawing>
      </w:r>
    </w:p>
    <w:p>
      <w:pPr>
        <w:spacing w:after="240" w:before="0"/>
        <w:jc w:val="center"/>
      </w:pPr>
      <w:r>
        <w:rPr>
          <w:b w:val="0"/>
          <w:i/>
          <w:color w:val="6B6A66"/>
          <w:sz w:val="17"/>
        </w:rPr>
        <w:t>Figura 1 — Arquitetura do VolBoy. Cores indicam a camada; setas indicam fluxo de dados.</w:t>
      </w:r>
    </w:p>
    <w:p>
      <w:pPr>
        <w:pStyle w:val="Heading2"/>
      </w:pPr>
      <w:r>
        <w:t>2.2 Fontes de dados</w:t>
      </w:r>
    </w:p>
    <w:p>
      <w:pPr>
        <w:spacing w:after="120" w:before="0"/>
      </w:pPr>
      <w:r>
        <w:rPr>
          <w:b w:val="0"/>
          <w:i w:val="0"/>
          <w:color w:val="0B0B0B"/>
          <w:sz w:val="21"/>
        </w:rPr>
        <w:t>Todas as fontes são públicas e gratuitas. Uma decisão de projeto foi não depender de Bloomberg: além da restrição de acesso, scraping violaria os termos de uso.</w:t>
      </w:r>
    </w:p>
    <w:tbl>
      <w:tblPr>
        <w:tblStyle w:val="TableGrid"/>
        <w:tblW w:type="auto" w:w="0"/>
        <w:jc w:val="center"/>
        <w:tblLook w:firstColumn="1" w:firstRow="1" w:lastColumn="0" w:lastRow="0" w:noHBand="0" w:noVBand="1" w:val="04A0"/>
      </w:tblPr>
      <w:tblGrid>
        <w:gridCol w:w="3211"/>
        <w:gridCol w:w="3211"/>
        <w:gridCol w:w="3211"/>
      </w:tblGrid>
      <w:tr>
        <w:tc>
          <w:tcPr>
            <w:tcW w:type="dxa" w:w="3168"/>
            <w:shd w:val="clear" w:fill="2A2A28"/>
          </w:tcPr>
          <w:p>
            <w:r/>
            <w:r>
              <w:rPr>
                <w:b/>
                <w:color w:val="FFFFFF"/>
                <w:sz w:val="18"/>
              </w:rPr>
              <w:t>Dado</w:t>
            </w:r>
          </w:p>
        </w:tc>
        <w:tc>
          <w:tcPr>
            <w:tcW w:type="dxa" w:w="2736"/>
            <w:shd w:val="clear" w:fill="2A2A28"/>
          </w:tcPr>
          <w:p>
            <w:r/>
            <w:r>
              <w:rPr>
                <w:b/>
                <w:color w:val="FFFFFF"/>
                <w:sz w:val="18"/>
              </w:rPr>
              <w:t>Fonte</w:t>
            </w:r>
          </w:p>
        </w:tc>
        <w:tc>
          <w:tcPr>
            <w:tcW w:type="dxa" w:w="3456"/>
            <w:shd w:val="clear" w:fill="2A2A28"/>
          </w:tcPr>
          <w:p>
            <w:r/>
            <w:r>
              <w:rPr>
                <w:b/>
                <w:color w:val="FFFFFF"/>
                <w:sz w:val="18"/>
              </w:rPr>
              <w:t>Papel no modelo</w:t>
            </w:r>
          </w:p>
        </w:tc>
      </w:tr>
      <w:tr>
        <w:tc>
          <w:tcPr>
            <w:tcW w:type="dxa" w:w="3168"/>
          </w:tcPr>
          <w:p>
            <w:r/>
            <w:r>
              <w:rPr>
                <w:sz w:val="18"/>
              </w:rPr>
              <w:t>Futuro de dólar (DOL) — OHLC e preço de ajuste</w:t>
            </w:r>
          </w:p>
        </w:tc>
        <w:tc>
          <w:tcPr>
            <w:tcW w:type="dxa" w:w="2736"/>
          </w:tcPr>
          <w:p>
            <w:r/>
            <w:r>
              <w:rPr>
                <w:sz w:val="18"/>
              </w:rPr>
              <w:t>B3, arquivo BVBG-086</w:t>
            </w:r>
          </w:p>
        </w:tc>
        <w:tc>
          <w:tcPr>
            <w:tcW w:type="dxa" w:w="3456"/>
          </w:tcPr>
          <w:p>
            <w:r/>
            <w:r>
              <w:rPr>
                <w:sz w:val="18"/>
              </w:rPr>
              <w:t>Fonte oficial de preço; base da RV (adotada ao final)</w:t>
            </w:r>
          </w:p>
        </w:tc>
      </w:tr>
      <w:tr>
        <w:tc>
          <w:tcPr>
            <w:tcW w:type="dxa" w:w="3168"/>
          </w:tcPr>
          <w:p>
            <w:r/>
            <w:r>
              <w:rPr>
                <w:sz w:val="18"/>
              </w:rPr>
              <w:t>Câmbio spot USD/BRL</w:t>
            </w:r>
          </w:p>
        </w:tc>
        <w:tc>
          <w:tcPr>
            <w:tcW w:type="dxa" w:w="2736"/>
          </w:tcPr>
          <w:p>
            <w:r/>
            <w:r>
              <w:rPr>
                <w:sz w:val="18"/>
              </w:rPr>
              <w:t>yfinance (BRL=X)</w:t>
            </w:r>
          </w:p>
        </w:tc>
        <w:tc>
          <w:tcPr>
            <w:tcW w:type="dxa" w:w="3456"/>
          </w:tcPr>
          <w:p>
            <w:r/>
            <w:r>
              <w:rPr>
                <w:sz w:val="18"/>
              </w:rPr>
              <w:t>Proxy inicial; substituída após diagnóstico (Seção 5.4)</w:t>
            </w:r>
          </w:p>
        </w:tc>
      </w:tr>
      <w:tr>
        <w:tc>
          <w:tcPr>
            <w:tcW w:type="dxa" w:w="3168"/>
          </w:tcPr>
          <w:p>
            <w:r/>
            <w:r>
              <w:rPr>
                <w:sz w:val="18"/>
              </w:rPr>
              <w:t>PTAX</w:t>
            </w:r>
          </w:p>
        </w:tc>
        <w:tc>
          <w:tcPr>
            <w:tcW w:type="dxa" w:w="2736"/>
          </w:tcPr>
          <w:p>
            <w:r/>
            <w:r>
              <w:rPr>
                <w:sz w:val="18"/>
              </w:rPr>
              <w:t>API SGS do Banco Central</w:t>
            </w:r>
          </w:p>
        </w:tc>
        <w:tc>
          <w:tcPr>
            <w:tcW w:type="dxa" w:w="3456"/>
          </w:tcPr>
          <w:p>
            <w:r/>
            <w:r>
              <w:rPr>
                <w:sz w:val="18"/>
              </w:rPr>
              <w:t>Taxa oficial; usada como árbitro de validação</w:t>
            </w:r>
          </w:p>
        </w:tc>
      </w:tr>
      <w:tr>
        <w:tc>
          <w:tcPr>
            <w:tcW w:type="dxa" w:w="3168"/>
          </w:tcPr>
          <w:p>
            <w:r/>
            <w:r>
              <w:rPr>
                <w:sz w:val="18"/>
              </w:rPr>
              <w:t>Superfície de volatilidade</w:t>
            </w:r>
          </w:p>
        </w:tc>
        <w:tc>
          <w:tcPr>
            <w:tcW w:type="dxa" w:w="2736"/>
          </w:tcPr>
          <w:p>
            <w:r/>
            <w:r>
              <w:rPr>
                <w:sz w:val="18"/>
              </w:rPr>
              <w:t>B3 (preços referenciais)</w:t>
            </w:r>
          </w:p>
        </w:tc>
        <w:tc>
          <w:tcPr>
            <w:tcW w:type="dxa" w:w="3456"/>
          </w:tcPr>
          <w:p>
            <w:r/>
            <w:r>
              <w:rPr>
                <w:sz w:val="18"/>
              </w:rPr>
              <w:t>Única fonte de IV disponível</w:t>
            </w:r>
          </w:p>
        </w:tc>
      </w:tr>
      <w:tr>
        <w:tc>
          <w:tcPr>
            <w:tcW w:type="dxa" w:w="3168"/>
          </w:tcPr>
          <w:p>
            <w:r/>
            <w:r>
              <w:rPr>
                <w:sz w:val="18"/>
              </w:rPr>
              <w:t>Notícias globais</w:t>
            </w:r>
          </w:p>
        </w:tc>
        <w:tc>
          <w:tcPr>
            <w:tcW w:type="dxa" w:w="2736"/>
          </w:tcPr>
          <w:p>
            <w:r/>
            <w:r>
              <w:rPr>
                <w:sz w:val="18"/>
              </w:rPr>
              <w:t>GDELT DOC 2.0 API</w:t>
            </w:r>
          </w:p>
        </w:tc>
        <w:tc>
          <w:tcPr>
            <w:tcW w:type="dxa" w:w="3456"/>
          </w:tcPr>
          <w:p>
            <w:r/>
            <w:r>
              <w:rPr>
                <w:sz w:val="18"/>
              </w:rPr>
              <w:t>Tom, atenção e manchetes sobre risco fiscal</w:t>
            </w:r>
          </w:p>
        </w:tc>
      </w:tr>
      <w:tr>
        <w:tc>
          <w:tcPr>
            <w:tcW w:type="dxa" w:w="3168"/>
          </w:tcPr>
          <w:p>
            <w:r/>
            <w:r>
              <w:rPr>
                <w:sz w:val="18"/>
              </w:rPr>
              <w:t>Expectativas de inflação</w:t>
            </w:r>
          </w:p>
        </w:tc>
        <w:tc>
          <w:tcPr>
            <w:tcW w:type="dxa" w:w="2736"/>
          </w:tcPr>
          <w:p>
            <w:r/>
            <w:r>
              <w:rPr>
                <w:sz w:val="18"/>
              </w:rPr>
              <w:t>Boletim Focus / BCB (API Olinda)</w:t>
            </w:r>
          </w:p>
        </w:tc>
        <w:tc>
          <w:tcPr>
            <w:tcW w:type="dxa" w:w="3456"/>
          </w:tcPr>
          <w:p>
            <w:r/>
            <w:r>
              <w:rPr>
                <w:sz w:val="18"/>
              </w:rPr>
              <w:t>Índice de credibilidade θₜ</w:t>
            </w:r>
          </w:p>
        </w:tc>
      </w:tr>
      <w:tr>
        <w:tc>
          <w:tcPr>
            <w:tcW w:type="dxa" w:w="3168"/>
          </w:tcPr>
          <w:p>
            <w:r/>
            <w:r>
              <w:rPr>
                <w:sz w:val="18"/>
              </w:rPr>
              <w:t>Atividade econômica</w:t>
            </w:r>
          </w:p>
        </w:tc>
        <w:tc>
          <w:tcPr>
            <w:tcW w:type="dxa" w:w="2736"/>
          </w:tcPr>
          <w:p>
            <w:r/>
            <w:r>
              <w:rPr>
                <w:sz w:val="18"/>
              </w:rPr>
              <w:t>IBC-Br (SGS)</w:t>
            </w:r>
          </w:p>
        </w:tc>
        <w:tc>
          <w:tcPr>
            <w:tcW w:type="dxa" w:w="3456"/>
          </w:tcPr>
          <w:p>
            <w:r/>
            <w:r>
              <w:rPr>
                <w:sz w:val="18"/>
              </w:rPr>
              <w:t>Hiato do produto (filtro HP expansivo)</w:t>
            </w:r>
          </w:p>
        </w:tc>
      </w:tr>
      <w:tr>
        <w:tc>
          <w:tcPr>
            <w:tcW w:type="dxa" w:w="3168"/>
          </w:tcPr>
          <w:p>
            <w:r/>
            <w:r>
              <w:rPr>
                <w:sz w:val="18"/>
              </w:rPr>
              <w:t>Risco global</w:t>
            </w:r>
          </w:p>
        </w:tc>
        <w:tc>
          <w:tcPr>
            <w:tcW w:type="dxa" w:w="2736"/>
          </w:tcPr>
          <w:p>
            <w:r/>
            <w:r>
              <w:rPr>
                <w:sz w:val="18"/>
              </w:rPr>
              <w:t>yfinance (^VIX, DX-Y.NYB)</w:t>
            </w:r>
          </w:p>
        </w:tc>
        <w:tc>
          <w:tcPr>
            <w:tcW w:type="dxa" w:w="3456"/>
          </w:tcPr>
          <w:p>
            <w:r/>
            <w:r>
              <w:rPr>
                <w:sz w:val="18"/>
              </w:rPr>
              <w:t>Camada exógena de aversão a risco</w:t>
            </w:r>
          </w:p>
        </w:tc>
      </w:tr>
    </w:tbl>
    <w:p>
      <w:pPr>
        <w:spacing w:after="80"/>
      </w:pPr>
    </w:p>
    <w:p>
      <w:pPr>
        <w:spacing w:after="120" w:before="0"/>
      </w:pPr>
      <w:r>
        <w:rPr>
          <w:b w:val="0"/>
          <w:i w:val="0"/>
          <w:color w:val="0B0B0B"/>
          <w:sz w:val="21"/>
        </w:rPr>
        <w:t>Cada coletor é idempotente e cacheado: a resposta bruta é gravada em disco e a chamada de rede só se repete se o arquivo não existir. Isso torna o pipeline reproduzível e evita bater repetidamente em APIs públicas — uma preocupação que se mostrou concreta quando o GDELT passou a nos bloquear por limite de taxa (Seção 5.3).</w:t>
      </w:r>
    </w:p>
    <w:p>
      <w:pPr>
        <w:pStyle w:val="Heading2"/>
      </w:pPr>
      <w:r>
        <w:t>2.3 Volatilidade realizada: como medimos o alvo</w:t>
      </w:r>
    </w:p>
    <w:p>
      <w:pPr>
        <w:spacing w:after="120" w:before="0"/>
      </w:pPr>
      <w:r>
        <w:rPr>
          <w:b w:val="0"/>
          <w:i w:val="0"/>
          <w:color w:val="0B0B0B"/>
          <w:sz w:val="21"/>
        </w:rPr>
        <w:t>RV é a medida ex-post de quanto o preço efetivamente oscilou. Sem dados intradiários de alta frequência, ela precisa ser estimada a partir de preços diários. O VolBoy usa dois estimadores.</w:t>
      </w:r>
    </w:p>
    <w:p>
      <w:pPr>
        <w:pStyle w:val="Heading3"/>
      </w:pPr>
      <w:r>
        <w:t>Estimador ingênuo: retorno de fechamento ao quadrado</w:t>
      </w:r>
    </w:p>
    <w:p>
      <w:pPr>
        <w:spacing w:before="160" w:after="200"/>
        <w:jc w:val="center"/>
      </w:pPr>
      <w:r>
        <w:rPr>
          <w:rFonts w:ascii="Cambria Math" w:hAnsi="Cambria Math"/>
          <w:i/>
          <w:sz w:val="24"/>
        </w:rPr>
        <w:t>rₜ = ln(Pₜ / Pₜ₋₁)     e     Var_d(t) ≈ rₜ²</w:t>
      </w:r>
    </w:p>
    <w:p>
      <w:pPr>
        <w:spacing w:after="120" w:before="0"/>
      </w:pPr>
      <w:r>
        <w:rPr>
          <w:b w:val="0"/>
          <w:i w:val="0"/>
          <w:color w:val="0B0B0B"/>
          <w:sz w:val="21"/>
        </w:rPr>
        <w:t>É a simplificação padrão do HAR-RV quando só há preço de fechamento, mas é extremamente ruidosa: um único retorno ao quadrado é um estimador de variância com apenas um grau de liberdade, e sua própria variância amostral é enorme.</w:t>
      </w:r>
    </w:p>
    <w:p>
      <w:pPr>
        <w:pStyle w:val="Heading3"/>
      </w:pPr>
      <w:r>
        <w:t>Estimador adotado: Parkinson (1980)</w:t>
      </w:r>
    </w:p>
    <w:p>
      <w:pPr>
        <w:spacing w:after="120" w:before="0"/>
      </w:pPr>
      <w:r>
        <w:rPr>
          <w:b w:val="0"/>
          <w:i w:val="0"/>
          <w:color w:val="0B0B0B"/>
          <w:sz w:val="21"/>
        </w:rPr>
        <w:t>Usa o intervalo intradiário (máxima e mínima do pregão), aproveitando o caminho percorrido pelo preço e não apenas o ponto final:</w:t>
      </w:r>
    </w:p>
    <w:p>
      <w:pPr>
        <w:spacing w:before="160" w:after="80"/>
        <w:jc w:val="center"/>
      </w:pPr>
      <w:r>
        <w:rPr>
          <w:rFonts w:ascii="Cambria Math" w:hAnsi="Cambria Math"/>
          <w:i/>
          <w:sz w:val="24"/>
        </w:rPr>
        <w:t>Var_Parkinson(t) = ln(Highₜ / Lowₜ)² / (4 · ln 2)</w:t>
      </w:r>
    </w:p>
    <w:p>
      <w:pPr>
        <w:spacing w:after="200" w:before="0"/>
        <w:jc w:val="center"/>
      </w:pPr>
      <w:r>
        <w:rPr>
          <w:b w:val="0"/>
          <w:i w:val="0"/>
          <w:color w:val="6B6A66"/>
          <w:sz w:val="18"/>
        </w:rPr>
        <w:t>O fator 4·ln2 vem da esperança do range de um movimento browniano sem drift.</w:t>
      </w:r>
    </w:p>
    <w:p>
      <w:pPr>
        <w:spacing w:after="120" w:before="0"/>
      </w:pPr>
      <w:r>
        <w:rPr>
          <w:b w:val="0"/>
          <w:i w:val="0"/>
          <w:color w:val="0B0B0B"/>
          <w:sz w:val="21"/>
        </w:rPr>
        <w:t>A eficiência teórica é cerca de cinco vezes maior que a do estimador de fechamento. No diagnóstico empírico do projeto, o Parkinson produziu RMSE menor em todos os folds testados — por isso foi promovido a estimador oficial. Uma propriedade adicional se revelou decisiva mais tarde: por depender apenas de máxima e mínima do mesmo pregão, ele é imune tanto à rolagem de contratos futuros quanto ao erro de alinhamento descrito na Seção 5.4.</w:t>
      </w:r>
    </w:p>
    <w:p>
      <w:pPr>
        <w:pStyle w:val="Heading3"/>
      </w:pPr>
      <w:r>
        <w:t>Anualização</w:t>
      </w:r>
    </w:p>
    <w:p>
      <w:pPr>
        <w:spacing w:before="160" w:after="80"/>
        <w:jc w:val="center"/>
      </w:pPr>
      <w:r>
        <w:rPr>
          <w:rFonts w:ascii="Cambria Math" w:hAnsi="Cambria Math"/>
          <w:i/>
          <w:sz w:val="24"/>
        </w:rPr>
        <w:t>RV_anualizada = √( média(Var_d) × 252 ) × 100</w:t>
      </w:r>
    </w:p>
    <w:p>
      <w:pPr>
        <w:spacing w:after="200" w:before="0"/>
        <w:jc w:val="center"/>
      </w:pPr>
      <w:r>
        <w:rPr>
          <w:b w:val="0"/>
          <w:i w:val="0"/>
          <w:color w:val="6B6A66"/>
          <w:sz w:val="18"/>
        </w:rPr>
        <w:t>252 dias úteis por ano; resultado em pontos percentuais ao ano.</w:t>
      </w:r>
    </w:p>
    <w:p>
      <w:pPr>
        <w:pStyle w:val="Heading2"/>
      </w:pPr>
      <w:r>
        <w:t>2.4 Volatilidade implícita e apreçamento: Black-76</w:t>
      </w:r>
    </w:p>
    <w:p>
      <w:pPr>
        <w:spacing w:after="120" w:before="0"/>
      </w:pPr>
      <w:r>
        <w:rPr>
          <w:b w:val="0"/>
          <w:i w:val="0"/>
          <w:color w:val="0B0B0B"/>
          <w:sz w:val="21"/>
        </w:rPr>
        <w:t>Opção de dólar na B3 é opção sobre o futuro, não sobre o dólar à vista. Isso obriga o uso de Black-76 (Black, 1976) em lugar do Black-Scholes clássico: o subjacente é o preço futuro F, que já incorpora o carrego de juros, de modo que a fórmula não carrega um termo separado de dividendo ou custo de carregamento.</w:t>
      </w:r>
    </w:p>
    <w:p>
      <w:pPr>
        <w:spacing w:before="160" w:after="200"/>
        <w:jc w:val="center"/>
      </w:pPr>
      <w:r>
        <w:rPr>
          <w:rFonts w:ascii="Cambria Math" w:hAnsi="Cambria Math"/>
          <w:i/>
          <w:sz w:val="24"/>
        </w:rPr>
        <w:t>d₁ = [ ln(F/K) + (σ²/2)·T ] / (σ·√T)          d₂ = d₁ − σ·√T</w:t>
      </w:r>
    </w:p>
    <w:p>
      <w:pPr>
        <w:spacing w:before="160" w:after="200"/>
        <w:jc w:val="center"/>
      </w:pPr>
      <w:r>
        <w:rPr>
          <w:rFonts w:ascii="Cambria Math" w:hAnsi="Cambria Math"/>
          <w:i/>
          <w:sz w:val="24"/>
        </w:rPr>
        <w:t>Call = e^(−rT) · [ F·N(d₁) − K·N(d₂) ]</w:t>
      </w:r>
    </w:p>
    <w:p>
      <w:pPr>
        <w:spacing w:before="160" w:after="80"/>
        <w:jc w:val="center"/>
      </w:pPr>
      <w:r>
        <w:rPr>
          <w:rFonts w:ascii="Cambria Math" w:hAnsi="Cambria Math"/>
          <w:i/>
          <w:sz w:val="24"/>
        </w:rPr>
        <w:t>Put = e^(−rT) · [ K·N(−d₂) − F·N(−d₁) ]</w:t>
      </w:r>
    </w:p>
    <w:p>
      <w:pPr>
        <w:spacing w:after="200" w:before="0"/>
        <w:jc w:val="center"/>
      </w:pPr>
      <w:r>
        <w:rPr>
          <w:b w:val="0"/>
          <w:i w:val="0"/>
          <w:color w:val="6B6A66"/>
          <w:sz w:val="18"/>
        </w:rPr>
        <w:t>N(·) é a distribuição normal padrão acumulada; F = preço futuro, K = strike, T = prazo em anos, σ = volatilidade, r = taxa livre de risco.</w:t>
      </w:r>
    </w:p>
    <w:p>
      <w:pPr>
        <w:spacing w:after="120" w:before="0"/>
      </w:pPr>
      <w:r>
        <w:rPr>
          <w:b w:val="0"/>
          <w:i w:val="0"/>
          <w:color w:val="0B0B0B"/>
          <w:sz w:val="21"/>
        </w:rPr>
        <w:t>No VolBoy o Black-76 cumpre dois papéis: calcular o prêmio pago ou recebido em cada operação simulada (sem o qual não há P&amp;L) e fornecer o vega usado no dimensionamento de posição.</w:t>
      </w:r>
    </w:p>
    <w:p>
      <w:pPr>
        <w:pStyle w:val="Heading2"/>
      </w:pPr>
      <w:r>
        <w:t>2.5 Vega e dimensionamento de posição</w:t>
      </w:r>
    </w:p>
    <w:p>
      <w:pPr>
        <w:spacing w:before="160" w:after="80"/>
        <w:jc w:val="center"/>
      </w:pPr>
      <w:r>
        <w:rPr>
          <w:rFonts w:ascii="Cambria Math" w:hAnsi="Cambria Math"/>
          <w:i/>
          <w:sz w:val="24"/>
        </w:rPr>
        <w:t>Vega = e^(−rT) · F · φ(d₁) · √T</w:t>
      </w:r>
    </w:p>
    <w:p>
      <w:pPr>
        <w:spacing w:after="200" w:before="0"/>
        <w:jc w:val="center"/>
      </w:pPr>
      <w:r>
        <w:rPr>
          <w:b w:val="0"/>
          <w:i w:val="0"/>
          <w:color w:val="6B6A66"/>
          <w:sz w:val="18"/>
        </w:rPr>
        <w:t>φ(·) é a densidade normal padrão. No Black-76, call e put têm vega idêntico — logo o vega do straddle é o dobro do de uma perna.</w:t>
      </w:r>
    </w:p>
    <w:p>
      <w:pPr>
        <w:spacing w:after="120" w:before="0"/>
      </w:pPr>
      <w:r>
        <w:rPr>
          <w:b w:val="0"/>
          <w:i w:val="0"/>
          <w:color w:val="0B0B0B"/>
          <w:sz w:val="21"/>
        </w:rPr>
        <w:t>Em vez de operar um número fixo de contratos, o VolBoy dimensiona a posição para entregar uma exposição-alvo constante a vega:</w:t>
      </w:r>
    </w:p>
    <w:p>
      <w:pPr>
        <w:spacing w:before="160" w:after="200"/>
        <w:jc w:val="center"/>
      </w:pPr>
      <w:r>
        <w:rPr>
          <w:rFonts w:ascii="Cambria Math" w:hAnsi="Cambria Math"/>
          <w:i/>
          <w:sz w:val="24"/>
        </w:rPr>
        <w:t>n_contratos = vega_alvo / vega_por_contrato</w:t>
      </w:r>
    </w:p>
    <w:p>
      <w:pPr>
        <w:spacing w:after="120" w:before="0"/>
      </w:pPr>
      <w:r>
        <w:rPr>
          <w:b w:val="0"/>
          <w:i w:val="0"/>
          <w:color w:val="0B0B0B"/>
          <w:sz w:val="21"/>
        </w:rPr>
        <w:t>A razão é de gestão de risco: o vega por contrato varia com o nível de volatilidade do mercado. Operar quantidade fixa faria o risco assumido oscilar involuntariamente conforme o regime — justamente a variável que a estratégia pretende controlar.</w:t>
      </w:r>
    </w:p>
    <w:p>
      <w:pPr>
        <w:pStyle w:val="Heading2"/>
      </w:pPr>
      <w:r>
        <w:t>2.6 A regra de decisão</w:t>
      </w:r>
    </w:p>
    <w:p>
      <w:pPr>
        <w:spacing w:before="160" w:after="200"/>
        <w:jc w:val="center"/>
      </w:pPr>
      <w:r>
        <w:rPr>
          <w:rFonts w:ascii="Cambria Math" w:hAnsi="Cambria Math"/>
          <w:i/>
          <w:sz w:val="21"/>
        </w:rPr>
        <w:t>spread = RV_prevista − IV          |  spread &gt; banda  → compra volatilidade</w:t>
        <w:br/>
        <w:t xml:space="preserve">                                    |  spread &lt; −banda → vende volatilidade</w:t>
        <w:br/>
        <w:t xml:space="preserve">                                    |  caso contrário  → não opera</w:t>
      </w:r>
    </w:p>
    <w:p>
      <w:pPr>
        <w:spacing w:after="120" w:before="0"/>
      </w:pPr>
      <w:r>
        <w:rPr>
          <w:b w:val="0"/>
          <w:i w:val="0"/>
          <w:color w:val="0B0B0B"/>
          <w:sz w:val="21"/>
        </w:rPr>
        <w:t>A banda morta não é um detalhe de implementação: opções de dólar têm spread de compra e venda largo, e operar diferenças pequenas destrói o resultado em custos. A banda exige que a discrepância entre nossa projeção e o mercado seja grande o suficiente para pagar o custo de entrada e saída. Seu tamanho é o principal hiperparâmetro da estratégia — e, por isso, é a família de configurações usada no cálculo do Deflated Sharpe Ratio (Seção 4.4).</w:t>
      </w:r>
    </w:p>
    <w:p>
      <w:r>
        <w:br w:type="page"/>
      </w:r>
    </w:p>
    <w:p>
      <w:pPr>
        <w:pStyle w:val="Heading2"/>
      </w:pPr>
      <w:r>
        <w:t>2.7 Os modelos de previsão de RV</w:t>
      </w:r>
    </w:p>
    <w:p>
      <w:pPr>
        <w:pStyle w:val="Heading3"/>
      </w:pPr>
      <w:r>
        <w:t>HAR-RV (Corsi, 2009) — o modelo central</w:t>
      </w:r>
    </w:p>
    <w:p>
      <w:pPr>
        <w:spacing w:after="120" w:before="0"/>
      </w:pPr>
      <w:r>
        <w:rPr>
          <w:b w:val="0"/>
          <w:i w:val="0"/>
          <w:color w:val="0B0B0B"/>
          <w:sz w:val="21"/>
        </w:rPr>
        <w:t>A Hipótese de Mercado Heterogêneo sustenta que participantes operam em horizontes distintos: quem gira posição no dia reage à volatilidade de ontem; gestores olham a semana; alocadores olham o mês. O HAR-RV formaliza isso como uma regressão sobre três escalas de tempo:</w:t>
      </w:r>
    </w:p>
    <w:p>
      <w:pPr>
        <w:spacing w:before="160" w:after="200"/>
        <w:jc w:val="center"/>
      </w:pPr>
      <w:r>
        <w:rPr>
          <w:rFonts w:ascii="Cambria Math" w:hAnsi="Cambria Math"/>
          <w:i/>
          <w:sz w:val="24"/>
        </w:rPr>
        <w:t>RVₜ₊ₕ = β₀ + β₁·RV_d + β₂·RV_w + β₃·RV_m + εₜ</w:t>
      </w:r>
    </w:p>
    <w:tbl>
      <w:tblPr>
        <w:tblStyle w:val="TableGrid"/>
        <w:tblW w:type="auto" w:w="0"/>
        <w:jc w:val="center"/>
        <w:tblLook w:firstColumn="1" w:firstRow="1" w:lastColumn="0" w:lastRow="0" w:noHBand="0" w:noVBand="1" w:val="04A0"/>
      </w:tblPr>
      <w:tblGrid>
        <w:gridCol w:w="3211"/>
        <w:gridCol w:w="3211"/>
        <w:gridCol w:w="3211"/>
      </w:tblGrid>
      <w:tr>
        <w:tc>
          <w:tcPr>
            <w:tcW w:type="dxa" w:w="1440"/>
            <w:shd w:val="clear" w:fill="2A2A28"/>
          </w:tcPr>
          <w:p>
            <w:r/>
            <w:r>
              <w:rPr>
                <w:b/>
                <w:color w:val="FFFFFF"/>
                <w:sz w:val="18"/>
              </w:rPr>
              <w:t>Termo</w:t>
            </w:r>
          </w:p>
        </w:tc>
        <w:tc>
          <w:tcPr>
            <w:tcW w:type="dxa" w:w="4320"/>
            <w:shd w:val="clear" w:fill="2A2A28"/>
          </w:tcPr>
          <w:p>
            <w:r/>
            <w:r>
              <w:rPr>
                <w:b/>
                <w:color w:val="FFFFFF"/>
                <w:sz w:val="18"/>
              </w:rPr>
              <w:t>Definição</w:t>
            </w:r>
          </w:p>
        </w:tc>
        <w:tc>
          <w:tcPr>
            <w:tcW w:type="dxa" w:w="3600"/>
            <w:shd w:val="clear" w:fill="2A2A28"/>
          </w:tcPr>
          <w:p>
            <w:r/>
            <w:r>
              <w:rPr>
                <w:b/>
                <w:color w:val="FFFFFF"/>
                <w:sz w:val="18"/>
              </w:rPr>
              <w:t>Papel</w:t>
            </w:r>
          </w:p>
        </w:tc>
      </w:tr>
      <w:tr>
        <w:tc>
          <w:tcPr>
            <w:tcW w:type="dxa" w:w="1440"/>
          </w:tcPr>
          <w:p>
            <w:r/>
            <w:r>
              <w:rPr>
                <w:sz w:val="18"/>
              </w:rPr>
              <w:t>RV_d</w:t>
            </w:r>
          </w:p>
        </w:tc>
        <w:tc>
          <w:tcPr>
            <w:tcW w:type="dxa" w:w="4320"/>
          </w:tcPr>
          <w:p>
            <w:r/>
            <w:r>
              <w:rPr>
                <w:sz w:val="18"/>
              </w:rPr>
              <w:t>Variância realizada de hoje</w:t>
            </w:r>
          </w:p>
        </w:tc>
        <w:tc>
          <w:tcPr>
            <w:tcW w:type="dxa" w:w="3600"/>
          </w:tcPr>
          <w:p>
            <w:r/>
            <w:r>
              <w:rPr>
                <w:sz w:val="18"/>
              </w:rPr>
              <w:t>Reação imediata</w:t>
            </w:r>
          </w:p>
        </w:tc>
      </w:tr>
      <w:tr>
        <w:tc>
          <w:tcPr>
            <w:tcW w:type="dxa" w:w="1440"/>
          </w:tcPr>
          <w:p>
            <w:r/>
            <w:r>
              <w:rPr>
                <w:sz w:val="18"/>
              </w:rPr>
              <w:t>RV_w</w:t>
            </w:r>
          </w:p>
        </w:tc>
        <w:tc>
          <w:tcPr>
            <w:tcW w:type="dxa" w:w="4320"/>
          </w:tcPr>
          <w:p>
            <w:r/>
            <w:r>
              <w:rPr>
                <w:sz w:val="18"/>
              </w:rPr>
              <w:t>Média móvel de 5 dias úteis</w:t>
            </w:r>
          </w:p>
        </w:tc>
        <w:tc>
          <w:tcPr>
            <w:tcW w:type="dxa" w:w="3600"/>
          </w:tcPr>
          <w:p>
            <w:r/>
            <w:r>
              <w:rPr>
                <w:sz w:val="18"/>
              </w:rPr>
              <w:t>Componente semanal</w:t>
            </w:r>
          </w:p>
        </w:tc>
      </w:tr>
      <w:tr>
        <w:tc>
          <w:tcPr>
            <w:tcW w:type="dxa" w:w="1440"/>
          </w:tcPr>
          <w:p>
            <w:r/>
            <w:r>
              <w:rPr>
                <w:sz w:val="18"/>
              </w:rPr>
              <w:t>RV_m</w:t>
            </w:r>
          </w:p>
        </w:tc>
        <w:tc>
          <w:tcPr>
            <w:tcW w:type="dxa" w:w="4320"/>
          </w:tcPr>
          <w:p>
            <w:r/>
            <w:r>
              <w:rPr>
                <w:sz w:val="18"/>
              </w:rPr>
              <w:t>Média móvel de 22 dias úteis</w:t>
            </w:r>
          </w:p>
        </w:tc>
        <w:tc>
          <w:tcPr>
            <w:tcW w:type="dxa" w:w="3600"/>
          </w:tcPr>
          <w:p>
            <w:r/>
            <w:r>
              <w:rPr>
                <w:sz w:val="18"/>
              </w:rPr>
              <w:t>Componente mensal / memória longa</w:t>
            </w:r>
          </w:p>
        </w:tc>
      </w:tr>
      <w:tr>
        <w:tc>
          <w:tcPr>
            <w:tcW w:type="dxa" w:w="1440"/>
          </w:tcPr>
          <w:p>
            <w:r/>
            <w:r>
              <w:rPr>
                <w:sz w:val="18"/>
              </w:rPr>
              <w:t>Alvo</w:t>
            </w:r>
          </w:p>
        </w:tc>
        <w:tc>
          <w:tcPr>
            <w:tcW w:type="dxa" w:w="4320"/>
          </w:tcPr>
          <w:p>
            <w:r/>
            <w:r>
              <w:rPr>
                <w:sz w:val="18"/>
              </w:rPr>
              <w:t>RV anualizada realizada nos h dias seguintes</w:t>
            </w:r>
          </w:p>
        </w:tc>
        <w:tc>
          <w:tcPr>
            <w:tcW w:type="dxa" w:w="3600"/>
          </w:tcPr>
          <w:p>
            <w:r/>
            <w:r>
              <w:rPr>
                <w:sz w:val="18"/>
              </w:rPr>
              <w:t>Nunca usado como entrada</w:t>
            </w:r>
          </w:p>
        </w:tc>
      </w:tr>
    </w:tbl>
    <w:p>
      <w:pPr>
        <w:spacing w:after="80"/>
      </w:pPr>
    </w:p>
    <w:p>
      <w:pPr>
        <w:spacing w:after="120" w:before="0"/>
      </w:pPr>
      <w:r>
        <w:rPr>
          <w:b w:val="0"/>
          <w:i w:val="0"/>
          <w:color w:val="0B0B0B"/>
          <w:sz w:val="21"/>
        </w:rPr>
        <w:t>O ajuste é feito por mínimos quadrados sobre log(RV). A razão é estatística: RV é sempre positiva e tem distribuição aproximadamente log-normal, com cauda direita pesada. Ajustar em log evita previsões negativas, estabiliza a variância dos resíduos e, na prática, generaliza melhor fora da amostra do que ajustar o nível.</w:t>
      </w:r>
    </w:p>
    <w:p>
      <w:pPr>
        <w:pStyle w:val="Heading3"/>
      </w:pPr>
      <w:r>
        <w:t>Persistência — o benchmark que precisa ser batido</w:t>
      </w:r>
    </w:p>
    <w:p>
      <w:pPr>
        <w:spacing w:before="160" w:after="200"/>
        <w:jc w:val="center"/>
      </w:pPr>
      <w:r>
        <w:rPr>
          <w:rFonts w:ascii="Cambria Math" w:hAnsi="Cambria Math"/>
          <w:i/>
          <w:sz w:val="24"/>
        </w:rPr>
        <w:t>RV_prevista(t+h) = RV_realizada recente (RV_m anualizada)</w:t>
      </w:r>
    </w:p>
    <w:p>
      <w:pPr>
        <w:spacing w:after="120" w:before="0"/>
      </w:pPr>
      <w:r>
        <w:rPr>
          <w:b w:val="0"/>
          <w:i w:val="0"/>
          <w:color w:val="0B0B0B"/>
          <w:sz w:val="21"/>
        </w:rPr>
        <w:t>A previsão ingênua: “a volatilidade dos próximos h dias será igual à dos últimos 22 dias”. Não tem parâmetro algum a estimar. Sua função no projeto é ser a barra mínima — se uma regressão ajustada não bate uma projeção sem parâmetros, ela não se justifica. Como a Seção 6 mostra, esse benchmark se revelou surpreendentemente difícil de superar.</w:t>
      </w:r>
    </w:p>
    <w:p>
      <w:pPr>
        <w:pStyle w:val="Heading3"/>
      </w:pPr>
      <w:r>
        <w:t>GARCH(1,1) — alternativa testada</w:t>
      </w:r>
    </w:p>
    <w:p>
      <w:pPr>
        <w:spacing w:before="160" w:after="200"/>
        <w:jc w:val="center"/>
      </w:pPr>
      <w:r>
        <w:rPr>
          <w:rFonts w:ascii="Cambria Math" w:hAnsi="Cambria Math"/>
          <w:i/>
          <w:sz w:val="24"/>
        </w:rPr>
        <w:t>σₜ² = ω + α·εₜ₋₁² + β·σₜ₋₁²</w:t>
      </w:r>
    </w:p>
    <w:p>
      <w:pPr>
        <w:spacing w:after="120" w:before="0"/>
      </w:pPr>
      <w:r>
        <w:rPr>
          <w:b w:val="0"/>
          <w:i w:val="0"/>
          <w:color w:val="0B0B0B"/>
          <w:sz w:val="21"/>
        </w:rPr>
        <w:t>Modela a variância condicional em função do choque mais recente e da própria variância anterior. Os parâmetros são estimados por máxima verossimilhança apenas no período de treino de cada fold, congelados dentro do fold — exatamente como os coeficientes do HAR-RV, para que a comparação seja justa. No diagnóstico, teve desempenho inferior ao HAR-RV e foi descartado como candidato principal.</w:t>
      </w:r>
    </w:p>
    <w:p>
      <w:pPr>
        <w:pStyle w:val="Heading2"/>
      </w:pPr>
      <w:r>
        <w:t>2.8 As camadas de informação</w:t>
      </w:r>
    </w:p>
    <w:p>
      <w:pPr>
        <w:pStyle w:val="Heading3"/>
      </w:pPr>
      <w:r>
        <w:t>Notícia: tom e atenção (GDELT)</w:t>
      </w:r>
    </w:p>
    <w:p>
      <w:pPr>
        <w:spacing w:after="120" w:before="0"/>
      </w:pPr>
      <w:r>
        <w:rPr>
          <w:b w:val="0"/>
          <w:i w:val="0"/>
          <w:color w:val="0B0B0B"/>
          <w:sz w:val="21"/>
        </w:rPr>
        <w:t>O GDELT monitora a imprensa mundial e disponibiliza séries agregadas por consulta. Usamos dois modos distintos, que capturam coisas diferentes:</w:t>
      </w:r>
    </w:p>
    <w:p>
      <w:pPr>
        <w:pStyle w:val="ListBullet"/>
        <w:spacing w:after="60"/>
      </w:pPr>
      <w:r>
        <w:rPr>
          <w:b/>
          <w:sz w:val="21"/>
        </w:rPr>
        <w:t xml:space="preserve">Tom (timelinetone). </w:t>
      </w:r>
      <w:r>
        <w:rPr>
          <w:sz w:val="21"/>
        </w:rPr>
        <w:t>Polaridade média da cobertura — positiva ou negativa.</w:t>
      </w:r>
    </w:p>
    <w:p>
      <w:pPr>
        <w:pStyle w:val="ListBullet"/>
        <w:spacing w:after="60"/>
      </w:pPr>
      <w:r>
        <w:rPr>
          <w:b/>
          <w:sz w:val="21"/>
        </w:rPr>
        <w:t xml:space="preserve">Atenção (timelinevolraw). </w:t>
      </w:r>
      <w:r>
        <w:rPr>
          <w:sz w:val="21"/>
        </w:rPr>
        <w:t>Que fração da cobertura total do dia fala do assunto. Mede quanto o tema domina a pauta, independentemente de o tom ser bom ou ruim.</w:t>
      </w:r>
    </w:p>
    <w:p>
      <w:pPr>
        <w:spacing w:after="120" w:before="0"/>
      </w:pPr>
      <w:r>
        <w:rPr>
          <w:b w:val="0"/>
          <w:i w:val="0"/>
          <w:color w:val="0B0B0B"/>
          <w:sz w:val="21"/>
        </w:rPr>
        <w:t>A distinção importa: um pacote fiscal bem recebido e uma crise fiscal geram, ambos, pico de atenção. Foi essa limitação que motivou a camada seguinte.</w:t>
      </w:r>
    </w:p>
    <w:p>
      <w:pPr>
        <w:pStyle w:val="Heading3"/>
      </w:pPr>
      <w:r>
        <w:t>Sentimento fiscal via FinBERT-PT-BR</w:t>
      </w:r>
    </w:p>
    <w:p>
      <w:pPr>
        <w:spacing w:after="120" w:before="0"/>
      </w:pPr>
      <w:r>
        <w:rPr>
          <w:b w:val="0"/>
          <w:i w:val="0"/>
          <w:color w:val="0B0B0B"/>
          <w:sz w:val="21"/>
        </w:rPr>
        <w:t>Para separar “fala-se muito de fiscal” de “fala-se mal do fiscal”, coletamos as manchetes individuais sobre risco fiscal e as classificamos com o FinBERT-PT-BR. O detalhamento do uso de IA está na Seção 3.</w:t>
      </w:r>
    </w:p>
    <w:p>
      <w:pPr>
        <w:pStyle w:val="Heading3"/>
      </w:pPr>
      <w:r>
        <w:t>Credibilidade do Banco Central: teoria dos jogos</w:t>
      </w:r>
    </w:p>
    <w:p>
      <w:pPr>
        <w:spacing w:after="120" w:before="0"/>
      </w:pPr>
      <w:r>
        <w:rPr>
          <w:b w:val="0"/>
          <w:i w:val="0"/>
          <w:color w:val="0B0B0B"/>
          <w:sz w:val="21"/>
        </w:rPr>
        <w:t>Esta é a camada conceitualmente mais ambiciosa. A intuição vem de Barro e Gordon (1983): sob discrição — isto é, sem compromisso crível —, o Banco Central tem incentivo a tolerar inflação surpresa para estimular atividade. O mercado antecipa esse incentivo, e o resultado de equilíbrio é viés inflacionário sem ganho real de produto.</w:t>
      </w:r>
    </w:p>
    <w:p>
      <w:pPr>
        <w:spacing w:before="160" w:after="80"/>
        <w:jc w:val="center"/>
      </w:pPr>
      <w:r>
        <w:rPr>
          <w:rFonts w:ascii="Cambria Math" w:hAnsi="Cambria Math"/>
          <w:i/>
          <w:sz w:val="24"/>
        </w:rPr>
        <w:t>L = ½ · [ (π − π*)² + λ·(y − yⁿ)² ]</w:t>
      </w:r>
    </w:p>
    <w:p>
      <w:pPr>
        <w:spacing w:after="200" w:before="0"/>
        <w:jc w:val="center"/>
      </w:pPr>
      <w:r>
        <w:rPr>
          <w:b w:val="0"/>
          <w:i w:val="0"/>
          <w:color w:val="6B6A66"/>
          <w:sz w:val="18"/>
        </w:rPr>
        <w:t>Função de perda do Banco Central: desvio da meta de inflação e desvio do produto potencial.</w:t>
      </w:r>
    </w:p>
    <w:p>
      <w:pPr>
        <w:spacing w:before="160" w:after="80"/>
        <w:jc w:val="center"/>
      </w:pPr>
      <w:r>
        <w:rPr>
          <w:rFonts w:ascii="Cambria Math" w:hAnsi="Cambria Math"/>
          <w:i/>
          <w:sz w:val="24"/>
        </w:rPr>
        <w:t>y = yⁿ + α·(π − πᵉ)</w:t>
      </w:r>
    </w:p>
    <w:p>
      <w:pPr>
        <w:spacing w:after="200" w:before="0"/>
        <w:jc w:val="center"/>
      </w:pPr>
      <w:r>
        <w:rPr>
          <w:b w:val="0"/>
          <w:i w:val="0"/>
          <w:color w:val="6B6A66"/>
          <w:sz w:val="18"/>
        </w:rPr>
        <w:t>Curva de Phillips: só há estímulo real se a inflação SURPREENDER a expectativa.</w:t>
      </w:r>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fill="2A2A28"/>
          </w:tcPr>
          <w:p>
            <w:r/>
            <w:r>
              <w:rPr>
                <w:b/>
                <w:color w:val="FFFFFF"/>
                <w:sz w:val="18"/>
              </w:rPr>
              <w:t>Equilíbrio</w:t>
            </w:r>
          </w:p>
        </w:tc>
        <w:tc>
          <w:tcPr>
            <w:tcW w:type="dxa" w:w="4320"/>
            <w:shd w:val="clear" w:fill="2A2A28"/>
          </w:tcPr>
          <w:p>
            <w:r/>
            <w:r>
              <w:rPr>
                <w:b/>
                <w:color w:val="FFFFFF"/>
                <w:sz w:val="18"/>
              </w:rPr>
              <w:t>Mecanismo</w:t>
            </w:r>
          </w:p>
        </w:tc>
        <w:tc>
          <w:tcPr>
            <w:tcW w:type="dxa" w:w="2736"/>
            <w:shd w:val="clear" w:fill="2A2A28"/>
          </w:tcPr>
          <w:p>
            <w:r/>
            <w:r>
              <w:rPr>
                <w:b/>
                <w:color w:val="FFFFFF"/>
                <w:sz w:val="18"/>
              </w:rPr>
              <w:t>Consequência</w:t>
            </w:r>
          </w:p>
        </w:tc>
      </w:tr>
      <w:tr>
        <w:tc>
          <w:tcPr>
            <w:tcW w:type="dxa" w:w="2304"/>
          </w:tcPr>
          <w:p>
            <w:r/>
            <w:r>
              <w:rPr>
                <w:sz w:val="18"/>
              </w:rPr>
              <w:t>Nash (discrição)</w:t>
            </w:r>
          </w:p>
        </w:tc>
        <w:tc>
          <w:tcPr>
            <w:tcW w:type="dxa" w:w="4320"/>
          </w:tcPr>
          <w:p>
            <w:r/>
            <w:r>
              <w:rPr>
                <w:sz w:val="18"/>
              </w:rPr>
              <w:t>O BC reotimiza a cada período tomando as expectativas como dadas; o mercado antecipa</w:t>
            </w:r>
          </w:p>
        </w:tc>
        <w:tc>
          <w:tcPr>
            <w:tcW w:type="dxa" w:w="2736"/>
          </w:tcPr>
          <w:p>
            <w:r/>
            <w:r>
              <w:rPr>
                <w:sz w:val="18"/>
              </w:rPr>
              <w:t>Viés inflacionário sistemático</w:t>
            </w:r>
          </w:p>
        </w:tc>
      </w:tr>
      <w:tr>
        <w:tc>
          <w:tcPr>
            <w:tcW w:type="dxa" w:w="2304"/>
          </w:tcPr>
          <w:p>
            <w:r/>
            <w:r>
              <w:rPr>
                <w:sz w:val="18"/>
              </w:rPr>
              <w:t>Stackelberg (compromisso)</w:t>
            </w:r>
          </w:p>
        </w:tc>
        <w:tc>
          <w:tcPr>
            <w:tcW w:type="dxa" w:w="4320"/>
          </w:tcPr>
          <w:p>
            <w:r/>
            <w:r>
              <w:rPr>
                <w:sz w:val="18"/>
              </w:rPr>
              <w:t>O BC se compromete de forma crível e o mercado acredita</w:t>
            </w:r>
          </w:p>
        </w:tc>
        <w:tc>
          <w:tcPr>
            <w:tcW w:type="dxa" w:w="2736"/>
          </w:tcPr>
          <w:p>
            <w:r/>
            <w:r>
              <w:rPr>
                <w:sz w:val="18"/>
              </w:rPr>
              <w:t>Expectativas ancoradas, menos flexibilidade</w:t>
            </w:r>
          </w:p>
        </w:tc>
      </w:tr>
    </w:tbl>
    <w:p>
      <w:pPr>
        <w:spacing w:after="80"/>
      </w:pPr>
    </w:p>
    <w:p>
      <w:pPr>
        <w:spacing w:after="120" w:before="0"/>
      </w:pPr>
      <w:r>
        <w:rPr>
          <w:b w:val="0"/>
          <w:i w:val="0"/>
          <w:color w:val="0B0B0B"/>
          <w:sz w:val="21"/>
        </w:rPr>
        <w:t>A pergunta empírica é qual equilíbrio o mercado está precificando. Implementamos a versão baseline (Tier 1) do índice, usando a distância entre a expectativa de inflação do Focus e a meta:</w:t>
      </w:r>
    </w:p>
    <w:p>
      <w:pPr>
        <w:spacing w:before="160" w:after="80"/>
        <w:jc w:val="center"/>
      </w:pPr>
      <w:r>
        <w:rPr>
          <w:rFonts w:ascii="Cambria Math" w:hAnsi="Cambria Math"/>
          <w:i/>
          <w:sz w:val="24"/>
        </w:rPr>
        <w:t>gapₜ = πᵉₜ − metaₜ          θₜ = exp( −|gapₜ| / escala )</w:t>
      </w:r>
    </w:p>
    <w:p>
      <w:pPr>
        <w:spacing w:after="200" w:before="0"/>
        <w:jc w:val="center"/>
      </w:pPr>
      <w:r>
        <w:rPr>
          <w:b w:val="0"/>
          <w:i w:val="0"/>
          <w:color w:val="6B6A66"/>
          <w:sz w:val="18"/>
        </w:rPr>
        <w:t>θₜ próximo de 1 indica expectativas ancoradas (alta credibilidade); próximo de 0, expectativas distantes da meta.</w:t>
      </w:r>
    </w:p>
    <w:p>
      <w:pPr>
        <w:spacing w:after="120" w:before="0"/>
      </w:pPr>
      <w:r>
        <w:rPr>
          <w:b w:val="0"/>
          <w:i w:val="0"/>
          <w:color w:val="0B0B0B"/>
          <w:sz w:val="21"/>
        </w:rPr>
        <w:t>A escala é um parâmetro fixo (2,0 p.p.), deliberadamente não normalizado pelo desvio-padrão histórico do gap. A razão merece registro porque foi uma decisão consciente: o gap brasileiro é cronicamente elevado e pouco volátil em torno desse patamar. Uma normalização auto-calibrada mediria “quão incomum é este gap frente ao seu próprio histórico”, e não “quão perto da meta estão as expectativas” — colapsando θ para perto de zero mesmo com desvios moderados. Seria uma medida de surpresa, não de credibilidade.</w:t>
      </w:r>
    </w:p>
    <w:p>
      <w:pPr>
        <w:spacing w:after="120" w:before="0"/>
      </w:pPr>
      <w:r>
        <w:rPr>
          <w:b w:val="0"/>
          <w:i w:val="0"/>
          <w:color w:val="0B0B0B"/>
          <w:sz w:val="21"/>
        </w:rPr>
        <w:t>A dispersão entre os respondentes do Focus entra como segunda variável, separada: ela mede desacordo entre analistas, um conceito relacionado mas distinto de distância da meta.</w:t>
      </w:r>
    </w:p>
    <w:p>
      <w:pPr>
        <w:pStyle w:val="Heading3"/>
      </w:pPr>
      <w:r>
        <w:t>O que a teoria realmente prevê — e por que isso importa para o teste</w:t>
      </w:r>
    </w:p>
    <w:p>
      <w:pPr>
        <w:spacing w:after="40" w:before="0"/>
      </w:pPr>
      <w:r>
        <w:rPr>
          <w:b w:val="0"/>
          <w:i w:val="0"/>
          <w:color w:val="0B0B0B"/>
          <w:sz w:val="21"/>
        </w:rPr>
        <w:t xml:space="preserve">Há uma distinção aqui que inicialmente não respeitamos, e que muda a interpretação de todo o resultado sobre credibilidade. O mecanismo de Barro-Gordon não prevê que perda de credibilidade eleve a volatilidade em geral. Ele prevê algo mais específico: sob discrição, o incentivo do Banco Central a tolerar inflação surpresa eleva </w:t>
      </w:r>
    </w:p>
    <w:p>
      <w:pPr>
        <w:spacing w:after="120"/>
      </w:pPr>
      <w:r>
        <w:rPr>
          <w:b/>
          <w:i w:val="0"/>
          <w:color w:val="0B0B0B"/>
          <w:sz w:val="21"/>
        </w:rPr>
        <w:t>assimetricamente</w:t>
      </w:r>
      <w:r>
        <w:rPr>
          <w:b w:val="0"/>
          <w:i w:val="0"/>
          <w:color w:val="0B0B0B"/>
          <w:sz w:val="21"/>
        </w:rPr>
        <w:t xml:space="preserve"> o risco de depreciação do real. A previsão é sobre a </w:t>
      </w:r>
      <w:r>
        <w:rPr>
          <w:b/>
          <w:i w:val="0"/>
          <w:color w:val="0B0B0B"/>
          <w:sz w:val="21"/>
        </w:rPr>
        <w:t>forma</w:t>
      </w:r>
      <w:r>
        <w:rPr>
          <w:b w:val="0"/>
          <w:i w:val="0"/>
          <w:color w:val="0B0B0B"/>
          <w:sz w:val="21"/>
        </w:rPr>
        <w:t xml:space="preserve"> da distribuição — a cauda direita, o skew — e não sobre o </w:t>
      </w:r>
      <w:r>
        <w:rPr>
          <w:b/>
          <w:i w:val="0"/>
          <w:color w:val="0B0B0B"/>
          <w:sz w:val="21"/>
        </w:rPr>
        <w:t>nível</w:t>
      </w:r>
      <w:r>
        <w:rPr>
          <w:b w:val="0"/>
          <w:i w:val="0"/>
          <w:color w:val="0B0B0B"/>
          <w:sz w:val="21"/>
        </w:rPr>
        <w:t xml:space="preserve"> de volatilidade.</w:t>
      </w:r>
    </w:p>
    <w:p>
      <w:pPr>
        <w:spacing w:after="120" w:before="0"/>
      </w:pPr>
      <w:r>
        <w:rPr>
          <w:b w:val="0"/>
          <w:i w:val="0"/>
          <w:color w:val="0B0B0B"/>
          <w:sz w:val="21"/>
        </w:rPr>
        <w:t>Nossa ablação inicial testou θₜ como preditor da RV futura, que é uma grandeza de nível. Encontrar ausência de efeito ali é evidência fraca contra a teoria, porque a teoria não faz essa previsão com força. Reportar aquele nulo como refutação da hipótese de credibilidade foi um erro de interpretação nosso.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1F5CA8"/>
                <w:sz w:val="20"/>
              </w:rPr>
              <w:t xml:space="preserve">Por que o teste correto era inviável.  </w:t>
            </w:r>
            <w:r>
              <w:rPr>
                <w:sz w:val="19"/>
              </w:rPr>
              <w:t>A previsão forte é sobre o skew IMPLÍCITO — extraído da superfície de opções. Como a B3 sobrescreve a superfície diariamente e existe apenas um dia de histórico (Seção 7.1), esse teste nunca foi possível com os dados disponíveis. A limitação de dados que impede validar a tese central também impede validar a camada de credibilidade na dimensão certa.</w:t>
            </w:r>
          </w:p>
        </w:tc>
      </w:tr>
    </w:tbl>
    <w:p>
      <w:pPr>
        <w:spacing w:after="120"/>
      </w:pPr>
    </w:p>
    <w:p>
      <w:pPr>
        <w:spacing w:after="40" w:before="0"/>
      </w:pPr>
      <w:r>
        <w:rPr>
          <w:b w:val="0"/>
          <w:i w:val="0"/>
          <w:color w:val="0B0B0B"/>
          <w:sz w:val="21"/>
        </w:rPr>
        <w:t xml:space="preserve">O que é possível é testar a contraparte </w:t>
      </w:r>
    </w:p>
    <w:p>
      <w:pPr>
        <w:spacing w:after="120"/>
      </w:pPr>
      <w:r>
        <w:rPr>
          <w:b/>
          <w:i w:val="0"/>
          <w:color w:val="0B0B0B"/>
          <w:sz w:val="21"/>
        </w:rPr>
        <w:t>realizada</w:t>
      </w:r>
      <w:r>
        <w:rPr>
          <w:b w:val="0"/>
          <w:i w:val="0"/>
          <w:color w:val="0B0B0B"/>
          <w:sz w:val="21"/>
        </w:rPr>
        <w:t>: se a perda de credibilidade cria risco assimétrico de depreciação, os retornos futuros do USD/BRL deveriam apresentar assimetria positiva. Isso é mensurável com os dados que temos, e os resultados estão na Seção 6.3.</w:t>
      </w:r>
    </w:p>
    <w:p>
      <w:r>
        <w:br w:type="page"/>
      </w:r>
    </w:p>
    <w:p>
      <w:pPr>
        <w:pStyle w:val="Heading1"/>
      </w:pPr>
      <w:r>
        <w:t>3. Uso de Inteligência Artificial</w:t>
      </w:r>
    </w:p>
    <w:p>
      <w:pPr>
        <w:spacing w:after="120" w:before="0"/>
      </w:pPr>
      <w:r>
        <w:rPr>
          <w:b w:val="0"/>
          <w:i w:val="0"/>
          <w:color w:val="0B0B0B"/>
          <w:sz w:val="21"/>
        </w:rPr>
        <w:t>A IA cumpre dois papéis distintos no VolBoy, e vale separá-los com clareza porque respondem a perguntas diferentes.</w:t>
      </w:r>
    </w:p>
    <w:p>
      <w:pPr>
        <w:pStyle w:val="Heading2"/>
      </w:pPr>
      <w:r>
        <w:t>3.1 IA dentro do modelo: FinBERT-PT-BR</w:t>
      </w:r>
    </w:p>
    <w:p>
      <w:pPr>
        <w:spacing w:after="120" w:before="0"/>
      </w:pPr>
      <w:r>
        <w:rPr>
          <w:b w:val="0"/>
          <w:i w:val="0"/>
          <w:color w:val="0B0B0B"/>
          <w:sz w:val="21"/>
        </w:rPr>
        <w:t>O FinBERT-PT-BR é um modelo de linguagem especializado em texto financeiro em português. Usamos transfer learning puro — o modelo pré-treinado, sem ajuste fino próprio. A decisão foi deliberada: aprendizado de máquina é a competência menos madura da equipe, e treinar um classificador do zero com poucos rótulos produziria um resultado pior e menos defensável do que usar um modelo já validado pela comunidade.</w:t>
      </w:r>
    </w:p>
    <w:p>
      <w:pPr>
        <w:spacing w:after="120" w:before="0"/>
      </w:pPr>
      <w:r>
        <w:rPr>
          <w:b w:val="0"/>
          <w:i w:val="0"/>
          <w:color w:val="0B0B0B"/>
          <w:sz w:val="21"/>
        </w:rPr>
        <w:t>Cada manchete recebe um rótulo (positivo, negativo ou neutro) com um grau de confiança, convertidos em um escore assinado e agregados em um índice diário.</w:t>
      </w:r>
    </w:p>
    <w:p>
      <w:pPr>
        <w:pStyle w:val="Heading3"/>
      </w:pPr>
      <w:r>
        <w:t>Rigor aplicado ao uso do modelo</w:t>
      </w:r>
    </w:p>
    <w:p>
      <w:pPr>
        <w:spacing w:after="120" w:before="0"/>
      </w:pPr>
      <w:r>
        <w:rPr>
          <w:b w:val="0"/>
          <w:i w:val="0"/>
          <w:color w:val="0B0B0B"/>
          <w:sz w:val="21"/>
        </w:rPr>
        <w:t>Dois cuidados metodológicos merecem destaque, porque ambos surgiram de verificação empírica e não de suposição:</w:t>
      </w:r>
    </w:p>
    <w:p>
      <w:pPr>
        <w:pStyle w:val="ListBullet"/>
        <w:spacing w:after="60"/>
      </w:pPr>
      <w:r>
        <w:rPr>
          <w:b/>
          <w:sz w:val="21"/>
        </w:rPr>
        <w:t xml:space="preserve">Filtro de idioma obrigatório. </w:t>
      </w:r>
      <w:r>
        <w:rPr>
          <w:sz w:val="21"/>
        </w:rPr>
        <w:t>A consulta de risco fiscal usa termos em inglês, mas o GDELT monitora a imprensa mundial. Ao inspecionar a amostra coletada, apenas cerca de um terço das manchetes estava em português. Aplicar um modelo treinado em português ao lote inteiro produziria escores sem significado para a maioria dos textos. O pipeline filtra por idioma antes da classificação.</w:t>
      </w:r>
    </w:p>
    <w:p>
      <w:pPr>
        <w:pStyle w:val="ListBullet"/>
        <w:spacing w:after="60"/>
      </w:pPr>
      <w:r>
        <w:rPr>
          <w:b/>
          <w:sz w:val="21"/>
        </w:rPr>
        <w:t xml:space="preserve">Alinhamento temporal explícito. </w:t>
      </w:r>
      <w:r>
        <w:rPr>
          <w:sz w:val="21"/>
        </w:rPr>
        <w:t>O índice diário do FinBERT é indexado por data-calendário simples, enquanto o restante do pipeline usa timestamps com fuso horário de São Paulo. Sem normalização, a junção casaria zero registros e a feature entraria silenciosamente como valor ausente — um erro que não quebra o código e não aparece em nenhum teste superficial. Há normalização explícita e teste de regressão para isso.</w:t>
      </w:r>
    </w:p>
    <w:p>
      <w:pPr>
        <w:pStyle w:val="Heading2"/>
      </w:pPr>
      <w:r>
        <w:t>3.2 IA no desenvolvimento: Claude Code</w:t>
      </w:r>
    </w:p>
    <w:p>
      <w:pPr>
        <w:spacing w:after="120" w:before="0"/>
      </w:pPr>
      <w:r>
        <w:rPr>
          <w:b w:val="0"/>
          <w:i w:val="0"/>
          <w:color w:val="0B0B0B"/>
          <w:sz w:val="21"/>
        </w:rPr>
        <w:t>Todo o desenvolvimento do VolBoy foi conduzido em par com o Claude Code, da Anthropic: desenho de arquitetura, implementação, revisão crítica de metodologia e redação técnica. O edital explicita que o modelo quantitativo não precisa incorporar IA diretamente — o uso de IA generativa no processo de construção atende ao critério.</w:t>
      </w:r>
    </w:p>
    <w:p>
      <w:pPr>
        <w:spacing w:after="120" w:before="0"/>
      </w:pPr>
      <w:r>
        <w:rPr>
          <w:b w:val="0"/>
          <w:i w:val="0"/>
          <w:color w:val="0B0B0B"/>
          <w:sz w:val="21"/>
        </w:rPr>
        <w:t>Vale um registro específico sobre o valor prático desse uso: os dois erros metodológicos descritos na Seção 5.4 — a instabilidade do R² por fold e o desalinhamento da fonte de preço — foram identificados durante revisões críticas conduzidas nesse processo, não em testes planejados. Ambos passariam despercebidos numa leitura convencional de código, porque nenhum deles causa erro de execução: produzem números plausíveis e silenciosamente errados.</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1F5CA8"/>
                <w:sz w:val="20"/>
              </w:rPr>
              <w:t xml:space="preserve">Nota sobre honestidade metodológica.  </w:t>
            </w:r>
            <w:r>
              <w:rPr>
                <w:sz w:val="19"/>
              </w:rPr>
              <w:t>Optamos por relatar os erros que cometemos e como foram descobertos, em vez de apresentar apenas o pipeline final corrigido. Um relatório que só mostra o caminho certo esconde justamente a parte do trabalho que dá confiança no resultado.</w:t>
            </w:r>
          </w:p>
        </w:tc>
      </w:tr>
    </w:tbl>
    <w:p>
      <w:pPr>
        <w:spacing w:after="120"/>
      </w:pPr>
    </w:p>
    <w:p>
      <w:r>
        <w:br w:type="page"/>
      </w:r>
    </w:p>
    <w:p>
      <w:pPr>
        <w:pStyle w:val="Heading1"/>
      </w:pPr>
      <w:r>
        <w:t>4. Metodologia de avaliação e mitigação de vieses</w:t>
      </w:r>
    </w:p>
    <w:p>
      <w:pPr>
        <w:spacing w:after="120" w:before="0"/>
      </w:pPr>
      <w:r>
        <w:rPr>
          <w:b w:val="0"/>
          <w:i w:val="0"/>
          <w:color w:val="0B0B0B"/>
          <w:sz w:val="21"/>
        </w:rPr>
        <w:t>Esta seção descreve como o VolBoy é avaliado. Ela recebe atenção desproporcional neste relatório por uma razão de princípio: em estratégias quantitativas, quase todo resultado espetacular é um artefato de avaliação mal construída. Preferimos gastar esforço garantindo que um resultado ruim seja verdadeiro a produzir um bom que não seja.</w:t>
      </w:r>
    </w:p>
    <w:p>
      <w:pPr>
        <w:pStyle w:val="Heading2"/>
      </w:pPr>
      <w:r>
        <w:t>4.1 Walk-forward purgado com embargo</w:t>
      </w:r>
    </w:p>
    <w:p>
      <w:pPr>
        <w:spacing w:after="120" w:before="0"/>
      </w:pPr>
      <w:r>
        <w:rPr>
          <w:b w:val="0"/>
          <w:i w:val="0"/>
          <w:color w:val="0B0B0B"/>
          <w:sz w:val="21"/>
        </w:rPr>
        <w:t>A regra mais básica é nunca usar divisão aleatória entre treino e teste em série temporal — isso permitiria treinar com dados posteriores aos de teste. Mas há um vazamento mais sutil, que exige tratamento adicional: a sobreposição de rótulos.</w:t>
      </w:r>
    </w:p>
    <w:p>
      <w:pPr>
        <w:spacing w:after="120" w:before="0"/>
      </w:pPr>
      <w:r>
        <w:rPr>
          <w:b w:val="0"/>
          <w:i w:val="0"/>
          <w:color w:val="0B0B0B"/>
          <w:sz w:val="21"/>
        </w:rPr>
        <w:t>O alvo de cada observação é a volatilidade realizada nos h dias seguintes. Isso significa que o rótulo da observação em t “enxerga” preços até t+h. Se uma observação de treino estiver próxima do início do período de teste, seu rótulo se sobrepõe parcialmente a esse período — e o modelo aprende, indiretamente, com informação que não estaria disponível.</w:t>
      </w:r>
    </w:p>
    <w:p>
      <w:pPr>
        <w:pStyle w:val="ListBullet"/>
        <w:spacing w:after="60"/>
      </w:pPr>
      <w:r>
        <w:rPr>
          <w:b/>
          <w:sz w:val="21"/>
        </w:rPr>
        <w:t xml:space="preserve">Purga. </w:t>
      </w:r>
      <w:r>
        <w:rPr>
          <w:sz w:val="21"/>
        </w:rPr>
        <w:t>Remove do treino toda observação cujo rótulo se sobreponha ao período de teste.</w:t>
      </w:r>
    </w:p>
    <w:p>
      <w:pPr>
        <w:pStyle w:val="ListBullet"/>
        <w:spacing w:after="60"/>
      </w:pPr>
      <w:r>
        <w:rPr>
          <w:b/>
          <w:sz w:val="21"/>
        </w:rPr>
        <w:t xml:space="preserve">Embargo. </w:t>
      </w:r>
      <w:r>
        <w:rPr>
          <w:sz w:val="21"/>
        </w:rPr>
        <w:t>Exclui uma janela adicional após o teste, protegendo contra autocorrelação residual — a informação de um dia de teste ainda se reflete nos dias imediatamente seguintes.</w:t>
      </w:r>
    </w:p>
    <w:p>
      <w:pPr>
        <w:jc w:val="center"/>
      </w:pPr>
      <w:r>
        <w:drawing>
          <wp:inline xmlns:a="http://schemas.openxmlformats.org/drawingml/2006/main" xmlns:pic="http://schemas.openxmlformats.org/drawingml/2006/picture">
            <wp:extent cx="5760720" cy="3037471"/>
            <wp:docPr id="3" name="Picture 3"/>
            <wp:cNvGraphicFramePr>
              <a:graphicFrameLocks noChangeAspect="1"/>
            </wp:cNvGraphicFramePr>
            <a:graphic>
              <a:graphicData uri="http://schemas.openxmlformats.org/drawingml/2006/picture">
                <pic:pic>
                  <pic:nvPicPr>
                    <pic:cNvPr id="0" name="diagrama_walk_forward.png"/>
                    <pic:cNvPicPr/>
                  </pic:nvPicPr>
                  <pic:blipFill>
                    <a:blip r:embed="rId11"/>
                    <a:stretch>
                      <a:fillRect/>
                    </a:stretch>
                  </pic:blipFill>
                  <pic:spPr>
                    <a:xfrm>
                      <a:off x="0" y="0"/>
                      <a:ext cx="5760720" cy="3037471"/>
                    </a:xfrm>
                    <a:prstGeom prst="rect"/>
                  </pic:spPr>
                </pic:pic>
              </a:graphicData>
            </a:graphic>
          </wp:inline>
        </w:drawing>
      </w:r>
    </w:p>
    <w:p>
      <w:pPr>
        <w:spacing w:after="240" w:before="0"/>
        <w:jc w:val="center"/>
      </w:pPr>
      <w:r>
        <w:rPr>
          <w:b w:val="0"/>
          <w:i/>
          <w:color w:val="6B6A66"/>
          <w:sz w:val="17"/>
        </w:rPr>
        <w:t>Figura 2 — Esquema de 5 folds com treino expansivo, purga e embargo. O treino usa apenas dados anteriores ao teste, com uma faixa descartada entre eles.</w:t>
      </w:r>
    </w:p>
    <w:p>
      <w:pPr>
        <w:pStyle w:val="Heading2"/>
      </w:pPr>
      <w:r>
        <w:t>4.2 As métricas, e por que cada uma foi escolhida</w:t>
      </w:r>
    </w:p>
    <w:p>
      <w:pPr>
        <w:pStyle w:val="Heading3"/>
      </w:pPr>
      <w:r>
        <w:t>Métricas de erro de previsão</w:t>
      </w:r>
    </w:p>
    <w:tbl>
      <w:tblPr>
        <w:tblStyle w:val="TableGrid"/>
        <w:tblW w:type="auto" w:w="0"/>
        <w:jc w:val="center"/>
        <w:tblLook w:firstColumn="1" w:firstRow="1" w:lastColumn="0" w:lastRow="0" w:noHBand="0" w:noVBand="1" w:val="04A0"/>
      </w:tblPr>
      <w:tblGrid>
        <w:gridCol w:w="3211"/>
        <w:gridCol w:w="3211"/>
        <w:gridCol w:w="3211"/>
      </w:tblGrid>
      <w:tr>
        <w:tc>
          <w:tcPr>
            <w:tcW w:type="dxa" w:w="1584"/>
            <w:shd w:val="clear" w:fill="2A2A28"/>
          </w:tcPr>
          <w:p>
            <w:r/>
            <w:r>
              <w:rPr>
                <w:b/>
                <w:color w:val="FFFFFF"/>
                <w:sz w:val="18"/>
              </w:rPr>
              <w:t>Métrica</w:t>
            </w:r>
          </w:p>
        </w:tc>
        <w:tc>
          <w:tcPr>
            <w:tcW w:type="dxa" w:w="3312"/>
            <w:shd w:val="clear" w:fill="2A2A28"/>
          </w:tcPr>
          <w:p>
            <w:r/>
            <w:r>
              <w:rPr>
                <w:b/>
                <w:color w:val="FFFFFF"/>
                <w:sz w:val="18"/>
              </w:rPr>
              <w:t>Fórmula</w:t>
            </w:r>
          </w:p>
        </w:tc>
        <w:tc>
          <w:tcPr>
            <w:tcW w:type="dxa" w:w="4464"/>
            <w:shd w:val="clear" w:fill="2A2A28"/>
          </w:tcPr>
          <w:p>
            <w:r/>
            <w:r>
              <w:rPr>
                <w:b/>
                <w:color w:val="FFFFFF"/>
                <w:sz w:val="18"/>
              </w:rPr>
              <w:t>Por que usamos</w:t>
            </w:r>
          </w:p>
        </w:tc>
      </w:tr>
      <w:tr>
        <w:tc>
          <w:tcPr>
            <w:tcW w:type="dxa" w:w="1584"/>
          </w:tcPr>
          <w:p>
            <w:r/>
            <w:r>
              <w:rPr>
                <w:sz w:val="18"/>
              </w:rPr>
              <w:t>RMSE</w:t>
            </w:r>
          </w:p>
        </w:tc>
        <w:tc>
          <w:tcPr>
            <w:tcW w:type="dxa" w:w="3312"/>
          </w:tcPr>
          <w:p>
            <w:r/>
            <w:r>
              <w:rPr>
                <w:sz w:val="18"/>
              </w:rPr>
              <w:t>√( média( (real − previsto)² ) )</w:t>
            </w:r>
          </w:p>
        </w:tc>
        <w:tc>
          <w:tcPr>
            <w:tcW w:type="dxa" w:w="4464"/>
          </w:tcPr>
          <w:p>
            <w:r/>
            <w:r>
              <w:rPr>
                <w:sz w:val="18"/>
              </w:rPr>
              <w:t>Penaliza erros grandes desproporcionalmente; mesma unidade da RV</w:t>
            </w:r>
          </w:p>
        </w:tc>
      </w:tr>
      <w:tr>
        <w:tc>
          <w:tcPr>
            <w:tcW w:type="dxa" w:w="1584"/>
          </w:tcPr>
          <w:p>
            <w:r/>
            <w:r>
              <w:rPr>
                <w:sz w:val="18"/>
              </w:rPr>
              <w:t>MAE</w:t>
            </w:r>
          </w:p>
        </w:tc>
        <w:tc>
          <w:tcPr>
            <w:tcW w:type="dxa" w:w="3312"/>
          </w:tcPr>
          <w:p>
            <w:r/>
            <w:r>
              <w:rPr>
                <w:sz w:val="18"/>
              </w:rPr>
              <w:t>média( |real − previsto| )</w:t>
            </w:r>
          </w:p>
        </w:tc>
        <w:tc>
          <w:tcPr>
            <w:tcW w:type="dxa" w:w="4464"/>
          </w:tcPr>
          <w:p>
            <w:r/>
            <w:r>
              <w:rPr>
                <w:sz w:val="18"/>
              </w:rPr>
              <w:t>Robusta a valores extremos; comparada ao RMSE, revela se há poucos erros muito grandes</w:t>
            </w:r>
          </w:p>
        </w:tc>
      </w:tr>
      <w:tr>
        <w:tc>
          <w:tcPr>
            <w:tcW w:type="dxa" w:w="1584"/>
          </w:tcPr>
          <w:p>
            <w:r/>
            <w:r>
              <w:rPr>
                <w:sz w:val="18"/>
              </w:rPr>
              <w:t>R² fora da amostra</w:t>
            </w:r>
          </w:p>
        </w:tc>
        <w:tc>
          <w:tcPr>
            <w:tcW w:type="dxa" w:w="3312"/>
          </w:tcPr>
          <w:p>
            <w:r/>
            <w:r>
              <w:rPr>
                <w:sz w:val="18"/>
              </w:rPr>
              <w:t>1 − SS_res / SS_tot</w:t>
            </w:r>
          </w:p>
        </w:tc>
        <w:tc>
          <w:tcPr>
            <w:tcW w:type="dxa" w:w="4464"/>
          </w:tcPr>
          <w:p>
            <w:r/>
            <w:r>
              <w:rPr>
                <w:sz w:val="18"/>
              </w:rPr>
              <w:t>Métrica principal: compara o modelo contra prever simplesmente a média</w:t>
            </w:r>
          </w:p>
        </w:tc>
      </w:tr>
    </w:tbl>
    <w:p>
      <w:pPr>
        <w:spacing w:after="80"/>
      </w:pPr>
    </w:p>
    <w:p>
      <w:pPr>
        <w:spacing w:after="40" w:before="0"/>
      </w:pPr>
      <w:r>
        <w:rPr>
          <w:b w:val="0"/>
          <w:i w:val="0"/>
          <w:color w:val="0B0B0B"/>
          <w:sz w:val="21"/>
        </w:rPr>
        <w:t xml:space="preserve">A interpretação do R² merece precisão, porque ela sustenta toda a análise deste relatório: R² = 1 é previsão perfeita; R² = 0 significa que o modelo erra tanto quanto usar a média histórica como previsão; e </w:t>
      </w:r>
    </w:p>
    <w:p>
      <w:pPr>
        <w:spacing w:after="120"/>
      </w:pPr>
      <w:r>
        <w:rPr>
          <w:b/>
          <w:i w:val="0"/>
          <w:color w:val="0B0B0B"/>
          <w:sz w:val="21"/>
        </w:rPr>
        <w:t>R² &lt; 0 significa que o modelo erra MAIS do que a média — ou seja, ativamente atrapalha.</w:t>
      </w:r>
    </w:p>
    <w:p>
      <w:pPr>
        <w:pStyle w:val="Heading3"/>
      </w:pPr>
      <w:r>
        <w:t>A correção que fizemos: R² agregado em vez de médio por fold</w:t>
      </w:r>
    </w:p>
    <w:p>
      <w:pPr>
        <w:spacing w:after="120" w:before="0"/>
      </w:pPr>
      <w:r>
        <w:rPr>
          <w:b w:val="0"/>
          <w:i w:val="0"/>
          <w:color w:val="0B0B0B"/>
          <w:sz w:val="21"/>
        </w:rPr>
        <w:t>A primeira implementação calculava o R² separadamente em cada fold e tirava a média. Isso contém um defeito que só aparece com folds pequenos: o R² de cada fold usa a média daquele fold como referência. Em janelas curtas, essa média é instável, o denominador fica minúsculo e um erro absoluto pequeno pode gerar um R² individual extremamente negativo. A média desses valores instáveis passa a ser dominada pelos piores folds.</w:t>
      </w:r>
    </w:p>
    <w:p>
      <w:pPr>
        <w:spacing w:after="120" w:before="0"/>
      </w:pPr>
      <w:r>
        <w:rPr>
          <w:b w:val="0"/>
          <w:i w:val="0"/>
          <w:color w:val="0B0B0B"/>
          <w:sz w:val="21"/>
        </w:rPr>
        <w:t>A correção é concatenar as previsões de todos os folds antes de calcular — usando a média de todo o período fora da amostra como referência única. É o padrão em avaliação de aprendizado de máquina aplicado a finanças (Gu, Kelly e Xiu, 2020).</w:t>
      </w:r>
    </w:p>
    <w:tbl>
      <w:tblPr>
        <w:tblStyle w:val="TableGrid"/>
        <w:tblW w:type="auto" w:w="0"/>
        <w:jc w:val="center"/>
        <w:tblLook w:firstColumn="1" w:firstRow="1" w:lastColumn="0" w:lastRow="0" w:noHBand="0" w:noVBand="1" w:val="04A0"/>
      </w:tblPr>
      <w:tblGrid>
        <w:gridCol w:w="3211"/>
        <w:gridCol w:w="3211"/>
        <w:gridCol w:w="3211"/>
      </w:tblGrid>
      <w:tr>
        <w:tc>
          <w:tcPr>
            <w:tcW w:type="dxa" w:w="4608"/>
            <w:shd w:val="clear" w:fill="2A2A28"/>
          </w:tcPr>
          <w:p>
            <w:r/>
            <w:r>
              <w:rPr>
                <w:b/>
                <w:color w:val="FFFFFF"/>
                <w:sz w:val="18"/>
              </w:rPr>
              <w:t>Baseline oficial (mesmo modelo, mesmos dados)</w:t>
            </w:r>
          </w:p>
        </w:tc>
        <w:tc>
          <w:tcPr>
            <w:tcW w:type="dxa" w:w="2304"/>
            <w:shd w:val="clear" w:fill="2A2A28"/>
          </w:tcPr>
          <w:p>
            <w:r/>
            <w:r>
              <w:rPr>
                <w:b/>
                <w:color w:val="FFFFFF"/>
                <w:sz w:val="18"/>
              </w:rPr>
              <w:t>R² médio por fold</w:t>
            </w:r>
          </w:p>
        </w:tc>
        <w:tc>
          <w:tcPr>
            <w:tcW w:type="dxa" w:w="2448"/>
            <w:shd w:val="clear" w:fill="2A2A28"/>
          </w:tcPr>
          <w:p>
            <w:r/>
            <w:r>
              <w:rPr>
                <w:b/>
                <w:color w:val="FFFFFF"/>
                <w:sz w:val="18"/>
              </w:rPr>
              <w:t>R² agregado (correto)</w:t>
            </w:r>
          </w:p>
        </w:tc>
      </w:tr>
      <w:tr>
        <w:tc>
          <w:tcPr>
            <w:tcW w:type="dxa" w:w="4608"/>
          </w:tcPr>
          <w:p>
            <w:r/>
            <w:r>
              <w:rPr>
                <w:sz w:val="18"/>
              </w:rPr>
              <w:t>HAR-RV com Parkinson, 5 folds</w:t>
            </w:r>
          </w:p>
        </w:tc>
        <w:tc>
          <w:tcPr>
            <w:tcW w:type="dxa" w:w="2304"/>
          </w:tcPr>
          <w:p>
            <w:r/>
            <w:r>
              <w:rPr>
                <w:sz w:val="18"/>
              </w:rPr>
              <w:t>−1,307</w:t>
            </w:r>
          </w:p>
        </w:tc>
        <w:tc>
          <w:tcPr>
            <w:tcW w:type="dxa" w:w="2448"/>
          </w:tcPr>
          <w:p>
            <w:r/>
            <w:r>
              <w:rPr>
                <w:sz w:val="18"/>
              </w:rPr>
              <w:t>−0,510</w:t>
            </w:r>
          </w:p>
        </w:tc>
      </w:tr>
    </w:tbl>
    <w:p>
      <w:pPr>
        <w:spacing w:after="80"/>
      </w:pP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1F5CA8"/>
                <w:sz w:val="20"/>
              </w:rPr>
              <w:t xml:space="preserve">Leitura correta deste caso.  </w:t>
            </w:r>
            <w:r>
              <w:rPr>
                <w:sz w:val="19"/>
              </w:rPr>
              <w:t>O modelo não melhorou — a régua estava errada. A métrica anterior exagerava a gravidade do problema. Registramos isso porque a diferença entre “o modelo é ruim” e “nossa medição do modelo era ruim” é exatamente o tipo de distinção que separa uma avaliação confiável de uma enganosa.</w:t>
            </w:r>
          </w:p>
        </w:tc>
      </w:tr>
    </w:tbl>
    <w:p>
      <w:pPr>
        <w:spacing w:after="120"/>
      </w:pPr>
    </w:p>
    <w:p>
      <w:pPr>
        <w:pStyle w:val="Heading3"/>
      </w:pPr>
      <w:r>
        <w:t>Acurácia direcional</w:t>
      </w:r>
    </w:p>
    <w:p>
      <w:pPr>
        <w:spacing w:after="120" w:before="0"/>
      </w:pPr>
      <w:r>
        <w:rPr>
          <w:b w:val="0"/>
          <w:i w:val="0"/>
          <w:color w:val="0B0B0B"/>
          <w:sz w:val="21"/>
        </w:rPr>
        <w:t>R² e RMSE punem erro de magnitude mesmo quando a decisão de compra ou venda estaria correta. A acurácia direcional mede algo mais próximo do que a estratégia precisa acertar: de que lado de uma referência o valor real caiu. Acompanha um teste binomial contra a hipótese de 50% — acurácia isolada não distingue habilidade de sorte.</w:t>
      </w:r>
    </w:p>
    <w:p>
      <w:pPr>
        <w:pStyle w:val="Heading3"/>
      </w:pPr>
      <w:r>
        <w:t>Métricas do backtest de P&amp;L</w:t>
      </w:r>
    </w:p>
    <w:tbl>
      <w:tblPr>
        <w:tblStyle w:val="TableGrid"/>
        <w:tblW w:type="auto" w:w="0"/>
        <w:jc w:val="center"/>
        <w:tblLook w:firstColumn="1" w:firstRow="1" w:lastColumn="0" w:lastRow="0" w:noHBand="0" w:noVBand="1" w:val="04A0"/>
      </w:tblPr>
      <w:tblGrid>
        <w:gridCol w:w="3211"/>
        <w:gridCol w:w="3211"/>
        <w:gridCol w:w="3211"/>
      </w:tblGrid>
      <w:tr>
        <w:tc>
          <w:tcPr>
            <w:tcW w:type="dxa" w:w="1728"/>
            <w:shd w:val="clear" w:fill="2A2A28"/>
          </w:tcPr>
          <w:p>
            <w:r/>
            <w:r>
              <w:rPr>
                <w:b/>
                <w:color w:val="FFFFFF"/>
                <w:sz w:val="18"/>
              </w:rPr>
              <w:t>Métrica</w:t>
            </w:r>
          </w:p>
        </w:tc>
        <w:tc>
          <w:tcPr>
            <w:tcW w:type="dxa" w:w="3312"/>
            <w:shd w:val="clear" w:fill="2A2A28"/>
          </w:tcPr>
          <w:p>
            <w:r/>
            <w:r>
              <w:rPr>
                <w:b/>
                <w:color w:val="FFFFFF"/>
                <w:sz w:val="18"/>
              </w:rPr>
              <w:t>O que mede</w:t>
            </w:r>
          </w:p>
        </w:tc>
        <w:tc>
          <w:tcPr>
            <w:tcW w:type="dxa" w:w="4320"/>
            <w:shd w:val="clear" w:fill="2A2A28"/>
          </w:tcPr>
          <w:p>
            <w:r/>
            <w:r>
              <w:rPr>
                <w:b/>
                <w:color w:val="FFFFFF"/>
                <w:sz w:val="18"/>
              </w:rPr>
              <w:t>Cuidado na leitura</w:t>
            </w:r>
          </w:p>
        </w:tc>
      </w:tr>
      <w:tr>
        <w:tc>
          <w:tcPr>
            <w:tcW w:type="dxa" w:w="1728"/>
          </w:tcPr>
          <w:p>
            <w:r/>
            <w:r>
              <w:rPr>
                <w:sz w:val="18"/>
              </w:rPr>
              <w:t>Taxa de acerto</w:t>
            </w:r>
          </w:p>
        </w:tc>
        <w:tc>
          <w:tcPr>
            <w:tcW w:type="dxa" w:w="3312"/>
          </w:tcPr>
          <w:p>
            <w:r/>
            <w:r>
              <w:rPr>
                <w:sz w:val="18"/>
              </w:rPr>
              <w:t>Fração de operações com resultado positivo</w:t>
            </w:r>
          </w:p>
        </w:tc>
        <w:tc>
          <w:tcPr>
            <w:tcW w:type="dxa" w:w="4320"/>
          </w:tcPr>
          <w:p>
            <w:r/>
            <w:r>
              <w:rPr>
                <w:sz w:val="18"/>
              </w:rPr>
              <w:t>Só considera os dias em que houve operação — subconjunto pequeno e não aleatório</w:t>
            </w:r>
          </w:p>
        </w:tc>
      </w:tr>
      <w:tr>
        <w:tc>
          <w:tcPr>
            <w:tcW w:type="dxa" w:w="1728"/>
          </w:tcPr>
          <w:p>
            <w:r/>
            <w:r>
              <w:rPr>
                <w:sz w:val="18"/>
              </w:rPr>
              <w:t>Sharpe anualizado</w:t>
            </w:r>
          </w:p>
        </w:tc>
        <w:tc>
          <w:tcPr>
            <w:tcW w:type="dxa" w:w="3312"/>
          </w:tcPr>
          <w:p>
            <w:r/>
            <w:r>
              <w:rPr>
                <w:sz w:val="18"/>
              </w:rPr>
              <w:t>Retorno por unidade de risco</w:t>
            </w:r>
          </w:p>
        </w:tc>
        <w:tc>
          <w:tcPr>
            <w:tcW w:type="dxa" w:w="4320"/>
          </w:tcPr>
          <w:p>
            <w:r/>
            <w:r>
              <w:rPr>
                <w:sz w:val="18"/>
              </w:rPr>
              <w:t>Amostra pequena o torna ruidoso; não corrige seleção de configuração</w:t>
            </w:r>
          </w:p>
        </w:tc>
      </w:tr>
      <w:tr>
        <w:tc>
          <w:tcPr>
            <w:tcW w:type="dxa" w:w="1728"/>
          </w:tcPr>
          <w:p>
            <w:r/>
            <w:r>
              <w:rPr>
                <w:sz w:val="18"/>
              </w:rPr>
              <w:t>PSR</w:t>
            </w:r>
          </w:p>
        </w:tc>
        <w:tc>
          <w:tcPr>
            <w:tcW w:type="dxa" w:w="3312"/>
          </w:tcPr>
          <w:p>
            <w:r/>
            <w:r>
              <w:rPr>
                <w:sz w:val="18"/>
              </w:rPr>
              <w:t>Probabilidade de o Sharpe verdadeiro superar um benchmark</w:t>
            </w:r>
          </w:p>
        </w:tc>
        <w:tc>
          <w:tcPr>
            <w:tcW w:type="dxa" w:w="4320"/>
          </w:tcPr>
          <w:p>
            <w:r/>
            <w:r>
              <w:rPr>
                <w:sz w:val="18"/>
              </w:rPr>
              <w:t>Ajusta para não-normalidade dos retornos (opções têm assimetria e curtose)</w:t>
            </w:r>
          </w:p>
        </w:tc>
      </w:tr>
      <w:tr>
        <w:tc>
          <w:tcPr>
            <w:tcW w:type="dxa" w:w="1728"/>
          </w:tcPr>
          <w:p>
            <w:r/>
            <w:r>
              <w:rPr>
                <w:sz w:val="18"/>
              </w:rPr>
              <w:t>DSR</w:t>
            </w:r>
          </w:p>
        </w:tc>
        <w:tc>
          <w:tcPr>
            <w:tcW w:type="dxa" w:w="3312"/>
          </w:tcPr>
          <w:p>
            <w:r/>
            <w:r>
              <w:rPr>
                <w:sz w:val="18"/>
              </w:rPr>
              <w:t>Sharpe ajustado pelo nº de configurações testadas</w:t>
            </w:r>
          </w:p>
        </w:tc>
        <w:tc>
          <w:tcPr>
            <w:tcW w:type="dxa" w:w="4320"/>
          </w:tcPr>
          <w:p>
            <w:r/>
            <w:r>
              <w:rPr>
                <w:sz w:val="18"/>
              </w:rPr>
              <w:t>A métrica honesta quando várias variantes foram avaliadas</w:t>
            </w:r>
          </w:p>
        </w:tc>
      </w:tr>
    </w:tbl>
    <w:p>
      <w:pPr>
        <w:spacing w:after="80"/>
      </w:pPr>
    </w:p>
    <w:p>
      <w:pPr>
        <w:pStyle w:val="Heading2"/>
      </w:pPr>
      <w:r>
        <w:t>4.3 Custos de transação</w:t>
      </w:r>
    </w:p>
    <w:p>
      <w:pPr>
        <w:spacing w:before="160" w:after="80"/>
        <w:jc w:val="center"/>
      </w:pPr>
      <w:r>
        <w:rPr>
          <w:rFonts w:ascii="Cambria Math" w:hAnsi="Cambria Math"/>
          <w:i/>
          <w:sz w:val="24"/>
        </w:rPr>
        <w:t>custo = |n_contratos| × prêmio × spread_pct</w:t>
      </w:r>
    </w:p>
    <w:p>
      <w:pPr>
        <w:spacing w:after="200" w:before="0"/>
        <w:jc w:val="center"/>
      </w:pPr>
      <w:r>
        <w:rPr>
          <w:b w:val="0"/>
          <w:i w:val="0"/>
          <w:color w:val="6B6A66"/>
          <w:sz w:val="18"/>
        </w:rPr>
        <w:t>Cobrado na abertura E no encerramento da posição. Parâmetro padrão: 5% do prêmio.</w:t>
      </w:r>
    </w:p>
    <w:p>
      <w:pPr>
        <w:spacing w:after="120" w:before="0"/>
      </w:pPr>
      <w:r>
        <w:rPr>
          <w:b w:val="0"/>
          <w:i w:val="0"/>
          <w:color w:val="0B0B0B"/>
          <w:sz w:val="21"/>
        </w:rPr>
        <w:t>Sem acesso ao livro de ofertas, o custo é aproximado como fração do prêmio. Escolhemos um valor deliberadamente conservador. Um achado da Seção 7 sugere, porém, que mesmo 5% pode ser otimista para este mercado.</w:t>
      </w:r>
    </w:p>
    <w:p>
      <w:pPr>
        <w:pStyle w:val="Heading2"/>
      </w:pPr>
      <w:r>
        <w:t>4.4 Controle de overfitting</w:t>
      </w:r>
    </w:p>
    <w:p>
      <w:pPr>
        <w:spacing w:after="120" w:before="0"/>
      </w:pPr>
      <w:r>
        <w:rPr>
          <w:b w:val="0"/>
          <w:i w:val="0"/>
          <w:color w:val="0B0B0B"/>
          <w:sz w:val="21"/>
        </w:rPr>
        <w:t>Testar muitas configurações e reportar a melhor superestima sistematicamente o desempenho esperado — o número reportado passa a ser a estatística de máximo de um conjunto de tentativas, não uma medida de habilidade. O Deflated Sharpe Ratio corrige isso comparando o Sharpe observado contra o máximo esperado por puro acaso, dado o número de tentativas:</w:t>
      </w:r>
    </w:p>
    <w:p>
      <w:pPr>
        <w:spacing w:before="160" w:after="80"/>
        <w:jc w:val="center"/>
      </w:pPr>
      <w:r>
        <w:rPr>
          <w:rFonts w:ascii="Cambria Math" w:hAnsi="Cambria Math"/>
          <w:i/>
          <w:sz w:val="24"/>
        </w:rPr>
        <w:t>SR_max_esperado(N) = σ_SR · [ (1−γ)·Φ⁻¹(1 − 1/N) + γ·Φ⁻¹(1 − 1/(N·e)) ]</w:t>
      </w:r>
    </w:p>
    <w:p>
      <w:pPr>
        <w:spacing w:after="200" w:before="0"/>
        <w:jc w:val="center"/>
      </w:pPr>
      <w:r>
        <w:rPr>
          <w:b w:val="0"/>
          <w:i w:val="0"/>
          <w:color w:val="6B6A66"/>
          <w:sz w:val="18"/>
        </w:rPr>
        <w:t>γ é a constante de Euler-Mascheroni; σ_SR é a dispersão dos Sharpes entre as N configurações testadas.</w:t>
      </w:r>
    </w:p>
    <w:p>
      <w:pPr>
        <w:spacing w:after="120" w:before="0"/>
      </w:pPr>
      <w:r>
        <w:rPr>
          <w:b w:val="0"/>
          <w:i w:val="0"/>
          <w:color w:val="0B0B0B"/>
          <w:sz w:val="21"/>
        </w:rPr>
        <w:t>Complementarmente — e talvez mais importante que a fórmula — o projeto mantém um registro vivo de todas as configurações já avaliadas, incluindo as que falharam. São 22 entradas ao final deste ciclo. Esse registro é auditável e está reproduzido na Seção 5.1. Sem ele, o denominador N do DSR seria uma escolha arbitrária de quem reporta.</w:t>
      </w:r>
    </w:p>
    <w:p>
      <w:r>
        <w:br w:type="page"/>
      </w:r>
    </w:p>
    <w:p>
      <w:pPr>
        <w:pStyle w:val="Heading1"/>
      </w:pPr>
      <w:r>
        <w:t>5. A trajetória: o que testamos e por quê</w:t>
      </w:r>
    </w:p>
    <w:p>
      <w:pPr>
        <w:spacing w:after="120" w:before="0"/>
      </w:pPr>
      <w:r>
        <w:rPr>
          <w:b w:val="0"/>
          <w:i w:val="0"/>
          <w:color w:val="0B0B0B"/>
          <w:sz w:val="21"/>
        </w:rPr>
        <w:t>Esta seção percorre o desenvolvimento em ordem cronológica. O objetivo não é documentar apenas o resultado final, mas o raciocínio — incluindo os caminhos que não deram certo, que são a maioria.</w:t>
      </w:r>
    </w:p>
    <w:p>
      <w:pPr>
        <w:pStyle w:val="Heading2"/>
      </w:pPr>
      <w:r>
        <w:t>5.1 Registro das configurações avaliadas</w:t>
      </w:r>
    </w:p>
    <w:tbl>
      <w:tblPr>
        <w:tblStyle w:val="TableGrid"/>
        <w:tblW w:type="auto" w:w="0"/>
        <w:jc w:val="center"/>
        <w:tblLook w:firstColumn="1" w:firstRow="1" w:lastColumn="0" w:lastRow="0" w:noHBand="0" w:noVBand="1" w:val="04A0"/>
      </w:tblPr>
      <w:tblGrid>
        <w:gridCol w:w="3211"/>
        <w:gridCol w:w="3211"/>
        <w:gridCol w:w="3211"/>
      </w:tblGrid>
      <w:tr>
        <w:tc>
          <w:tcPr>
            <w:tcW w:type="dxa" w:w="504"/>
            <w:shd w:val="clear" w:fill="2A2A28"/>
          </w:tcPr>
          <w:p>
            <w:r/>
            <w:r>
              <w:rPr>
                <w:b/>
                <w:color w:val="FFFFFF"/>
                <w:sz w:val="17"/>
              </w:rPr>
              <w:t>#</w:t>
            </w:r>
          </w:p>
        </w:tc>
        <w:tc>
          <w:tcPr>
            <w:tcW w:type="dxa" w:w="4608"/>
            <w:shd w:val="clear" w:fill="2A2A28"/>
          </w:tcPr>
          <w:p>
            <w:r/>
            <w:r>
              <w:rPr>
                <w:b/>
                <w:color w:val="FFFFFF"/>
                <w:sz w:val="17"/>
              </w:rPr>
              <w:t>Configuração</w:t>
            </w:r>
          </w:p>
        </w:tc>
        <w:tc>
          <w:tcPr>
            <w:tcW w:type="dxa" w:w="4104"/>
            <w:shd w:val="clear" w:fill="2A2A28"/>
          </w:tcPr>
          <w:p>
            <w:r/>
            <w:r>
              <w:rPr>
                <w:b/>
                <w:color w:val="FFFFFF"/>
                <w:sz w:val="17"/>
              </w:rPr>
              <w:t>Resultado</w:t>
            </w:r>
          </w:p>
        </w:tc>
      </w:tr>
      <w:tr>
        <w:tc>
          <w:tcPr>
            <w:tcW w:type="dxa" w:w="504"/>
          </w:tcPr>
          <w:p>
            <w:r/>
            <w:r>
              <w:rPr>
                <w:sz w:val="17"/>
              </w:rPr>
              <w:t>1</w:t>
            </w:r>
          </w:p>
        </w:tc>
        <w:tc>
          <w:tcPr>
            <w:tcW w:type="dxa" w:w="4608"/>
          </w:tcPr>
          <w:p>
            <w:r/>
            <w:r>
              <w:rPr>
                <w:sz w:val="17"/>
              </w:rPr>
              <w:t>Split único 80/20, notícia bruta, RV em nível</w:t>
            </w:r>
          </w:p>
        </w:tc>
        <w:tc>
          <w:tcPr>
            <w:tcW w:type="dxa" w:w="4104"/>
          </w:tcPr>
          <w:p>
            <w:r/>
            <w:r>
              <w:rPr>
                <w:sz w:val="17"/>
              </w:rPr>
              <w:t>Preliminar; sem rigor de série temporal</w:t>
            </w:r>
          </w:p>
        </w:tc>
      </w:tr>
      <w:tr>
        <w:tc>
          <w:tcPr>
            <w:tcW w:type="dxa" w:w="504"/>
          </w:tcPr>
          <w:p>
            <w:r/>
            <w:r>
              <w:rPr>
                <w:sz w:val="17"/>
              </w:rPr>
              <w:t>2</w:t>
            </w:r>
          </w:p>
        </w:tc>
        <w:tc>
          <w:tcPr>
            <w:tcW w:type="dxa" w:w="4608"/>
          </w:tcPr>
          <w:p>
            <w:r/>
            <w:r>
              <w:rPr>
                <w:sz w:val="17"/>
              </w:rPr>
              <w:t>CV expansiva 5 folds, notícia suavizada, log-RV</w:t>
            </w:r>
          </w:p>
        </w:tc>
        <w:tc>
          <w:tcPr>
            <w:tcW w:type="dxa" w:w="4104"/>
          </w:tcPr>
          <w:p>
            <w:r/>
            <w:r>
              <w:rPr>
                <w:sz w:val="17"/>
              </w:rPr>
              <w:t>Refinamento do anterior</w:t>
            </w:r>
          </w:p>
        </w:tc>
      </w:tr>
      <w:tr>
        <w:tc>
          <w:tcPr>
            <w:tcW w:type="dxa" w:w="504"/>
          </w:tcPr>
          <w:p>
            <w:r/>
            <w:r>
              <w:rPr>
                <w:sz w:val="17"/>
              </w:rPr>
              <w:t>3</w:t>
            </w:r>
          </w:p>
        </w:tc>
        <w:tc>
          <w:tcPr>
            <w:tcW w:type="dxa" w:w="4608"/>
          </w:tcPr>
          <w:p>
            <w:r/>
            <w:r>
              <w:rPr>
                <w:sz w:val="17"/>
              </w:rPr>
              <w:t>Walk-forward purgado + embargo (proxy retorno²)</w:t>
            </w:r>
          </w:p>
        </w:tc>
        <w:tc>
          <w:tcPr>
            <w:tcW w:type="dxa" w:w="4104"/>
          </w:tcPr>
          <w:p>
            <w:r/>
            <w:r>
              <w:rPr>
                <w:sz w:val="17"/>
              </w:rPr>
              <w:t>Primeira avaliação rigorosa</w:t>
            </w:r>
          </w:p>
        </w:tc>
      </w:tr>
      <w:tr>
        <w:tc>
          <w:tcPr>
            <w:tcW w:type="dxa" w:w="504"/>
          </w:tcPr>
          <w:p>
            <w:r/>
            <w:r>
              <w:rPr>
                <w:sz w:val="17"/>
              </w:rPr>
              <w:t>4</w:t>
            </w:r>
          </w:p>
        </w:tc>
        <w:tc>
          <w:tcPr>
            <w:tcW w:type="dxa" w:w="4608"/>
          </w:tcPr>
          <w:p>
            <w:r/>
            <w:r>
              <w:rPr>
                <w:sz w:val="17"/>
              </w:rPr>
              <w:t>Persistência pura como diagnóstico</w:t>
            </w:r>
          </w:p>
        </w:tc>
        <w:tc>
          <w:tcPr>
            <w:tcW w:type="dxa" w:w="4104"/>
          </w:tcPr>
          <w:p>
            <w:r/>
            <w:r>
              <w:rPr>
                <w:sz w:val="17"/>
              </w:rPr>
              <w:t>Revelou que o problema não era a regressão</w:t>
            </w:r>
          </w:p>
        </w:tc>
      </w:tr>
      <w:tr>
        <w:tc>
          <w:tcPr>
            <w:tcW w:type="dxa" w:w="504"/>
          </w:tcPr>
          <w:p>
            <w:r/>
            <w:r>
              <w:rPr>
                <w:sz w:val="17"/>
              </w:rPr>
              <w:t>5</w:t>
            </w:r>
          </w:p>
        </w:tc>
        <w:tc>
          <w:tcPr>
            <w:tcW w:type="dxa" w:w="4608"/>
          </w:tcPr>
          <w:p>
            <w:r/>
            <w:r>
              <w:rPr>
                <w:sz w:val="17"/>
              </w:rPr>
              <w:t>GARCH(1,1)</w:t>
            </w:r>
          </w:p>
        </w:tc>
        <w:tc>
          <w:tcPr>
            <w:tcW w:type="dxa" w:w="4104"/>
          </w:tcPr>
          <w:p>
            <w:r/>
            <w:r>
              <w:rPr>
                <w:sz w:val="17"/>
              </w:rPr>
              <w:t>Pior que HAR-RV; descartado</w:t>
            </w:r>
          </w:p>
        </w:tc>
      </w:tr>
      <w:tr>
        <w:tc>
          <w:tcPr>
            <w:tcW w:type="dxa" w:w="504"/>
          </w:tcPr>
          <w:p>
            <w:r/>
            <w:r>
              <w:rPr>
                <w:sz w:val="17"/>
              </w:rPr>
              <w:t>6</w:t>
            </w:r>
          </w:p>
        </w:tc>
        <w:tc>
          <w:tcPr>
            <w:tcW w:type="dxa" w:w="4608"/>
          </w:tcPr>
          <w:p>
            <w:r/>
            <w:r>
              <w:rPr>
                <w:sz w:val="17"/>
              </w:rPr>
              <w:t>HAR-RV com estimador Parkinson</w:t>
            </w:r>
          </w:p>
        </w:tc>
        <w:tc>
          <w:tcPr>
            <w:tcW w:type="dxa" w:w="4104"/>
          </w:tcPr>
          <w:p>
            <w:r/>
            <w:r>
              <w:rPr>
                <w:sz w:val="17"/>
              </w:rPr>
              <w:t>RMSE menor em todos os folds; adotado</w:t>
            </w:r>
          </w:p>
        </w:tc>
      </w:tr>
      <w:tr>
        <w:tc>
          <w:tcPr>
            <w:tcW w:type="dxa" w:w="504"/>
          </w:tcPr>
          <w:p>
            <w:r/>
            <w:r>
              <w:rPr>
                <w:sz w:val="17"/>
              </w:rPr>
              <w:t>7</w:t>
            </w:r>
          </w:p>
        </w:tc>
        <w:tc>
          <w:tcPr>
            <w:tcW w:type="dxa" w:w="4608"/>
          </w:tcPr>
          <w:p>
            <w:r/>
            <w:r>
              <w:rPr>
                <w:sz w:val="17"/>
              </w:rPr>
              <w:t>Credibilidade Tier 1 (θₜ + dispersão)</w:t>
            </w:r>
          </w:p>
        </w:tc>
        <w:tc>
          <w:tcPr>
            <w:tcW w:type="dxa" w:w="4104"/>
          </w:tcPr>
          <w:p>
            <w:r/>
            <w:r>
              <w:rPr>
                <w:sz w:val="17"/>
              </w:rPr>
              <w:t>Não ajuda</w:t>
            </w:r>
          </w:p>
        </w:tc>
      </w:tr>
      <w:tr>
        <w:tc>
          <w:tcPr>
            <w:tcW w:type="dxa" w:w="504"/>
          </w:tcPr>
          <w:p>
            <w:r/>
            <w:r>
              <w:rPr>
                <w:sz w:val="17"/>
              </w:rPr>
              <w:t>8</w:t>
            </w:r>
          </w:p>
        </w:tc>
        <w:tc>
          <w:tcPr>
            <w:tcW w:type="dxa" w:w="4608"/>
          </w:tcPr>
          <w:p>
            <w:r/>
            <w:r>
              <w:rPr>
                <w:sz w:val="17"/>
              </w:rPr>
              <w:t>Risco fiscal — nível bruto de atenção</w:t>
            </w:r>
          </w:p>
        </w:tc>
        <w:tc>
          <w:tcPr>
            <w:tcW w:type="dxa" w:w="4104"/>
          </w:tcPr>
          <w:p>
            <w:r/>
            <w:r>
              <w:rPr>
                <w:sz w:val="17"/>
              </w:rPr>
              <w:t>Não ajuda</w:t>
            </w:r>
          </w:p>
        </w:tc>
      </w:tr>
      <w:tr>
        <w:tc>
          <w:tcPr>
            <w:tcW w:type="dxa" w:w="504"/>
          </w:tcPr>
          <w:p>
            <w:r/>
            <w:r>
              <w:rPr>
                <w:sz w:val="17"/>
              </w:rPr>
              <w:t>9</w:t>
            </w:r>
          </w:p>
        </w:tc>
        <w:tc>
          <w:tcPr>
            <w:tcW w:type="dxa" w:w="4608"/>
          </w:tcPr>
          <w:p>
            <w:r/>
            <w:r>
              <w:rPr>
                <w:sz w:val="17"/>
              </w:rPr>
              <w:t>Risco fiscal — surpresa (z-score, 63d)</w:t>
            </w:r>
          </w:p>
        </w:tc>
        <w:tc>
          <w:tcPr>
            <w:tcW w:type="dxa" w:w="4104"/>
          </w:tcPr>
          <w:p>
            <w:r/>
            <w:r>
              <w:rPr>
                <w:sz w:val="17"/>
              </w:rPr>
              <w:t>Não ajuda</w:t>
            </w:r>
          </w:p>
        </w:tc>
      </w:tr>
      <w:tr>
        <w:tc>
          <w:tcPr>
            <w:tcW w:type="dxa" w:w="504"/>
          </w:tcPr>
          <w:p>
            <w:r/>
            <w:r>
              <w:rPr>
                <w:sz w:val="17"/>
              </w:rPr>
              <w:t>10</w:t>
            </w:r>
          </w:p>
        </w:tc>
        <w:tc>
          <w:tcPr>
            <w:tcW w:type="dxa" w:w="4608"/>
          </w:tcPr>
          <w:p>
            <w:r/>
            <w:r>
              <w:rPr>
                <w:sz w:val="17"/>
              </w:rPr>
              <w:t>Risco fiscal — surpresa (z-score, 21d)</w:t>
            </w:r>
          </w:p>
        </w:tc>
        <w:tc>
          <w:tcPr>
            <w:tcW w:type="dxa" w:w="4104"/>
          </w:tcPr>
          <w:p>
            <w:r/>
            <w:r>
              <w:rPr>
                <w:sz w:val="17"/>
              </w:rPr>
              <w:t>Efeito marginal, dentro do ruído</w:t>
            </w:r>
          </w:p>
        </w:tc>
      </w:tr>
      <w:tr>
        <w:tc>
          <w:tcPr>
            <w:tcW w:type="dxa" w:w="504"/>
            <w:shd w:val="clear" w:fill="FFF4E0"/>
          </w:tcPr>
          <w:p>
            <w:r/>
            <w:r>
              <w:rPr>
                <w:b/>
                <w:sz w:val="17"/>
              </w:rPr>
              <w:t>11</w:t>
            </w:r>
          </w:p>
        </w:tc>
        <w:tc>
          <w:tcPr>
            <w:tcW w:type="dxa" w:w="4608"/>
            <w:shd w:val="clear" w:fill="FFF4E0"/>
          </w:tcPr>
          <w:p>
            <w:r/>
            <w:r>
              <w:rPr>
                <w:b/>
                <w:sz w:val="17"/>
              </w:rPr>
              <w:t>Diagnóstico: R² por fold vs. agregado</w:t>
            </w:r>
          </w:p>
        </w:tc>
        <w:tc>
          <w:tcPr>
            <w:tcW w:type="dxa" w:w="4104"/>
            <w:shd w:val="clear" w:fill="FFF4E0"/>
          </w:tcPr>
          <w:p>
            <w:r/>
            <w:r>
              <w:rPr>
                <w:b/>
                <w:sz w:val="17"/>
              </w:rPr>
              <w:t>ERRO NOSSO corrigido; métrica oficial trocada</w:t>
            </w:r>
          </w:p>
        </w:tc>
      </w:tr>
      <w:tr>
        <w:tc>
          <w:tcPr>
            <w:tcW w:type="dxa" w:w="504"/>
          </w:tcPr>
          <w:p>
            <w:r/>
            <w:r>
              <w:rPr>
                <w:sz w:val="17"/>
              </w:rPr>
              <w:t>12</w:t>
            </w:r>
          </w:p>
        </w:tc>
        <w:tc>
          <w:tcPr>
            <w:tcW w:type="dxa" w:w="4608"/>
          </w:tcPr>
          <w:p>
            <w:r/>
            <w:r>
              <w:rPr>
                <w:sz w:val="17"/>
              </w:rPr>
              <w:t>Varredura de esquemas de walk-forward</w:t>
            </w:r>
          </w:p>
        </w:tc>
        <w:tc>
          <w:tcPr>
            <w:tcW w:type="dxa" w:w="4104"/>
          </w:tcPr>
          <w:p>
            <w:r/>
            <w:r>
              <w:rPr>
                <w:sz w:val="17"/>
              </w:rPr>
              <w:t>1 config venceu; vizinhas falharam → rejeitada como sorte</w:t>
            </w:r>
          </w:p>
        </w:tc>
      </w:tr>
      <w:tr>
        <w:tc>
          <w:tcPr>
            <w:tcW w:type="dxa" w:w="504"/>
          </w:tcPr>
          <w:p>
            <w:r/>
            <w:r>
              <w:rPr>
                <w:sz w:val="17"/>
              </w:rPr>
              <w:t>13</w:t>
            </w:r>
          </w:p>
        </w:tc>
        <w:tc>
          <w:tcPr>
            <w:tcW w:type="dxa" w:w="4608"/>
          </w:tcPr>
          <w:p>
            <w:r/>
            <w:r>
              <w:rPr>
                <w:sz w:val="17"/>
              </w:rPr>
              <w:t>Leverage via interação multiplicativa</w:t>
            </w:r>
          </w:p>
        </w:tc>
        <w:tc>
          <w:tcPr>
            <w:tcW w:type="dxa" w:w="4104"/>
          </w:tcPr>
          <w:p>
            <w:r/>
            <w:r>
              <w:rPr>
                <w:sz w:val="17"/>
              </w:rPr>
              <w:t>Sem efeito (multicolinearidade)</w:t>
            </w:r>
          </w:p>
        </w:tc>
      </w:tr>
      <w:tr>
        <w:tc>
          <w:tcPr>
            <w:tcW w:type="dxa" w:w="504"/>
          </w:tcPr>
          <w:p>
            <w:r/>
            <w:r>
              <w:rPr>
                <w:sz w:val="17"/>
              </w:rPr>
              <w:t>14</w:t>
            </w:r>
          </w:p>
        </w:tc>
        <w:tc>
          <w:tcPr>
            <w:tcW w:type="dxa" w:w="4608"/>
          </w:tcPr>
          <w:p>
            <w:r/>
            <w:r>
              <w:rPr>
                <w:sz w:val="17"/>
              </w:rPr>
              <w:t>Risco fiscal v2 (surpresa + FinBERT)</w:t>
            </w:r>
          </w:p>
        </w:tc>
        <w:tc>
          <w:tcPr>
            <w:tcW w:type="dxa" w:w="4104"/>
          </w:tcPr>
          <w:p>
            <w:r/>
            <w:r>
              <w:rPr>
                <w:sz w:val="17"/>
              </w:rPr>
              <w:t>Parecia ajudar com dado parcial; inverteu com dado completo</w:t>
            </w:r>
          </w:p>
        </w:tc>
      </w:tr>
      <w:tr>
        <w:tc>
          <w:tcPr>
            <w:tcW w:type="dxa" w:w="504"/>
            <w:shd w:val="clear" w:fill="FFF4E0"/>
          </w:tcPr>
          <w:p>
            <w:r/>
            <w:r>
              <w:rPr>
                <w:b/>
                <w:sz w:val="17"/>
              </w:rPr>
              <w:t>15</w:t>
            </w:r>
          </w:p>
        </w:tc>
        <w:tc>
          <w:tcPr>
            <w:tcW w:type="dxa" w:w="4608"/>
            <w:shd w:val="clear" w:fill="FFF4E0"/>
          </w:tcPr>
          <w:p>
            <w:r/>
            <w:r>
              <w:rPr>
                <w:b/>
                <w:sz w:val="17"/>
              </w:rPr>
              <w:t>Overnight + semivariância + ensemble</w:t>
            </w:r>
          </w:p>
        </w:tc>
        <w:tc>
          <w:tcPr>
            <w:tcW w:type="dxa" w:w="4104"/>
            <w:shd w:val="clear" w:fill="FFF4E0"/>
          </w:tcPr>
          <w:p>
            <w:r/>
            <w:r>
              <w:rPr>
                <w:b/>
                <w:sz w:val="17"/>
              </w:rPr>
              <w:t>INVÁLIDO — testado sobre dado defeituoso (ver 5.4)</w:t>
            </w:r>
          </w:p>
        </w:tc>
      </w:tr>
      <w:tr>
        <w:tc>
          <w:tcPr>
            <w:tcW w:type="dxa" w:w="504"/>
          </w:tcPr>
          <w:p>
            <w:r/>
            <w:r>
              <w:rPr>
                <w:sz w:val="17"/>
              </w:rPr>
              <w:t>16</w:t>
            </w:r>
          </w:p>
        </w:tc>
        <w:tc>
          <w:tcPr>
            <w:tcW w:type="dxa" w:w="4608"/>
          </w:tcPr>
          <w:p>
            <w:r/>
            <w:r>
              <w:rPr>
                <w:sz w:val="17"/>
              </w:rPr>
              <w:t>Risco global exógeno (VIX + DXY)</w:t>
            </w:r>
          </w:p>
        </w:tc>
        <w:tc>
          <w:tcPr>
            <w:tcW w:type="dxa" w:w="4104"/>
          </w:tcPr>
          <w:p>
            <w:r/>
            <w:r>
              <w:rPr>
                <w:sz w:val="17"/>
              </w:rPr>
              <w:t>Não ajuda; VIX chega a piorar</w:t>
            </w:r>
          </w:p>
        </w:tc>
      </w:tr>
      <w:tr>
        <w:tc>
          <w:tcPr>
            <w:tcW w:type="dxa" w:w="504"/>
          </w:tcPr>
          <w:p>
            <w:r/>
            <w:r>
              <w:rPr>
                <w:sz w:val="17"/>
              </w:rPr>
              <w:t>17</w:t>
            </w:r>
          </w:p>
        </w:tc>
        <w:tc>
          <w:tcPr>
            <w:tcW w:type="dxa" w:w="4608"/>
          </w:tcPr>
          <w:p>
            <w:r/>
            <w:r>
              <w:rPr>
                <w:sz w:val="17"/>
              </w:rPr>
              <w:t>Persistência adotada como previsão oficial</w:t>
            </w:r>
          </w:p>
        </w:tc>
        <w:tc>
          <w:tcPr>
            <w:tcW w:type="dxa" w:w="4104"/>
          </w:tcPr>
          <w:p>
            <w:r/>
            <w:r>
              <w:rPr>
                <w:sz w:val="17"/>
              </w:rPr>
              <w:t>Decisão revertida: vitória era da fonte defeituosa (5.6)</w:t>
            </w:r>
          </w:p>
        </w:tc>
      </w:tr>
      <w:tr>
        <w:tc>
          <w:tcPr>
            <w:tcW w:type="dxa" w:w="504"/>
          </w:tcPr>
          <w:p>
            <w:r/>
            <w:r>
              <w:rPr>
                <w:sz w:val="17"/>
              </w:rPr>
              <w:t>18</w:t>
            </w:r>
          </w:p>
        </w:tc>
        <w:tc>
          <w:tcPr>
            <w:tcW w:type="dxa" w:w="4608"/>
          </w:tcPr>
          <w:p>
            <w:r/>
            <w:r>
              <w:rPr>
                <w:sz w:val="17"/>
              </w:rPr>
              <w:t>Camadas como correção de resíduo da persistência</w:t>
            </w:r>
          </w:p>
        </w:tc>
        <w:tc>
          <w:tcPr>
            <w:tcW w:type="dxa" w:w="4104"/>
          </w:tcPr>
          <w:p>
            <w:r/>
            <w:r>
              <w:rPr>
                <w:sz w:val="17"/>
              </w:rPr>
              <w:t>Todas as 6 pioram — mas base equivocada (ver 5.6)</w:t>
            </w:r>
          </w:p>
        </w:tc>
      </w:tr>
      <w:tr>
        <w:tc>
          <w:tcPr>
            <w:tcW w:type="dxa" w:w="504"/>
            <w:shd w:val="clear" w:fill="FFF4E0"/>
          </w:tcPr>
          <w:p>
            <w:r/>
            <w:r>
              <w:rPr>
                <w:b/>
                <w:sz w:val="17"/>
              </w:rPr>
              <w:t>19</w:t>
            </w:r>
          </w:p>
        </w:tc>
        <w:tc>
          <w:tcPr>
            <w:tcW w:type="dxa" w:w="4608"/>
            <w:shd w:val="clear" w:fill="FFF4E0"/>
          </w:tcPr>
          <w:p>
            <w:r/>
            <w:r>
              <w:rPr>
                <w:b/>
                <w:sz w:val="17"/>
              </w:rPr>
              <w:t>Validação de fonte de preço contra PTAX</w:t>
            </w:r>
          </w:p>
        </w:tc>
        <w:tc>
          <w:tcPr>
            <w:tcW w:type="dxa" w:w="4104"/>
            <w:shd w:val="clear" w:fill="FFF4E0"/>
          </w:tcPr>
          <w:p>
            <w:r/>
            <w:r>
              <w:rPr>
                <w:b/>
                <w:sz w:val="17"/>
              </w:rPr>
              <w:t>ERRO NOSSO encontrado: defasagem de 1 dia</w:t>
            </w:r>
          </w:p>
        </w:tc>
      </w:tr>
      <w:tr>
        <w:tc>
          <w:tcPr>
            <w:tcW w:type="dxa" w:w="504"/>
            <w:shd w:val="clear" w:fill="FFF4E0"/>
          </w:tcPr>
          <w:p>
            <w:r/>
            <w:r>
              <w:rPr>
                <w:b/>
                <w:sz w:val="17"/>
              </w:rPr>
              <w:t>20</w:t>
            </w:r>
          </w:p>
        </w:tc>
        <w:tc>
          <w:tcPr>
            <w:tcW w:type="dxa" w:w="4608"/>
            <w:shd w:val="clear" w:fill="FFF4E0"/>
          </w:tcPr>
          <w:p>
            <w:r/>
            <w:r>
              <w:rPr>
                <w:b/>
                <w:sz w:val="17"/>
              </w:rPr>
              <w:t>Migração para o futuro de dólar da B3</w:t>
            </w:r>
          </w:p>
        </w:tc>
        <w:tc>
          <w:tcPr>
            <w:tcW w:type="dxa" w:w="4104"/>
            <w:shd w:val="clear" w:fill="FFF4E0"/>
          </w:tcPr>
          <w:p>
            <w:r/>
            <w:r>
              <w:rPr>
                <w:b/>
                <w:sz w:val="17"/>
              </w:rPr>
              <w:t>R² positivo NÃO sobrevive</w:t>
            </w:r>
          </w:p>
        </w:tc>
      </w:tr>
      <w:tr>
        <w:tc>
          <w:tcPr>
            <w:tcW w:type="dxa" w:w="504"/>
            <w:shd w:val="clear" w:fill="FFF4E0"/>
          </w:tcPr>
          <w:p>
            <w:r/>
            <w:r>
              <w:rPr>
                <w:b/>
                <w:sz w:val="17"/>
              </w:rPr>
              <w:t>21</w:t>
            </w:r>
          </w:p>
        </w:tc>
        <w:tc>
          <w:tcPr>
            <w:tcW w:type="dxa" w:w="4608"/>
            <w:shd w:val="clear" w:fill="FFF4E0"/>
          </w:tcPr>
          <w:p>
            <w:r/>
            <w:r>
              <w:rPr>
                <w:b/>
                <w:sz w:val="17"/>
              </w:rPr>
              <w:t>Varredura de horizonte na fonte correta</w:t>
            </w:r>
          </w:p>
        </w:tc>
        <w:tc>
          <w:tcPr>
            <w:tcW w:type="dxa" w:w="4104"/>
            <w:shd w:val="clear" w:fill="FFF4E0"/>
          </w:tcPr>
          <w:p>
            <w:r/>
            <w:r>
              <w:rPr>
                <w:b/>
                <w:sz w:val="17"/>
              </w:rPr>
              <w:t>Sinal existe em 1 dia; ausente em 21</w:t>
            </w:r>
          </w:p>
        </w:tc>
      </w:tr>
      <w:tr>
        <w:tc>
          <w:tcPr>
            <w:tcW w:type="dxa" w:w="504"/>
          </w:tcPr>
          <w:p>
            <w:r/>
            <w:r>
              <w:rPr>
                <w:sz w:val="17"/>
              </w:rPr>
              <w:t>22</w:t>
            </w:r>
          </w:p>
        </w:tc>
        <w:tc>
          <w:tcPr>
            <w:tcW w:type="dxa" w:w="4608"/>
          </w:tcPr>
          <w:p>
            <w:r/>
            <w:r>
              <w:rPr>
                <w:sz w:val="17"/>
              </w:rPr>
              <w:t>Cross-check com estimador alternativo (B3)</w:t>
            </w:r>
          </w:p>
        </w:tc>
        <w:tc>
          <w:tcPr>
            <w:tcW w:type="dxa" w:w="4104"/>
          </w:tcPr>
          <w:p>
            <w:r/>
            <w:r>
              <w:rPr>
                <w:sz w:val="17"/>
              </w:rPr>
              <w:t>Confirma: negativo em ambos os estimadores</w:t>
            </w:r>
          </w:p>
        </w:tc>
      </w:tr>
    </w:tbl>
    <w:p>
      <w:pPr>
        <w:spacing w:after="80"/>
      </w:pPr>
    </w:p>
    <w:p>
      <w:pPr>
        <w:spacing w:after="120" w:before="0"/>
      </w:pPr>
      <w:r>
        <w:rPr>
          <w:b w:val="0"/>
          <w:i w:val="0"/>
          <w:color w:val="6B6A66"/>
          <w:sz w:val="18"/>
        </w:rPr>
        <w:t>As linhas destacadas marcam os pontos de inflexão do projeto. Três delas são erros nossos descobertos por verificação; duas são reversões de conclusões anteriores.</w:t>
      </w:r>
    </w:p>
    <w:p>
      <w:pPr>
        <w:pStyle w:val="Heading2"/>
      </w:pPr>
      <w:r>
        <w:t>5.2 Fase inicial: construir a barra a ser superada</w:t>
      </w:r>
    </w:p>
    <w:p>
      <w:pPr>
        <w:spacing w:after="120" w:before="0"/>
      </w:pPr>
      <w:r>
        <w:rPr>
          <w:b w:val="0"/>
          <w:i w:val="0"/>
          <w:color w:val="0B0B0B"/>
          <w:sz w:val="21"/>
        </w:rPr>
        <w:t>O primeiro resultado relevante foi negativo e veio cedo: o HAR-RV ajustado não superava a persistência pura. Isso poderia significar duas coisas muito diferentes — que a regressão estava mal especificada, ou que não havia sinal a extrair. O teste com a persistência (item 4 da tabela) separou as hipóteses: como ela também apresentava desempenho fraco em termos absolutos, concluímos que o problema não estava na regressão.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Correção importante — esta conclusão não sobreviveu.  </w:t>
            </w:r>
            <w:r>
              <w:rPr>
                <w:sz w:val="19"/>
              </w:rPr>
              <w:t>A derrota do HAR-RV para a persistência era artefato da fonte de preço defeituosa. Na fonte correta (futuro da B3), o HAR-RV vence a persistência em 5 dos 6 horizontes testados. A Seção 5.7 detalha a inversão. Mantemos o relato original aqui porque ele explica decisões tomadas na sequência — mas o leitor deve saber, desde já, que a premissa estava errada.</w:t>
            </w:r>
          </w:p>
        </w:tc>
      </w:tr>
    </w:tbl>
    <w:p>
      <w:pPr>
        <w:spacing w:after="120"/>
      </w:pPr>
    </w:p>
    <w:p>
      <w:pPr>
        <w:spacing w:after="120" w:before="0"/>
      </w:pPr>
      <w:r>
        <w:rPr>
          <w:b w:val="0"/>
          <w:i/>
          <w:color w:val="0B0B0B"/>
          <w:sz w:val="21"/>
        </w:rPr>
        <w:t>Este episódio merece uma crítica de processo que fazemos a nós mesmos. Um modelo ajustado perdendo para um benchmark sem nenhum parâmetro é uma anomalia que pede investigação imediata: ou a especificação está errada, ou os dados estão. Em vez de esgotar esse diagnóstico, seguimos adiante adicionando camadas de informação cada vez mais elaboradas — FinBERT, Barro-Gordon, risco fiscal. Se tivéssemos investigado a anomalia primeiro, provavelmente teríamos chegado ao problema de fonte de dados muito antes, e boa parte do esforço nas camadas teria sido poupado ou redirecionado.</w:t>
      </w:r>
    </w:p>
    <w:p>
      <w:pPr>
        <w:spacing w:after="120" w:before="0"/>
      </w:pPr>
      <w:r>
        <w:rPr>
          <w:b w:val="0"/>
          <w:i w:val="0"/>
          <w:color w:val="0B0B0B"/>
          <w:sz w:val="21"/>
        </w:rPr>
        <w:t>A troca do estimador de retorno ao quadrado pelo Parkinson (item 6) foi a primeira melhoria genuína, e por isso foi adotada: RMSE menor em todos os folds, não apenas na média — critério que escolhemos justamente para evitar adotar uma mudança que funcionasse por acaso em um período específico.</w:t>
      </w:r>
    </w:p>
    <w:p>
      <w:pPr>
        <w:pStyle w:val="Heading2"/>
      </w:pPr>
      <w:r>
        <w:t>5.3 Fase das camadas de informação</w:t>
      </w:r>
    </w:p>
    <w:p>
      <w:pPr>
        <w:spacing w:after="120" w:before="0"/>
      </w:pPr>
      <w:r>
        <w:rPr>
          <w:b w:val="0"/>
          <w:i w:val="0"/>
          <w:color w:val="0B0B0B"/>
          <w:sz w:val="21"/>
        </w:rPr>
        <w:t>Aqui estava a aposta central do projeto. Cada camada foi submetida ao mesmo teste: ablação formal com e sem a camada, nos mesmos folds purgados.</w:t>
      </w:r>
    </w:p>
    <w:p>
      <w:pPr>
        <w:spacing w:after="120" w:before="0"/>
      </w:pPr>
      <w:r>
        <w:rPr>
          <w:b w:val="0"/>
          <w:i w:val="0"/>
          <w:color w:val="0B0B0B"/>
          <w:sz w:val="21"/>
        </w:rPr>
        <w:t>O caso do risco fiscal merece detalhamento porque contém uma lição metodológica. A coleta de manchetes do GDELT foi repetidamente bloqueada por limite de taxa, e chegamos a ter apenas 12 das 15 janelas-alvo. Com esses dados parciais, a camada com FinBERT parecia ajudar de forma consistente — R² melhorando em 3 de 5 folds, com o coeficiente de sentimento aparentemente estável.</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O resultado que se desfez.  </w:t>
            </w:r>
            <w:r>
              <w:rPr>
                <w:sz w:val="19"/>
              </w:rPr>
              <w:t>Ao completar a coleta (15 de 15 janelas), o mesmo teste inverteu: de +0,073 para −0,568. O desvio-padrão do coeficiente praticamente dobrou. Se tivéssemos reportado o resultado parcial — que era o resultado mais animador de todo o projeto até então —, teríamos publicado uma conclusão falsa. Foi a decisão de completar os dados antes de concluir que evitou isso.</w:t>
            </w:r>
          </w:p>
        </w:tc>
      </w:tr>
    </w:tbl>
    <w:p>
      <w:pPr>
        <w:spacing w:after="120"/>
      </w:pPr>
    </w:p>
    <w:p>
      <w:pPr>
        <w:pStyle w:val="Heading2"/>
      </w:pPr>
      <w:r>
        <w:t>5.4 Os dois erros que encontramos no nosso próprio trabalho</w:t>
      </w:r>
    </w:p>
    <w:p>
      <w:pPr>
        <w:pStyle w:val="Heading3"/>
      </w:pPr>
      <w:r>
        <w:t>Erro 1 — a métrica instável</w:t>
      </w:r>
    </w:p>
    <w:p>
      <w:pPr>
        <w:spacing w:after="120" w:before="0"/>
      </w:pPr>
      <w:r>
        <w:rPr>
          <w:b w:val="0"/>
          <w:i w:val="0"/>
          <w:color w:val="0B0B0B"/>
          <w:sz w:val="21"/>
        </w:rPr>
        <w:t>Descrito na Seção 4.2. O R² médio por fold exagerava sistematicamente a gravidade do problema. Correção: R² agregado.</w:t>
      </w:r>
    </w:p>
    <w:p>
      <w:pPr>
        <w:pStyle w:val="Heading3"/>
      </w:pPr>
      <w:r>
        <w:t>Erro 2 — a fonte de preço desalinhada</w:t>
      </w:r>
    </w:p>
    <w:p>
      <w:pPr>
        <w:spacing w:after="120" w:before="0"/>
      </w:pPr>
      <w:r>
        <w:rPr>
          <w:b w:val="0"/>
          <w:i w:val="0"/>
          <w:color w:val="0B0B0B"/>
          <w:sz w:val="21"/>
        </w:rPr>
        <w:t>Este foi mais grave e mais difícil de perceber. Ao validar o proxy de preço (yfinance BRL=X) contra os preços oficiais do futuro da B3, encontramos uma inconsistência estrutural nas barras diárias do yfinance:</w:t>
      </w:r>
    </w:p>
    <w:tbl>
      <w:tblPr>
        <w:tblStyle w:val="TableGrid"/>
        <w:tblW w:type="auto" w:w="0"/>
        <w:jc w:val="center"/>
        <w:tblLook w:firstColumn="1" w:firstRow="1" w:lastColumn="0" w:lastRow="0" w:noHBand="0" w:noVBand="1" w:val="04A0"/>
      </w:tblPr>
      <w:tblGrid>
        <w:gridCol w:w="3211"/>
        <w:gridCol w:w="3211"/>
        <w:gridCol w:w="3211"/>
      </w:tblGrid>
      <w:tr>
        <w:tc>
          <w:tcPr>
            <w:tcW w:type="dxa" w:w="3744"/>
            <w:shd w:val="clear" w:fill="2A2A28"/>
          </w:tcPr>
          <w:p>
            <w:r/>
            <w:r>
              <w:rPr>
                <w:b/>
                <w:color w:val="FFFFFF"/>
                <w:sz w:val="18"/>
              </w:rPr>
              <w:t>Medida</w:t>
            </w:r>
          </w:p>
        </w:tc>
        <w:tc>
          <w:tcPr>
            <w:tcW w:type="dxa" w:w="2016"/>
            <w:shd w:val="clear" w:fill="2A2A28"/>
          </w:tcPr>
          <w:p>
            <w:r/>
            <w:r>
              <w:rPr>
                <w:b/>
                <w:color w:val="FFFFFF"/>
                <w:sz w:val="18"/>
              </w:rPr>
              <w:t>Valor</w:t>
            </w:r>
          </w:p>
        </w:tc>
        <w:tc>
          <w:tcPr>
            <w:tcW w:type="dxa" w:w="3456"/>
            <w:shd w:val="clear" w:fill="2A2A28"/>
          </w:tcPr>
          <w:p>
            <w:r/>
            <w:r>
              <w:rPr>
                <w:b/>
                <w:color w:val="FFFFFF"/>
                <w:sz w:val="18"/>
              </w:rPr>
              <w:t>Interpretação</w:t>
            </w:r>
          </w:p>
        </w:tc>
      </w:tr>
      <w:tr>
        <w:tc>
          <w:tcPr>
            <w:tcW w:type="dxa" w:w="3744"/>
          </w:tcPr>
          <w:p>
            <w:r/>
            <w:r>
              <w:rPr>
                <w:sz w:val="18"/>
              </w:rPr>
              <w:t>|fechamento − abertura| do mesmo dia</w:t>
            </w:r>
          </w:p>
        </w:tc>
        <w:tc>
          <w:tcPr>
            <w:tcW w:type="dxa" w:w="2016"/>
          </w:tcPr>
          <w:p>
            <w:r/>
            <w:r>
              <w:rPr>
                <w:sz w:val="18"/>
              </w:rPr>
              <w:t>0,00043</w:t>
            </w:r>
          </w:p>
        </w:tc>
        <w:tc>
          <w:tcPr>
            <w:tcW w:type="dxa" w:w="3456"/>
          </w:tcPr>
          <w:p>
            <w:r/>
            <w:r>
              <w:rPr>
                <w:sz w:val="18"/>
              </w:rPr>
              <w:t>Praticamente zero</w:t>
            </w:r>
          </w:p>
        </w:tc>
      </w:tr>
      <w:tr>
        <w:tc>
          <w:tcPr>
            <w:tcW w:type="dxa" w:w="3744"/>
          </w:tcPr>
          <w:p>
            <w:r/>
            <w:r>
              <w:rPr>
                <w:sz w:val="18"/>
              </w:rPr>
              <w:t>|abertura − fechamento anterior|</w:t>
            </w:r>
          </w:p>
        </w:tc>
        <w:tc>
          <w:tcPr>
            <w:tcW w:type="dxa" w:w="2016"/>
          </w:tcPr>
          <w:p>
            <w:r/>
            <w:r>
              <w:rPr>
                <w:sz w:val="18"/>
              </w:rPr>
              <w:t>0,03082</w:t>
            </w:r>
          </w:p>
        </w:tc>
        <w:tc>
          <w:tcPr>
            <w:tcW w:type="dxa" w:w="3456"/>
          </w:tcPr>
          <w:p>
            <w:r/>
            <w:r>
              <w:rPr>
                <w:sz w:val="18"/>
              </w:rPr>
              <w:t>72× maior</w:t>
            </w:r>
          </w:p>
        </w:tc>
      </w:tr>
      <w:tr>
        <w:tc>
          <w:tcPr>
            <w:tcW w:type="dxa" w:w="3744"/>
          </w:tcPr>
          <w:p>
            <w:r/>
            <w:r>
              <w:rPr>
                <w:sz w:val="18"/>
              </w:rPr>
              <w:t>Correlação abertura × fechamento</w:t>
            </w:r>
          </w:p>
        </w:tc>
        <w:tc>
          <w:tcPr>
            <w:tcW w:type="dxa" w:w="2016"/>
          </w:tcPr>
          <w:p>
            <w:r/>
            <w:r>
              <w:rPr>
                <w:sz w:val="18"/>
              </w:rPr>
              <w:t>0,99998</w:t>
            </w:r>
          </w:p>
        </w:tc>
        <w:tc>
          <w:tcPr>
            <w:tcW w:type="dxa" w:w="3456"/>
          </w:tcPr>
          <w:p>
            <w:r/>
            <w:r>
              <w:rPr>
                <w:sz w:val="18"/>
              </w:rPr>
              <w:t>São o mesmo ponto de preço</w:t>
            </w:r>
          </w:p>
        </w:tc>
      </w:tr>
    </w:tbl>
    <w:p>
      <w:pPr>
        <w:spacing w:after="80"/>
      </w:pP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bug_alinhamento.png"/>
                    <pic:cNvPicPr/>
                  </pic:nvPicPr>
                  <pic:blipFill>
                    <a:blip r:embed="rId12"/>
                    <a:stretch>
                      <a:fillRect/>
                    </a:stretch>
                  </pic:blipFill>
                  <pic:spPr>
                    <a:xfrm>
                      <a:off x="0" y="0"/>
                      <a:ext cx="5303520" cy="2651760"/>
                    </a:xfrm>
                    <a:prstGeom prst="rect"/>
                  </pic:spPr>
                </pic:pic>
              </a:graphicData>
            </a:graphic>
          </wp:inline>
        </w:drawing>
      </w:r>
    </w:p>
    <w:p>
      <w:pPr>
        <w:spacing w:after="240" w:before="0"/>
        <w:jc w:val="center"/>
      </w:pPr>
      <w:r>
        <w:rPr>
          <w:b w:val="0"/>
          <w:i/>
          <w:color w:val="6B6A66"/>
          <w:sz w:val="17"/>
        </w:rPr>
        <w:t>Figura 3 — Nas barras do yfinance, o movimento não acontece dentro do dia: aparece entre barras.</w:t>
      </w:r>
    </w:p>
    <w:p>
      <w:pPr>
        <w:spacing w:after="120" w:before="0"/>
      </w:pPr>
      <w:r>
        <w:rPr>
          <w:b w:val="0"/>
          <w:i w:val="0"/>
          <w:color w:val="0B0B0B"/>
          <w:sz w:val="21"/>
        </w:rPr>
        <w:t>Abertura e fechamento são o mesmo instante — não é um fechamento de fim de pregão, é um snapshot no limite do dia. Para confirmar a direção do problema, usamos o PTAX do Banco Central como árbitro independente, por ser oficial e datado sem ambiguidade:</w:t>
      </w:r>
    </w:p>
    <w:p>
      <w:pPr>
        <w:jc w:val="center"/>
      </w:pPr>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validacao_ptax.png"/>
                    <pic:cNvPicPr/>
                  </pic:nvPicPr>
                  <pic:blipFill>
                    <a:blip r:embed="rId13"/>
                    <a:stretch>
                      <a:fillRect/>
                    </a:stretch>
                  </pic:blipFill>
                  <pic:spPr>
                    <a:xfrm>
                      <a:off x="0" y="0"/>
                      <a:ext cx="5303520" cy="2651760"/>
                    </a:xfrm>
                    <a:prstGeom prst="rect"/>
                  </pic:spPr>
                </pic:pic>
              </a:graphicData>
            </a:graphic>
          </wp:inline>
        </w:drawing>
      </w:r>
    </w:p>
    <w:p>
      <w:pPr>
        <w:spacing w:after="240" w:before="0"/>
        <w:jc w:val="center"/>
      </w:pPr>
      <w:r>
        <w:rPr>
          <w:b w:val="0"/>
          <w:i/>
          <w:color w:val="6B6A66"/>
          <w:sz w:val="17"/>
        </w:rPr>
        <w:t>Figura 4 — Correlação com o retorno do PTAX. Só o ajuste do futuro da B3 alinha no mesmo dia.</w:t>
      </w:r>
    </w:p>
    <w:p>
      <w:pPr>
        <w:spacing w:after="120" w:before="0"/>
      </w:pPr>
      <w:r>
        <w:rPr>
          <w:b w:val="0"/>
          <w:i w:val="0"/>
          <w:color w:val="0B0B0B"/>
          <w:sz w:val="21"/>
        </w:rPr>
        <w:t>O ajuste do futuro da B3 correlaciona 0,673 com o PTAX no mesmo dia. Já o fechamento do yfinance alinha melhor com defasagem de um dia (0,528) do que no mesmo dia (0,391).</w:t>
      </w:r>
    </w:p>
    <w:p>
      <w:pPr>
        <w:pStyle w:val="Heading3"/>
      </w:pPr>
      <w:r>
        <w:t>O que esse erro comprometeu — e o que não comprometeu</w:t>
      </w:r>
    </w:p>
    <w:tbl>
      <w:tblPr>
        <w:tblStyle w:val="TableGrid"/>
        <w:tblW w:type="auto" w:w="0"/>
        <w:jc w:val="center"/>
        <w:tblLook w:firstColumn="1" w:firstRow="1" w:lastColumn="0" w:lastRow="0" w:noHBand="0" w:noVBand="1" w:val="04A0"/>
      </w:tblPr>
      <w:tblGrid>
        <w:gridCol w:w="4816"/>
        <w:gridCol w:w="4816"/>
      </w:tblGrid>
      <w:tr>
        <w:tc>
          <w:tcPr>
            <w:tcW w:type="dxa" w:w="3456"/>
            <w:shd w:val="clear" w:fill="2A2A28"/>
          </w:tcPr>
          <w:p>
            <w:r/>
            <w:r>
              <w:rPr>
                <w:b/>
                <w:color w:val="FFFFFF"/>
                <w:sz w:val="18"/>
              </w:rPr>
              <w:t>Componente</w:t>
            </w:r>
          </w:p>
        </w:tc>
        <w:tc>
          <w:tcPr>
            <w:tcW w:type="dxa" w:w="5760"/>
            <w:shd w:val="clear" w:fill="2A2A28"/>
          </w:tcPr>
          <w:p>
            <w:r/>
            <w:r>
              <w:rPr>
                <w:b/>
                <w:color w:val="FFFFFF"/>
                <w:sz w:val="18"/>
              </w:rPr>
              <w:t>Situação</w:t>
            </w:r>
          </w:p>
        </w:tc>
      </w:tr>
      <w:tr>
        <w:tc>
          <w:tcPr>
            <w:tcW w:type="dxa" w:w="3456"/>
          </w:tcPr>
          <w:p>
            <w:r/>
            <w:r>
              <w:rPr>
                <w:sz w:val="18"/>
              </w:rPr>
              <w:t>RV por Parkinson (estimador oficial)</w:t>
            </w:r>
          </w:p>
        </w:tc>
        <w:tc>
          <w:tcPr>
            <w:tcW w:type="dxa" w:w="5760"/>
          </w:tcPr>
          <w:p>
            <w:r/>
            <w:r>
              <w:rPr>
                <w:sz w:val="18"/>
              </w:rPr>
              <w:t>ÍNTEGRO — usa apenas máxima e mínima, que estão corretamente datadas</w:t>
            </w:r>
          </w:p>
        </w:tc>
      </w:tr>
      <w:tr>
        <w:tc>
          <w:tcPr>
            <w:tcW w:type="dxa" w:w="3456"/>
          </w:tcPr>
          <w:p>
            <w:r/>
            <w:r>
              <w:rPr>
                <w:sz w:val="18"/>
              </w:rPr>
              <w:t>Feature de gap overnight</w:t>
            </w:r>
          </w:p>
        </w:tc>
        <w:tc>
          <w:tcPr>
            <w:tcW w:type="dxa" w:w="5760"/>
          </w:tcPr>
          <w:p>
            <w:r/>
            <w:r>
              <w:rPr>
                <w:sz w:val="18"/>
              </w:rPr>
              <w:t>INVÁLIDA — media o retorno do dia inteiro, não o gap (correlação 0,998 com retorno diário²)</w:t>
            </w:r>
          </w:p>
        </w:tc>
      </w:tr>
      <w:tr>
        <w:tc>
          <w:tcPr>
            <w:tcW w:type="dxa" w:w="3456"/>
          </w:tcPr>
          <w:p>
            <w:r/>
            <w:r>
              <w:rPr>
                <w:sz w:val="18"/>
              </w:rPr>
              <w:t>Sinal da semivariância (leverage)</w:t>
            </w:r>
          </w:p>
        </w:tc>
        <w:tc>
          <w:tcPr>
            <w:tcW w:type="dxa" w:w="5760"/>
          </w:tcPr>
          <w:p>
            <w:r/>
            <w:r>
              <w:rPr>
                <w:sz w:val="18"/>
              </w:rPr>
              <w:t>COMPROMETIDO — sinal do retorno defasado em relação à variância</w:t>
            </w:r>
          </w:p>
        </w:tc>
      </w:tr>
      <w:tr>
        <w:tc>
          <w:tcPr>
            <w:tcW w:type="dxa" w:w="3456"/>
          </w:tcPr>
          <w:p>
            <w:r/>
            <w:r>
              <w:rPr>
                <w:sz w:val="18"/>
              </w:rPr>
              <w:t>Preços de entrada e saída do backtest</w:t>
            </w:r>
          </w:p>
        </w:tc>
        <w:tc>
          <w:tcPr>
            <w:tcW w:type="dxa" w:w="5760"/>
          </w:tcPr>
          <w:p>
            <w:r/>
            <w:r>
              <w:rPr>
                <w:sz w:val="18"/>
              </w:rPr>
              <w:t>DEFASADOS em um dia</w:t>
            </w:r>
          </w:p>
        </w:tc>
      </w:tr>
    </w:tbl>
    <w:p>
      <w:pPr>
        <w:spacing w:after="80"/>
      </w:pPr>
    </w:p>
    <w:p>
      <w:pPr>
        <w:spacing w:after="120" w:before="0"/>
      </w:pPr>
      <w:r>
        <w:rPr>
          <w:b w:val="0"/>
          <w:i w:val="0"/>
          <w:color w:val="0B0B0B"/>
          <w:sz w:val="21"/>
        </w:rPr>
        <w:t>A consequência mais importante: o item 15 da tabela de configurações, que registramos como “resultado nulo”, era na verdade um teste inválido. Corrigimos o registro. A distinção importa — um resultado nulo legítimo informa; um teste inválido rotulado como nulo desinforma.</w:t>
      </w:r>
    </w:p>
    <w:p>
      <w:r>
        <w:br w:type="page"/>
      </w:r>
    </w:p>
    <w:p>
      <w:pPr>
        <w:pStyle w:val="Heading2"/>
      </w:pPr>
      <w:r>
        <w:t>5.5 A migração de fonte e a reversão da conclusão</w:t>
      </w:r>
    </w:p>
    <w:p>
      <w:pPr>
        <w:spacing w:after="120" w:before="0"/>
      </w:pPr>
      <w:r>
        <w:rPr>
          <w:b w:val="0"/>
          <w:i w:val="0"/>
          <w:color w:val="0B0B0B"/>
          <w:sz w:val="21"/>
        </w:rPr>
        <w:t>Corrigido o diagnóstico, a decisão seguinte era clara: migrar para o futuro de dólar da B3. Não por elegância, mas porque é o instrumento economicamente correto — a opção que o VolBoy negocia é escrita sobre esse futuro, então a volatilidade relevante é a dele.</w:t>
      </w:r>
    </w:p>
    <w:p>
      <w:pPr>
        <w:spacing w:after="120" w:before="0"/>
      </w:pPr>
      <w:r>
        <w:rPr>
          <w:b w:val="0"/>
          <w:i w:val="0"/>
          <w:color w:val="0B0B0B"/>
          <w:sz w:val="21"/>
        </w:rPr>
        <w:t>Coletamos 830 pregões (2023-04-10 a 2026-08-05), cobrindo 41 contratos com 40 rolagens mensais, diretamente dos arquivos diários da B3. A rolagem exigiu tratamento explícito: a série troca de contrato todo mês, e emendar preços de contratos diferentes criaria saltos artificiais que entrariam como volatilidade falsa. O estimador de Parkinson, por operar dentro de cada pregão, é imune a esse problema.</w:t>
      </w:r>
    </w:p>
    <w:p>
      <w:pPr>
        <w:spacing w:after="120" w:before="0"/>
      </w:pPr>
      <w:r>
        <w:rPr>
          <w:b w:val="0"/>
          <w:i w:val="0"/>
          <w:color w:val="0B0B0B"/>
          <w:sz w:val="21"/>
        </w:rPr>
        <w:t>O resultado da migração inverteu a conclusão central do projeto:</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168"/>
            <w:shd w:val="clear" w:fill="2A2A28"/>
          </w:tcPr>
          <w:p>
            <w:r/>
            <w:r>
              <w:rPr>
                <w:b/>
                <w:color w:val="FFFFFF"/>
                <w:sz w:val="18"/>
              </w:rPr>
              <w:t>Fonte de preço</w:t>
            </w:r>
          </w:p>
        </w:tc>
        <w:tc>
          <w:tcPr>
            <w:tcW w:type="dxa" w:w="1728"/>
            <w:shd w:val="clear" w:fill="2A2A28"/>
          </w:tcPr>
          <w:p>
            <w:r/>
            <w:r>
              <w:rPr>
                <w:b/>
                <w:color w:val="FFFFFF"/>
                <w:sz w:val="18"/>
              </w:rPr>
              <w:t>HAR-RV</w:t>
            </w:r>
          </w:p>
        </w:tc>
        <w:tc>
          <w:tcPr>
            <w:tcW w:type="dxa" w:w="2016"/>
            <w:shd w:val="clear" w:fill="2A2A28"/>
          </w:tcPr>
          <w:p>
            <w:r/>
            <w:r>
              <w:rPr>
                <w:b/>
                <w:color w:val="FFFFFF"/>
                <w:sz w:val="18"/>
              </w:rPr>
              <w:t>Persistência</w:t>
            </w:r>
          </w:p>
        </w:tc>
        <w:tc>
          <w:tcPr>
            <w:tcW w:type="dxa" w:w="2880"/>
            <w:shd w:val="clear" w:fill="2A2A28"/>
          </w:tcPr>
          <w:p>
            <w:r/>
            <w:r>
              <w:rPr>
                <w:b/>
                <w:color w:val="FFFFFF"/>
                <w:sz w:val="18"/>
              </w:rPr>
              <w:t>Veredito</w:t>
            </w:r>
          </w:p>
        </w:tc>
      </w:tr>
      <w:tr>
        <w:tc>
          <w:tcPr>
            <w:tcW w:type="dxa" w:w="3168"/>
          </w:tcPr>
          <w:p>
            <w:r/>
            <w:r>
              <w:rPr>
                <w:sz w:val="18"/>
              </w:rPr>
              <w:t>yfinance BRL=X (proxy)</w:t>
            </w:r>
          </w:p>
        </w:tc>
        <w:tc>
          <w:tcPr>
            <w:tcW w:type="dxa" w:w="1728"/>
          </w:tcPr>
          <w:p>
            <w:r/>
            <w:r>
              <w:rPr>
                <w:sz w:val="18"/>
              </w:rPr>
              <w:t>−0,066</w:t>
            </w:r>
          </w:p>
        </w:tc>
        <w:tc>
          <w:tcPr>
            <w:tcW w:type="dxa" w:w="2016"/>
          </w:tcPr>
          <w:p>
            <w:r/>
            <w:r>
              <w:rPr>
                <w:sz w:val="18"/>
              </w:rPr>
              <w:t>+0,126</w:t>
            </w:r>
          </w:p>
        </w:tc>
        <w:tc>
          <w:tcPr>
            <w:tcW w:type="dxa" w:w="2880"/>
          </w:tcPr>
          <w:p>
            <w:r/>
            <w:r>
              <w:rPr>
                <w:sz w:val="18"/>
              </w:rPr>
              <w:t>Persistência vence, R² positivo</w:t>
            </w:r>
          </w:p>
        </w:tc>
      </w:tr>
      <w:tr>
        <w:tc>
          <w:tcPr>
            <w:tcW w:type="dxa" w:w="3168"/>
            <w:shd w:val="clear" w:fill="FFF4E0"/>
          </w:tcPr>
          <w:p>
            <w:r/>
            <w:r>
              <w:rPr>
                <w:b/>
                <w:sz w:val="18"/>
              </w:rPr>
              <w:t>Futuro de dólar B3 (oficial)</w:t>
            </w:r>
          </w:p>
        </w:tc>
        <w:tc>
          <w:tcPr>
            <w:tcW w:type="dxa" w:w="1728"/>
            <w:shd w:val="clear" w:fill="FFF4E0"/>
          </w:tcPr>
          <w:p>
            <w:r/>
            <w:r>
              <w:rPr>
                <w:b/>
                <w:sz w:val="18"/>
              </w:rPr>
              <w:t>−0,255</w:t>
            </w:r>
          </w:p>
        </w:tc>
        <w:tc>
          <w:tcPr>
            <w:tcW w:type="dxa" w:w="2016"/>
            <w:shd w:val="clear" w:fill="FFF4E0"/>
          </w:tcPr>
          <w:p>
            <w:r/>
            <w:r>
              <w:rPr>
                <w:b/>
                <w:sz w:val="18"/>
              </w:rPr>
              <w:t>−0,367</w:t>
            </w:r>
          </w:p>
        </w:tc>
        <w:tc>
          <w:tcPr>
            <w:tcW w:type="dxa" w:w="2880"/>
            <w:shd w:val="clear" w:fill="FFF4E0"/>
          </w:tcPr>
          <w:p>
            <w:r/>
            <w:r>
              <w:rPr>
                <w:b/>
                <w:sz w:val="18"/>
              </w:rPr>
              <w:t>Ambos negativos</w:t>
            </w:r>
          </w:p>
        </w:tc>
      </w:tr>
    </w:tbl>
    <w:p>
      <w:pPr>
        <w:spacing w:after="80"/>
      </w:pPr>
    </w:p>
    <w:p>
      <w:pPr>
        <w:spacing w:after="120" w:before="0"/>
      </w:pPr>
      <w:r>
        <w:rPr>
          <w:b w:val="0"/>
          <w:i w:val="0"/>
          <w:color w:val="0B0B0B"/>
          <w:sz w:val="21"/>
        </w:rPr>
        <w:t>Um cross-check com estimador completamente diferente (retorno de fechamento sobre o ajuste oficial) confirmou o resultado no mesmo dado da B3, descartando a hipótese de que fosse artefato do estimador de Parkinson.</w:t>
      </w:r>
    </w:p>
    <w:p>
      <w:pPr>
        <w:pStyle w:val="Heading2"/>
      </w:pPr>
      <w:r>
        <w:t>5.6 A inversão que a fonte correta produziu no ranking dos modelos</w:t>
      </w:r>
    </w:p>
    <w:p>
      <w:pPr>
        <w:spacing w:after="120" w:before="0"/>
      </w:pPr>
      <w:r>
        <w:rPr>
          <w:b w:val="0"/>
          <w:i w:val="0"/>
          <w:color w:val="0B0B0B"/>
          <w:sz w:val="21"/>
        </w:rPr>
        <w:t>Além de eliminar o R² positivo, a migração inverteu algo que sustentava boa parte das decisões do projeto: qual modelo é o melhor. Comparando os dois em cada horizonte, na mesma metodologia:</w:t>
      </w:r>
    </w:p>
    <w:tbl>
      <w:tblPr>
        <w:tblStyle w:val="TableGrid"/>
        <w:tblW w:type="auto" w:w="0"/>
        <w:jc w:val="center"/>
        <w:tblLook w:firstColumn="1" w:firstRow="1" w:lastColumn="0" w:lastRow="0" w:noHBand="0" w:noVBand="1" w:val="04A0"/>
      </w:tblPr>
      <w:tblGrid>
        <w:gridCol w:w="3211"/>
        <w:gridCol w:w="3211"/>
        <w:gridCol w:w="3211"/>
      </w:tblGrid>
      <w:tr>
        <w:tc>
          <w:tcPr>
            <w:tcW w:type="dxa" w:w="2016"/>
            <w:shd w:val="clear" w:fill="2A2A28"/>
          </w:tcPr>
          <w:p>
            <w:r/>
            <w:r>
              <w:rPr>
                <w:b/>
                <w:color w:val="FFFFFF"/>
                <w:sz w:val="18"/>
              </w:rPr>
              <w:t>Horizonte</w:t>
            </w:r>
          </w:p>
        </w:tc>
        <w:tc>
          <w:tcPr>
            <w:tcW w:type="dxa" w:w="3600"/>
            <w:shd w:val="clear" w:fill="2A2A28"/>
          </w:tcPr>
          <w:p>
            <w:r/>
            <w:r>
              <w:rPr>
                <w:b/>
                <w:color w:val="FFFFFF"/>
                <w:sz w:val="18"/>
              </w:rPr>
              <w:t>Vencedor na fonte defeituosa</w:t>
            </w:r>
          </w:p>
        </w:tc>
        <w:tc>
          <w:tcPr>
            <w:tcW w:type="dxa" w:w="3600"/>
            <w:shd w:val="clear" w:fill="2A2A28"/>
          </w:tcPr>
          <w:p>
            <w:r/>
            <w:r>
              <w:rPr>
                <w:b/>
                <w:color w:val="FFFFFF"/>
                <w:sz w:val="18"/>
              </w:rPr>
              <w:t>Vencedor na fonte correta</w:t>
            </w:r>
          </w:p>
        </w:tc>
      </w:tr>
      <w:tr>
        <w:tc>
          <w:tcPr>
            <w:tcW w:type="dxa" w:w="2016"/>
            <w:shd w:val="clear" w:fill="FFF4E0"/>
          </w:tcPr>
          <w:p>
            <w:r/>
            <w:r>
              <w:rPr>
                <w:b/>
                <w:sz w:val="18"/>
              </w:rPr>
              <w:t>1 dia(s)</w:t>
            </w:r>
          </w:p>
        </w:tc>
        <w:tc>
          <w:tcPr>
            <w:tcW w:type="dxa" w:w="3600"/>
            <w:shd w:val="clear" w:fill="FFF4E0"/>
          </w:tcPr>
          <w:p>
            <w:r/>
            <w:r>
              <w:rPr>
                <w:b/>
                <w:sz w:val="18"/>
              </w:rPr>
              <w:t>persistência</w:t>
            </w:r>
          </w:p>
        </w:tc>
        <w:tc>
          <w:tcPr>
            <w:tcW w:type="dxa" w:w="3600"/>
            <w:shd w:val="clear" w:fill="FFF4E0"/>
          </w:tcPr>
          <w:p>
            <w:r/>
            <w:r>
              <w:rPr>
                <w:b/>
                <w:sz w:val="18"/>
              </w:rPr>
              <w:t>HAR-RV</w:t>
            </w:r>
          </w:p>
        </w:tc>
      </w:tr>
      <w:tr>
        <w:tc>
          <w:tcPr>
            <w:tcW w:type="dxa" w:w="2016"/>
            <w:shd w:val="clear" w:fill="FFF4E0"/>
          </w:tcPr>
          <w:p>
            <w:r/>
            <w:r>
              <w:rPr>
                <w:b/>
                <w:sz w:val="18"/>
              </w:rPr>
              <w:t>3 dia(s)</w:t>
            </w:r>
          </w:p>
        </w:tc>
        <w:tc>
          <w:tcPr>
            <w:tcW w:type="dxa" w:w="3600"/>
            <w:shd w:val="clear" w:fill="FFF4E0"/>
          </w:tcPr>
          <w:p>
            <w:r/>
            <w:r>
              <w:rPr>
                <w:b/>
                <w:sz w:val="18"/>
              </w:rPr>
              <w:t>persistência</w:t>
            </w:r>
          </w:p>
        </w:tc>
        <w:tc>
          <w:tcPr>
            <w:tcW w:type="dxa" w:w="3600"/>
            <w:shd w:val="clear" w:fill="FFF4E0"/>
          </w:tcPr>
          <w:p>
            <w:r/>
            <w:r>
              <w:rPr>
                <w:b/>
                <w:sz w:val="18"/>
              </w:rPr>
              <w:t>HAR-RV</w:t>
            </w:r>
          </w:p>
        </w:tc>
      </w:tr>
      <w:tr>
        <w:tc>
          <w:tcPr>
            <w:tcW w:type="dxa" w:w="2016"/>
          </w:tcPr>
          <w:p>
            <w:r/>
            <w:r>
              <w:rPr>
                <w:sz w:val="18"/>
              </w:rPr>
              <w:t>5 dia(s)</w:t>
            </w:r>
          </w:p>
        </w:tc>
        <w:tc>
          <w:tcPr>
            <w:tcW w:type="dxa" w:w="3600"/>
          </w:tcPr>
          <w:p>
            <w:r/>
            <w:r>
              <w:rPr>
                <w:sz w:val="18"/>
              </w:rPr>
              <w:t>persistência</w:t>
            </w:r>
          </w:p>
        </w:tc>
        <w:tc>
          <w:tcPr>
            <w:tcW w:type="dxa" w:w="3600"/>
          </w:tcPr>
          <w:p>
            <w:r/>
            <w:r>
              <w:rPr>
                <w:sz w:val="18"/>
              </w:rPr>
              <w:t>persistência</w:t>
            </w:r>
          </w:p>
        </w:tc>
      </w:tr>
      <w:tr>
        <w:tc>
          <w:tcPr>
            <w:tcW w:type="dxa" w:w="2016"/>
            <w:shd w:val="clear" w:fill="FFF4E0"/>
          </w:tcPr>
          <w:p>
            <w:r/>
            <w:r>
              <w:rPr>
                <w:b/>
                <w:sz w:val="18"/>
              </w:rPr>
              <w:t>10 dia(s)</w:t>
            </w:r>
          </w:p>
        </w:tc>
        <w:tc>
          <w:tcPr>
            <w:tcW w:type="dxa" w:w="3600"/>
            <w:shd w:val="clear" w:fill="FFF4E0"/>
          </w:tcPr>
          <w:p>
            <w:r/>
            <w:r>
              <w:rPr>
                <w:b/>
                <w:sz w:val="18"/>
              </w:rPr>
              <w:t>persistência</w:t>
            </w:r>
          </w:p>
        </w:tc>
        <w:tc>
          <w:tcPr>
            <w:tcW w:type="dxa" w:w="3600"/>
            <w:shd w:val="clear" w:fill="FFF4E0"/>
          </w:tcPr>
          <w:p>
            <w:r/>
            <w:r>
              <w:rPr>
                <w:b/>
                <w:sz w:val="18"/>
              </w:rPr>
              <w:t>HAR-RV</w:t>
            </w:r>
          </w:p>
        </w:tc>
      </w:tr>
      <w:tr>
        <w:tc>
          <w:tcPr>
            <w:tcW w:type="dxa" w:w="2016"/>
            <w:shd w:val="clear" w:fill="FFF4E0"/>
          </w:tcPr>
          <w:p>
            <w:r/>
            <w:r>
              <w:rPr>
                <w:b/>
                <w:sz w:val="18"/>
              </w:rPr>
              <w:t>15 dia(s)</w:t>
            </w:r>
          </w:p>
        </w:tc>
        <w:tc>
          <w:tcPr>
            <w:tcW w:type="dxa" w:w="3600"/>
            <w:shd w:val="clear" w:fill="FFF4E0"/>
          </w:tcPr>
          <w:p>
            <w:r/>
            <w:r>
              <w:rPr>
                <w:b/>
                <w:sz w:val="18"/>
              </w:rPr>
              <w:t>persistência</w:t>
            </w:r>
          </w:p>
        </w:tc>
        <w:tc>
          <w:tcPr>
            <w:tcW w:type="dxa" w:w="3600"/>
            <w:shd w:val="clear" w:fill="FFF4E0"/>
          </w:tcPr>
          <w:p>
            <w:r/>
            <w:r>
              <w:rPr>
                <w:b/>
                <w:sz w:val="18"/>
              </w:rPr>
              <w:t>HAR-RV</w:t>
            </w:r>
          </w:p>
        </w:tc>
      </w:tr>
      <w:tr>
        <w:tc>
          <w:tcPr>
            <w:tcW w:type="dxa" w:w="2016"/>
            <w:shd w:val="clear" w:fill="FFF4E0"/>
          </w:tcPr>
          <w:p>
            <w:r/>
            <w:r>
              <w:rPr>
                <w:b/>
                <w:sz w:val="18"/>
              </w:rPr>
              <w:t>21 dia(s)</w:t>
            </w:r>
          </w:p>
        </w:tc>
        <w:tc>
          <w:tcPr>
            <w:tcW w:type="dxa" w:w="3600"/>
            <w:shd w:val="clear" w:fill="FFF4E0"/>
          </w:tcPr>
          <w:p>
            <w:r/>
            <w:r>
              <w:rPr>
                <w:b/>
                <w:sz w:val="18"/>
              </w:rPr>
              <w:t>persistência</w:t>
            </w:r>
          </w:p>
        </w:tc>
        <w:tc>
          <w:tcPr>
            <w:tcW w:type="dxa" w:w="3600"/>
            <w:shd w:val="clear" w:fill="FFF4E0"/>
          </w:tcPr>
          <w:p>
            <w:r/>
            <w:r>
              <w:rPr>
                <w:b/>
                <w:sz w:val="18"/>
              </w:rPr>
              <w:t>HAR-RV</w:t>
            </w:r>
          </w:p>
        </w:tc>
      </w:tr>
    </w:tbl>
    <w:p>
      <w:pPr>
        <w:spacing w:after="80"/>
      </w:pPr>
    </w:p>
    <w:p>
      <w:pPr>
        <w:spacing w:after="120" w:before="0"/>
      </w:pPr>
      <w:r>
        <w:rPr>
          <w:b w:val="0"/>
          <w:i w:val="0"/>
          <w:color w:val="0B0B0B"/>
          <w:sz w:val="21"/>
        </w:rPr>
        <w:t>Na fonte defeituosa, a persistência vence em 6 de 6 horizontes. Na fonte correta, o HAR-RV vence em 5 de 6. A afirmação “a persistência bate o HAR-RV”, que aparece repetidamente no registro de configurações do projeto e motivou a adoção da persistência como previsão oficial, era uma propriedade do dado defeituoso — não do fenômeno.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Consequência a jusante.  </w:t>
            </w:r>
            <w:r>
              <w:rPr>
                <w:sz w:val="19"/>
              </w:rPr>
              <w:t>O experimento de correção de resíduo (item 18 da tabela de configurações) testou as seis camadas de informação como correção da PERSISTÊNCIA, precisamente porque a acreditávamos o melhor baseline. Na fonte correta ela não é. Aquele teste foi construído sobre a base errada e precisaria ser refeito sobre o HAR-RV para ser conclusivo — está listado nos próximos passos.</w:t>
            </w:r>
          </w:p>
        </w:tc>
      </w:tr>
    </w:tbl>
    <w:p>
      <w:pPr>
        <w:spacing w:after="120"/>
      </w:pPr>
    </w:p>
    <w:p>
      <w:pPr>
        <w:spacing w:after="120" w:before="0"/>
      </w:pPr>
      <w:r>
        <w:rPr>
          <w:b w:val="0"/>
          <w:i w:val="0"/>
          <w:color w:val="0B0B0B"/>
          <w:sz w:val="21"/>
        </w:rPr>
        <w:t>Registramos isso com destaque porque é o exemplo mais claro, em todo o projeto, de como um defeito silencioso de dados não produz apenas um número errado: ele reorganiza o ranking dos modelos, redireciona a agenda de pesquisa e contamina experimentos construídos depois. Nenhum teste unitário pegaria isso — só a validação contra uma fonte independente.</w:t>
      </w:r>
    </w:p>
    <w:p>
      <w:pPr>
        <w:pStyle w:val="Heading2"/>
      </w:pPr>
      <w:r>
        <w:t>5.7 O diagnóstico final: descasamento de horizonte</w:t>
      </w:r>
    </w:p>
    <w:p>
      <w:pPr>
        <w:spacing w:after="120" w:before="0"/>
      </w:pPr>
      <w:r>
        <w:rPr>
          <w:b w:val="0"/>
          <w:i w:val="0"/>
          <w:color w:val="0B0B0B"/>
          <w:sz w:val="21"/>
        </w:rPr>
        <w:t>Restava explicar por que a fonte importava tanto. A resposta está na estrutura de memória da série — precisamente o que a previsão de longo horizonte explora:</w:t>
      </w:r>
    </w:p>
    <w:p>
      <w:pPr>
        <w:jc w:val="center"/>
      </w:pPr>
      <w:r>
        <w:drawing>
          <wp:inline xmlns:a="http://schemas.openxmlformats.org/drawingml/2006/main" xmlns:pic="http://schemas.openxmlformats.org/drawingml/2006/picture">
            <wp:extent cx="5394960" cy="2634748"/>
            <wp:docPr id="6" name="Picture 6"/>
            <wp:cNvGraphicFramePr>
              <a:graphicFrameLocks noChangeAspect="1"/>
            </wp:cNvGraphicFramePr>
            <a:graphic>
              <a:graphicData uri="http://schemas.openxmlformats.org/drawingml/2006/picture">
                <pic:pic>
                  <pic:nvPicPr>
                    <pic:cNvPr id="0" name="autocorrelacao.png"/>
                    <pic:cNvPicPr/>
                  </pic:nvPicPr>
                  <pic:blipFill>
                    <a:blip r:embed="rId14"/>
                    <a:stretch>
                      <a:fillRect/>
                    </a:stretch>
                  </pic:blipFill>
                  <pic:spPr>
                    <a:xfrm>
                      <a:off x="0" y="0"/>
                      <a:ext cx="5394960" cy="2634748"/>
                    </a:xfrm>
                    <a:prstGeom prst="rect"/>
                  </pic:spPr>
                </pic:pic>
              </a:graphicData>
            </a:graphic>
          </wp:inline>
        </w:drawing>
      </w:r>
    </w:p>
    <w:p>
      <w:pPr>
        <w:spacing w:after="240" w:before="0"/>
        <w:jc w:val="center"/>
      </w:pPr>
      <w:r>
        <w:rPr>
          <w:b w:val="0"/>
          <w:i/>
          <w:color w:val="6B6A66"/>
          <w:sz w:val="17"/>
        </w:rPr>
        <w:t>Figura 5 — Autocorrelação da variância diária. O spot 24h retém memória em defasagens longas; o futuro, não.</w:t>
      </w:r>
    </w:p>
    <w:p>
      <w:pPr>
        <w:spacing w:after="120" w:before="0"/>
      </w:pPr>
      <w:r>
        <w:rPr>
          <w:b w:val="0"/>
          <w:i w:val="0"/>
          <w:color w:val="0B0B0B"/>
          <w:sz w:val="21"/>
        </w:rPr>
        <w:t>Em defasagem 5, a autocorrelação é 0,096 no futuro contra 0,190 no spot; em defasagem 21, 0,025 contra 0,074. Como o alvo é a volatilidade dos próximos 21 dias, é essa memória longa que sustenta qualquer previsão — e ela existe no spot, não no futuro.</w:t>
      </w:r>
    </w:p>
    <w:p>
      <w:pPr>
        <w:pStyle w:val="Heading3"/>
      </w:pPr>
      <w:r>
        <w:t>Duas leituras, e o que decide entre elas</w:t>
      </w:r>
    </w:p>
    <w:p>
      <w:pPr>
        <w:pStyle w:val="ListBullet"/>
        <w:spacing w:after="60"/>
      </w:pPr>
      <w:r>
        <w:rPr>
          <w:b/>
          <w:sz w:val="21"/>
        </w:rPr>
        <w:t xml:space="preserve">Efeito estatístico legítimo. </w:t>
      </w:r>
      <w:r>
        <w:rPr>
          <w:sz w:val="21"/>
        </w:rPr>
        <w:t>O intervalo de 24 horas do spot média mais do processo de volatilidade, reduzindo ruído de medição. Alvo menos ruidoso permite R² maior. Isso é real.</w:t>
      </w:r>
    </w:p>
    <w:p>
      <w:pPr>
        <w:pStyle w:val="ListBullet"/>
        <w:spacing w:after="60"/>
      </w:pPr>
      <w:r>
        <w:rPr>
          <w:b/>
          <w:sz w:val="21"/>
        </w:rPr>
        <w:t xml:space="preserve">Artefato de construção. </w:t>
      </w:r>
      <w:r>
        <w:rPr>
          <w:sz w:val="21"/>
        </w:rPr>
        <w:t>As barras anômalas do yfinance podem inflar artificialmente a autocorrelação.</w:t>
      </w:r>
    </w:p>
    <w:p>
      <w:pPr>
        <w:spacing w:after="120" w:before="0"/>
      </w:pPr>
      <w:r>
        <w:rPr>
          <w:b w:val="0"/>
          <w:i w:val="0"/>
          <w:color w:val="0B0B0B"/>
          <w:sz w:val="21"/>
        </w:rPr>
        <w:t>Não conseguimos separar completamente as duas — e registramos isso como limitação. Mas o ponto decisivo não depende dessa separação: o straddle do VolBoy tem payoff determinado pelo caminho do preço do futuro. A volatilidade do futuro é o alvo economicamente correto, e é nela que nenhum método funciona.</w:t>
      </w:r>
    </w:p>
    <w:p>
      <w:pPr>
        <w:spacing w:after="120" w:before="0"/>
      </w:pPr>
      <w:r>
        <w:rPr>
          <w:b w:val="0"/>
          <w:i w:val="0"/>
          <w:color w:val="0B0B0B"/>
          <w:sz w:val="21"/>
        </w:rPr>
        <w:t>A varredura de horizonte na fonte correta fecha o diagnóstico:</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72"/>
            <w:shd w:val="clear" w:fill="2A2A28"/>
          </w:tcPr>
          <w:p>
            <w:r/>
            <w:r>
              <w:rPr>
                <w:b/>
                <w:color w:val="FFFFFF"/>
                <w:sz w:val="18"/>
              </w:rPr>
              <w:t>Horizonte</w:t>
            </w:r>
          </w:p>
        </w:tc>
        <w:tc>
          <w:tcPr>
            <w:tcW w:type="dxa" w:w="1872"/>
            <w:shd w:val="clear" w:fill="2A2A28"/>
          </w:tcPr>
          <w:p>
            <w:r/>
            <w:r>
              <w:rPr>
                <w:b/>
                <w:color w:val="FFFFFF"/>
                <w:sz w:val="18"/>
              </w:rPr>
              <w:t>HAR-RV</w:t>
            </w:r>
          </w:p>
        </w:tc>
        <w:tc>
          <w:tcPr>
            <w:tcW w:type="dxa" w:w="2160"/>
            <w:shd w:val="clear" w:fill="2A2A28"/>
          </w:tcPr>
          <w:p>
            <w:r/>
            <w:r>
              <w:rPr>
                <w:b/>
                <w:color w:val="FFFFFF"/>
                <w:sz w:val="18"/>
              </w:rPr>
              <w:t>Persistência</w:t>
            </w:r>
          </w:p>
        </w:tc>
        <w:tc>
          <w:tcPr>
            <w:tcW w:type="dxa" w:w="3168"/>
            <w:shd w:val="clear" w:fill="2A2A28"/>
          </w:tcPr>
          <w:p>
            <w:r/>
            <w:r>
              <w:rPr>
                <w:b/>
                <w:color w:val="FFFFFF"/>
                <w:sz w:val="18"/>
              </w:rPr>
              <w:t>Leitura</w:t>
            </w:r>
          </w:p>
        </w:tc>
      </w:tr>
      <w:tr>
        <w:tc>
          <w:tcPr>
            <w:tcW w:type="dxa" w:w="1872"/>
            <w:shd w:val="clear" w:fill="FFF4E0"/>
          </w:tcPr>
          <w:p>
            <w:r/>
            <w:r>
              <w:rPr>
                <w:b/>
                <w:sz w:val="18"/>
              </w:rPr>
              <w:t>1 dia(s)</w:t>
            </w:r>
          </w:p>
        </w:tc>
        <w:tc>
          <w:tcPr>
            <w:tcW w:type="dxa" w:w="1872"/>
            <w:shd w:val="clear" w:fill="FFF4E0"/>
          </w:tcPr>
          <w:p>
            <w:r/>
            <w:r>
              <w:rPr>
                <w:b/>
                <w:sz w:val="18"/>
              </w:rPr>
              <w:t>+0,049</w:t>
            </w:r>
          </w:p>
        </w:tc>
        <w:tc>
          <w:tcPr>
            <w:tcW w:type="dxa" w:w="2160"/>
            <w:shd w:val="clear" w:fill="FFF4E0"/>
          </w:tcPr>
          <w:p>
            <w:r/>
            <w:r>
              <w:rPr>
                <w:b/>
                <w:sz w:val="18"/>
              </w:rPr>
              <w:t>−0,022</w:t>
            </w:r>
          </w:p>
        </w:tc>
        <w:tc>
          <w:tcPr>
            <w:tcW w:type="dxa" w:w="3168"/>
            <w:shd w:val="clear" w:fill="FFF4E0"/>
          </w:tcPr>
          <w:p>
            <w:r/>
            <w:r>
              <w:rPr>
                <w:b/>
                <w:sz w:val="18"/>
              </w:rPr>
              <w:t>sinal real</w:t>
            </w:r>
          </w:p>
        </w:tc>
      </w:tr>
      <w:tr>
        <w:tc>
          <w:tcPr>
            <w:tcW w:type="dxa" w:w="1872"/>
          </w:tcPr>
          <w:p>
            <w:r/>
            <w:r>
              <w:rPr>
                <w:sz w:val="18"/>
              </w:rPr>
              <w:t>3 dia(s)</w:t>
            </w:r>
          </w:p>
        </w:tc>
        <w:tc>
          <w:tcPr>
            <w:tcW w:type="dxa" w:w="1872"/>
          </w:tcPr>
          <w:p>
            <w:r/>
            <w:r>
              <w:rPr>
                <w:sz w:val="18"/>
              </w:rPr>
              <w:t>−0,027</w:t>
            </w:r>
          </w:p>
        </w:tc>
        <w:tc>
          <w:tcPr>
            <w:tcW w:type="dxa" w:w="2160"/>
          </w:tcPr>
          <w:p>
            <w:r/>
            <w:r>
              <w:rPr>
                <w:sz w:val="18"/>
              </w:rPr>
              <w:t>−0,037</w:t>
            </w:r>
          </w:p>
        </w:tc>
        <w:tc>
          <w:tcPr>
            <w:tcW w:type="dxa" w:w="3168"/>
          </w:tcPr>
          <w:p>
            <w:r/>
            <w:r>
              <w:rPr>
                <w:sz w:val="18"/>
              </w:rPr>
              <w:t>sem sinal</w:t>
            </w:r>
          </w:p>
        </w:tc>
      </w:tr>
      <w:tr>
        <w:tc>
          <w:tcPr>
            <w:tcW w:type="dxa" w:w="1872"/>
          </w:tcPr>
          <w:p>
            <w:r/>
            <w:r>
              <w:rPr>
                <w:sz w:val="18"/>
              </w:rPr>
              <w:t>5 dia(s)</w:t>
            </w:r>
          </w:p>
        </w:tc>
        <w:tc>
          <w:tcPr>
            <w:tcW w:type="dxa" w:w="1872"/>
          </w:tcPr>
          <w:p>
            <w:r/>
            <w:r>
              <w:rPr>
                <w:sz w:val="18"/>
              </w:rPr>
              <w:t>−0,102</w:t>
            </w:r>
          </w:p>
        </w:tc>
        <w:tc>
          <w:tcPr>
            <w:tcW w:type="dxa" w:w="2160"/>
          </w:tcPr>
          <w:p>
            <w:r/>
            <w:r>
              <w:rPr>
                <w:sz w:val="18"/>
              </w:rPr>
              <w:t>−0,075</w:t>
            </w:r>
          </w:p>
        </w:tc>
        <w:tc>
          <w:tcPr>
            <w:tcW w:type="dxa" w:w="3168"/>
          </w:tcPr>
          <w:p>
            <w:r/>
            <w:r>
              <w:rPr>
                <w:sz w:val="18"/>
              </w:rPr>
              <w:t>sem sinal</w:t>
            </w:r>
          </w:p>
        </w:tc>
      </w:tr>
      <w:tr>
        <w:tc>
          <w:tcPr>
            <w:tcW w:type="dxa" w:w="1872"/>
          </w:tcPr>
          <w:p>
            <w:r/>
            <w:r>
              <w:rPr>
                <w:sz w:val="18"/>
              </w:rPr>
              <w:t>10 dia(s)</w:t>
            </w:r>
          </w:p>
        </w:tc>
        <w:tc>
          <w:tcPr>
            <w:tcW w:type="dxa" w:w="1872"/>
          </w:tcPr>
          <w:p>
            <w:r/>
            <w:r>
              <w:rPr>
                <w:sz w:val="18"/>
              </w:rPr>
              <w:t>−0,155</w:t>
            </w:r>
          </w:p>
        </w:tc>
        <w:tc>
          <w:tcPr>
            <w:tcW w:type="dxa" w:w="2160"/>
          </w:tcPr>
          <w:p>
            <w:r/>
            <w:r>
              <w:rPr>
                <w:sz w:val="18"/>
              </w:rPr>
              <w:t>−0,158</w:t>
            </w:r>
          </w:p>
        </w:tc>
        <w:tc>
          <w:tcPr>
            <w:tcW w:type="dxa" w:w="3168"/>
          </w:tcPr>
          <w:p>
            <w:r/>
            <w:r>
              <w:rPr>
                <w:sz w:val="18"/>
              </w:rPr>
              <w:t>sem sinal</w:t>
            </w:r>
          </w:p>
        </w:tc>
      </w:tr>
      <w:tr>
        <w:tc>
          <w:tcPr>
            <w:tcW w:type="dxa" w:w="1872"/>
          </w:tcPr>
          <w:p>
            <w:r/>
            <w:r>
              <w:rPr>
                <w:sz w:val="18"/>
              </w:rPr>
              <w:t>15 dia(s)</w:t>
            </w:r>
          </w:p>
        </w:tc>
        <w:tc>
          <w:tcPr>
            <w:tcW w:type="dxa" w:w="1872"/>
          </w:tcPr>
          <w:p>
            <w:r/>
            <w:r>
              <w:rPr>
                <w:sz w:val="18"/>
              </w:rPr>
              <w:t>−0,197</w:t>
            </w:r>
          </w:p>
        </w:tc>
        <w:tc>
          <w:tcPr>
            <w:tcW w:type="dxa" w:w="2160"/>
          </w:tcPr>
          <w:p>
            <w:r/>
            <w:r>
              <w:rPr>
                <w:sz w:val="18"/>
              </w:rPr>
              <w:t>−0,245</w:t>
            </w:r>
          </w:p>
        </w:tc>
        <w:tc>
          <w:tcPr>
            <w:tcW w:type="dxa" w:w="3168"/>
          </w:tcPr>
          <w:p>
            <w:r/>
            <w:r>
              <w:rPr>
                <w:sz w:val="18"/>
              </w:rPr>
              <w:t>sem sinal</w:t>
            </w:r>
          </w:p>
        </w:tc>
      </w:tr>
      <w:tr>
        <w:tc>
          <w:tcPr>
            <w:tcW w:type="dxa" w:w="1872"/>
            <w:shd w:val="clear" w:fill="FFF4E0"/>
          </w:tcPr>
          <w:p>
            <w:r/>
            <w:r>
              <w:rPr>
                <w:b/>
                <w:sz w:val="18"/>
              </w:rPr>
              <w:t>21 dia(s)</w:t>
            </w:r>
          </w:p>
        </w:tc>
        <w:tc>
          <w:tcPr>
            <w:tcW w:type="dxa" w:w="1872"/>
            <w:shd w:val="clear" w:fill="FFF4E0"/>
          </w:tcPr>
          <w:p>
            <w:r/>
            <w:r>
              <w:rPr>
                <w:b/>
                <w:sz w:val="18"/>
              </w:rPr>
              <w:t>−0,255</w:t>
            </w:r>
          </w:p>
        </w:tc>
        <w:tc>
          <w:tcPr>
            <w:tcW w:type="dxa" w:w="2160"/>
            <w:shd w:val="clear" w:fill="FFF4E0"/>
          </w:tcPr>
          <w:p>
            <w:r/>
            <w:r>
              <w:rPr>
                <w:b/>
                <w:sz w:val="18"/>
              </w:rPr>
              <w:t>−0,367</w:t>
            </w:r>
          </w:p>
        </w:tc>
        <w:tc>
          <w:tcPr>
            <w:tcW w:type="dxa" w:w="3168"/>
            <w:shd w:val="clear" w:fill="FFF4E0"/>
          </w:tcPr>
          <w:p>
            <w:r/>
            <w:r>
              <w:rPr>
                <w:b/>
                <w:sz w:val="18"/>
              </w:rPr>
              <w:t>sem sinal</w:t>
            </w:r>
          </w:p>
        </w:tc>
      </w:tr>
    </w:tbl>
    <w:p>
      <w:pPr>
        <w:spacing w:after="80"/>
      </w:pPr>
    </w:p>
    <w:p>
      <w:pPr>
        <w:spacing w:after="120" w:before="0"/>
      </w:pPr>
      <w:r>
        <w:rPr>
          <w:b w:val="0"/>
          <w:i w:val="0"/>
          <w:color w:val="0B0B0B"/>
          <w:sz w:val="21"/>
        </w:rPr>
        <w:t>Existe previsibilidade genuína, ainda que modesta, a um dia — e é justamente ali que o HAR-RV supera a persistência, exatamente como Corsi (2009) previa, já que o modelo foi desenhado para horizonte curto. Ela decai monotonicamente até se tornar francamente negativa em 21 dias.</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O diagnóstico central do VolBoy.  </w:t>
            </w:r>
            <w:r>
              <w:rPr>
                <w:sz w:val="19"/>
              </w:rPr>
              <w:t>Depois de 22 configurações, a explicação não é “faltou a feature certa”. É descasamento de horizonte: o sinal existe onde a estratégia não consegue usá-lo (1 dia) e está ausente no prazo de que ela precisa (21 dias, vencimento da opção). Nenhuma variável adicional resolve isso — é uma propriedade do processo de volatilidade neste período e neste instrumento.</w:t>
            </w:r>
          </w:p>
        </w:tc>
      </w:tr>
    </w:tbl>
    <w:p>
      <w:pPr>
        <w:spacing w:after="120"/>
      </w:pPr>
    </w:p>
    <w:p>
      <w:r>
        <w:br w:type="page"/>
      </w:r>
    </w:p>
    <w:p>
      <w:pPr>
        <w:pStyle w:val="Heading1"/>
      </w:pPr>
      <w:r>
        <w:t>6. Resultados e análise crítica</w:t>
      </w:r>
    </w:p>
    <w:p>
      <w:pPr>
        <w:pStyle w:val="Heading2"/>
      </w:pPr>
      <w:r>
        <w:t>6.1 Volatilidade realizada no período</w:t>
      </w:r>
    </w:p>
    <w:p>
      <w:pPr>
        <w:jc w:val="center"/>
      </w:pPr>
      <w:r>
        <w:drawing>
          <wp:inline xmlns:a="http://schemas.openxmlformats.org/drawingml/2006/main" xmlns:pic="http://schemas.openxmlformats.org/drawingml/2006/picture">
            <wp:extent cx="5669280" cy="2653706"/>
            <wp:docPr id="7" name="Picture 7"/>
            <wp:cNvGraphicFramePr>
              <a:graphicFrameLocks noChangeAspect="1"/>
            </wp:cNvGraphicFramePr>
            <a:graphic>
              <a:graphicData uri="http://schemas.openxmlformats.org/drawingml/2006/picture">
                <pic:pic>
                  <pic:nvPicPr>
                    <pic:cNvPr id="0" name="rv_historico.png"/>
                    <pic:cNvPicPr/>
                  </pic:nvPicPr>
                  <pic:blipFill>
                    <a:blip r:embed="rId15"/>
                    <a:stretch>
                      <a:fillRect/>
                    </a:stretch>
                  </pic:blipFill>
                  <pic:spPr>
                    <a:xfrm>
                      <a:off x="0" y="0"/>
                      <a:ext cx="5669280" cy="2653706"/>
                    </a:xfrm>
                    <a:prstGeom prst="rect"/>
                  </pic:spPr>
                </pic:pic>
              </a:graphicData>
            </a:graphic>
          </wp:inline>
        </w:drawing>
      </w:r>
    </w:p>
    <w:p>
      <w:pPr>
        <w:spacing w:after="240" w:before="0"/>
        <w:jc w:val="center"/>
      </w:pPr>
      <w:r>
        <w:rPr>
          <w:b w:val="0"/>
          <w:i/>
          <w:color w:val="6B6A66"/>
          <w:sz w:val="17"/>
        </w:rPr>
        <w:t>Figura 6 — RV de 21 dias anualizada, nas duas fontes. Os picos coincidem com episódios de estresse fiscal e cambial.</w:t>
      </w:r>
    </w:p>
    <w:p>
      <w:pPr>
        <w:spacing w:after="120" w:before="0"/>
      </w:pPr>
      <w:r>
        <w:rPr>
          <w:b w:val="0"/>
          <w:i w:val="0"/>
          <w:color w:val="0B0B0B"/>
          <w:sz w:val="21"/>
        </w:rPr>
        <w:t>A volatilidade média do futuro no período foi de 11,03% ao ano, oscilando entre 5,92% e 18,92%. As duas fontes correlacionam 0,804 no nível de RV de 21 dias — próximas, mas não idênticas, o que já sinalizava que a escolha de fonte não era indiferente.</w:t>
      </w:r>
    </w:p>
    <w:p>
      <w:pPr>
        <w:pStyle w:val="Heading2"/>
      </w:pPr>
      <w:r>
        <w:t>6.2 Ablações: os vereditos definitivos, nas duas fontes</w:t>
      </w:r>
    </w:p>
    <w:p>
      <w:pPr>
        <w:spacing w:after="120" w:before="0"/>
      </w:pPr>
      <w:r>
        <w:rPr>
          <w:b w:val="0"/>
          <w:i w:val="0"/>
          <w:color w:val="0B0B0B"/>
          <w:sz w:val="21"/>
        </w:rPr>
        <w:t>Os vereditos originais do projeto foram obtidos sobre a fonte defeituosa. Reexecutamos todas as ablações também na fonte correta. A tabela mostra o ganho de R² que cada camada produz sobre o HAR-RV baseline, nos mesmos folds purgados, em cada fonte: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024"/>
            <w:shd w:val="clear" w:fill="2A2A28"/>
          </w:tcPr>
          <w:p>
            <w:r/>
            <w:r>
              <w:rPr>
                <w:b/>
                <w:color w:val="FFFFFF"/>
                <w:sz w:val="17"/>
              </w:rPr>
              <w:t>Camada</w:t>
            </w:r>
          </w:p>
        </w:tc>
        <w:tc>
          <w:tcPr>
            <w:tcW w:type="dxa" w:w="2448"/>
            <w:shd w:val="clear" w:fill="2A2A28"/>
          </w:tcPr>
          <w:p>
            <w:r/>
            <w:r>
              <w:rPr>
                <w:b/>
                <w:color w:val="FFFFFF"/>
                <w:sz w:val="17"/>
              </w:rPr>
              <w:t>Δ R² — fonte defeituosa</w:t>
            </w:r>
          </w:p>
        </w:tc>
        <w:tc>
          <w:tcPr>
            <w:tcW w:type="dxa" w:w="2448"/>
            <w:shd w:val="clear" w:fill="2A2A28"/>
          </w:tcPr>
          <w:p>
            <w:r/>
            <w:r>
              <w:rPr>
                <w:b/>
                <w:color w:val="FFFFFF"/>
                <w:sz w:val="17"/>
              </w:rPr>
              <w:t>Δ R² — fonte correta</w:t>
            </w:r>
          </w:p>
        </w:tc>
        <w:tc>
          <w:tcPr>
            <w:tcW w:type="dxa" w:w="1584"/>
            <w:shd w:val="clear" w:fill="2A2A28"/>
          </w:tcPr>
          <w:p>
            <w:r/>
            <w:r>
              <w:rPr>
                <w:b/>
                <w:color w:val="FFFFFF"/>
                <w:sz w:val="17"/>
              </w:rPr>
              <w:t>Veredito mudou?</w:t>
            </w:r>
          </w:p>
        </w:tc>
      </w:tr>
      <w:tr>
        <w:tc>
          <w:tcPr>
            <w:tcW w:type="dxa" w:w="3024"/>
            <w:shd w:val="clear" w:fill="FFF4E0"/>
          </w:tcPr>
          <w:p>
            <w:r/>
            <w:r>
              <w:rPr>
                <w:b/>
                <w:sz w:val="17"/>
              </w:rPr>
              <w:t>Notícia — tom (GDELT)</w:t>
            </w:r>
          </w:p>
        </w:tc>
        <w:tc>
          <w:tcPr>
            <w:tcW w:type="dxa" w:w="2448"/>
            <w:shd w:val="clear" w:fill="FFF4E0"/>
          </w:tcPr>
          <w:p>
            <w:r/>
            <w:r>
              <w:rPr>
                <w:b/>
                <w:sz w:val="17"/>
              </w:rPr>
              <w:t>−0,011  (2/5)</w:t>
            </w:r>
          </w:p>
        </w:tc>
        <w:tc>
          <w:tcPr>
            <w:tcW w:type="dxa" w:w="2448"/>
            <w:shd w:val="clear" w:fill="FFF4E0"/>
          </w:tcPr>
          <w:p>
            <w:r/>
            <w:r>
              <w:rPr>
                <w:b/>
                <w:sz w:val="17"/>
              </w:rPr>
              <w:t>+0,045  (3/5)</w:t>
            </w:r>
          </w:p>
        </w:tc>
        <w:tc>
          <w:tcPr>
            <w:tcW w:type="dxa" w:w="1584"/>
            <w:shd w:val="clear" w:fill="FFF4E0"/>
          </w:tcPr>
          <w:p>
            <w:r/>
            <w:r>
              <w:rPr>
                <w:b/>
                <w:sz w:val="17"/>
              </w:rPr>
              <w:t>sim</w:t>
            </w:r>
          </w:p>
        </w:tc>
      </w:tr>
      <w:tr>
        <w:tc>
          <w:tcPr>
            <w:tcW w:type="dxa" w:w="3024"/>
          </w:tcPr>
          <w:p>
            <w:r/>
            <w:r>
              <w:rPr>
                <w:sz w:val="17"/>
              </w:rPr>
              <w:t>Credibilidade (θₜ + dispersão)</w:t>
            </w:r>
          </w:p>
        </w:tc>
        <w:tc>
          <w:tcPr>
            <w:tcW w:type="dxa" w:w="2448"/>
          </w:tcPr>
          <w:p>
            <w:r/>
            <w:r>
              <w:rPr>
                <w:sz w:val="17"/>
              </w:rPr>
              <w:t>−0,080  (2/5)</w:t>
            </w:r>
          </w:p>
        </w:tc>
        <w:tc>
          <w:tcPr>
            <w:tcW w:type="dxa" w:w="2448"/>
          </w:tcPr>
          <w:p>
            <w:r/>
            <w:r>
              <w:rPr>
                <w:sz w:val="17"/>
              </w:rPr>
              <w:t>−0,105  (3/5)</w:t>
            </w:r>
          </w:p>
        </w:tc>
        <w:tc>
          <w:tcPr>
            <w:tcW w:type="dxa" w:w="1584"/>
          </w:tcPr>
          <w:p>
            <w:r/>
            <w:r>
              <w:rPr>
                <w:sz w:val="17"/>
              </w:rPr>
              <w:t>não</w:t>
            </w:r>
          </w:p>
        </w:tc>
      </w:tr>
      <w:tr>
        <w:tc>
          <w:tcPr>
            <w:tcW w:type="dxa" w:w="3024"/>
            <w:shd w:val="clear" w:fill="FFF4E0"/>
          </w:tcPr>
          <w:p>
            <w:r/>
            <w:r>
              <w:rPr>
                <w:b/>
                <w:sz w:val="17"/>
              </w:rPr>
              <w:t>Risco fiscal — atenção</w:t>
            </w:r>
          </w:p>
        </w:tc>
        <w:tc>
          <w:tcPr>
            <w:tcW w:type="dxa" w:w="2448"/>
            <w:shd w:val="clear" w:fill="FFF4E0"/>
          </w:tcPr>
          <w:p>
            <w:r/>
            <w:r>
              <w:rPr>
                <w:b/>
                <w:sz w:val="17"/>
              </w:rPr>
              <w:t>+0,069  (1/5)</w:t>
            </w:r>
          </w:p>
        </w:tc>
        <w:tc>
          <w:tcPr>
            <w:tcW w:type="dxa" w:w="2448"/>
            <w:shd w:val="clear" w:fill="FFF4E0"/>
          </w:tcPr>
          <w:p>
            <w:r/>
            <w:r>
              <w:rPr>
                <w:b/>
                <w:sz w:val="17"/>
              </w:rPr>
              <w:t>−0,238  (3/5)</w:t>
            </w:r>
          </w:p>
        </w:tc>
        <w:tc>
          <w:tcPr>
            <w:tcW w:type="dxa" w:w="1584"/>
            <w:shd w:val="clear" w:fill="FFF4E0"/>
          </w:tcPr>
          <w:p>
            <w:r/>
            <w:r>
              <w:rPr>
                <w:b/>
                <w:sz w:val="17"/>
              </w:rPr>
              <w:t>sim</w:t>
            </w:r>
          </w:p>
        </w:tc>
      </w:tr>
      <w:tr>
        <w:tc>
          <w:tcPr>
            <w:tcW w:type="dxa" w:w="3024"/>
          </w:tcPr>
          <w:p>
            <w:r/>
            <w:r>
              <w:rPr>
                <w:sz w:val="17"/>
              </w:rPr>
              <w:t>Risco fiscal — surpresa</w:t>
            </w:r>
          </w:p>
        </w:tc>
        <w:tc>
          <w:tcPr>
            <w:tcW w:type="dxa" w:w="2448"/>
          </w:tcPr>
          <w:p>
            <w:r/>
            <w:r>
              <w:rPr>
                <w:sz w:val="17"/>
              </w:rPr>
              <w:t>+0,001  (3/5)</w:t>
            </w:r>
          </w:p>
        </w:tc>
        <w:tc>
          <w:tcPr>
            <w:tcW w:type="dxa" w:w="2448"/>
          </w:tcPr>
          <w:p>
            <w:r/>
            <w:r>
              <w:rPr>
                <w:sz w:val="17"/>
              </w:rPr>
              <w:t>+0,009  (4/5)</w:t>
            </w:r>
          </w:p>
        </w:tc>
        <w:tc>
          <w:tcPr>
            <w:tcW w:type="dxa" w:w="1584"/>
          </w:tcPr>
          <w:p>
            <w:r/>
            <w:r>
              <w:rPr>
                <w:sz w:val="17"/>
              </w:rPr>
              <w:t>não</w:t>
            </w:r>
          </w:p>
        </w:tc>
      </w:tr>
      <w:tr>
        <w:tc>
          <w:tcPr>
            <w:tcW w:type="dxa" w:w="3024"/>
          </w:tcPr>
          <w:p>
            <w:r/>
            <w:r>
              <w:rPr>
                <w:sz w:val="17"/>
              </w:rPr>
              <w:t>Risco fiscal — sentimento FinBERT</w:t>
            </w:r>
          </w:p>
        </w:tc>
        <w:tc>
          <w:tcPr>
            <w:tcW w:type="dxa" w:w="2448"/>
          </w:tcPr>
          <w:p>
            <w:r/>
            <w:r>
              <w:rPr>
                <w:sz w:val="17"/>
              </w:rPr>
              <w:t>−0,568  (3/5)</w:t>
            </w:r>
          </w:p>
        </w:tc>
        <w:tc>
          <w:tcPr>
            <w:tcW w:type="dxa" w:w="2448"/>
          </w:tcPr>
          <w:p>
            <w:r/>
            <w:r>
              <w:rPr>
                <w:sz w:val="17"/>
              </w:rPr>
              <w:t>−0,690  (1/5)</w:t>
            </w:r>
          </w:p>
        </w:tc>
        <w:tc>
          <w:tcPr>
            <w:tcW w:type="dxa" w:w="1584"/>
          </w:tcPr>
          <w:p>
            <w:r/>
            <w:r>
              <w:rPr>
                <w:sz w:val="17"/>
              </w:rPr>
              <w:t>não</w:t>
            </w:r>
          </w:p>
        </w:tc>
      </w:tr>
    </w:tbl>
    <w:p>
      <w:pPr>
        <w:spacing w:after="80"/>
      </w:pPr>
    </w:p>
    <w:p>
      <w:pPr>
        <w:spacing w:after="120" w:before="0"/>
      </w:pPr>
      <w:r>
        <w:rPr>
          <w:b w:val="0"/>
          <w:i w:val="0"/>
          <w:color w:val="6B6A66"/>
          <w:sz w:val="18"/>
        </w:rPr>
        <w:t>Entre parênteses, em quantos dos cinco folds a camada melhorou o R². Duas mudanças de veredito merecem destaque, ambas nas linhas realçadas.</w:t>
      </w:r>
    </w:p>
    <w:p>
      <w:pPr>
        <w:pStyle w:val="Heading3"/>
      </w:pPr>
      <w:r>
        <w:t>O que mudou</w:t>
      </w:r>
    </w:p>
    <w:p>
      <w:pPr>
        <w:pStyle w:val="ListBullet"/>
        <w:spacing w:after="60"/>
      </w:pPr>
      <w:r>
        <w:rPr>
          <w:b/>
          <w:sz w:val="21"/>
        </w:rPr>
        <w:t xml:space="preserve">Notícia (tom do GDELT) passou de negativa a positiva. </w:t>
      </w:r>
      <w:r>
        <w:rPr>
          <w:sz w:val="21"/>
        </w:rPr>
        <w:t>Na fonte defeituosa, Δ = −0,011 (melhora em 2 de 5 folds). Na correta, Δ = +0,045 (3 de 5). É a única camada com ganho positivo na fonte correta.</w:t>
      </w:r>
    </w:p>
    <w:p>
      <w:pPr>
        <w:pStyle w:val="ListBullet"/>
        <w:spacing w:after="60"/>
      </w:pPr>
      <w:r>
        <w:rPr>
          <w:b/>
          <w:sz w:val="21"/>
        </w:rPr>
        <w:t xml:space="preserve">Risco fiscal (atenção) passou de positiva a claramente negativa. </w:t>
      </w:r>
      <w:r>
        <w:rPr>
          <w:sz w:val="21"/>
        </w:rPr>
        <w:t>Era Δ = +0,069 — o resultado que o relatório anterior descrevia como “ganho aparente, mas inconsistente”. Na fonte correta, Δ = −0,238. O ganho aparente era artefato.</w:t>
      </w:r>
    </w:p>
    <w:p>
      <w:pPr>
        <w:pStyle w:val="Heading3"/>
      </w:pPr>
      <w:r>
        <w:t>Por que não tratamos o resultado da notícia como descoberta</w:t>
      </w:r>
    </w:p>
    <w:p>
      <w:pPr>
        <w:spacing w:after="120" w:before="0"/>
      </w:pPr>
      <w:r>
        <w:rPr>
          <w:b w:val="0"/>
          <w:i w:val="0"/>
          <w:color w:val="0B0B0B"/>
          <w:sz w:val="21"/>
        </w:rPr>
        <w:t>A tentação seria anunciar que o tom de notícia finalmente funciona. Não o faremos, por três razões concretas — e a terceira é a que mais pesa.</w:t>
      </w:r>
    </w:p>
    <w:p>
      <w:pPr>
        <w:pStyle w:val="ListBullet"/>
        <w:spacing w:after="60"/>
      </w:pPr>
      <w:r>
        <w:rPr>
          <w:b/>
          <w:sz w:val="21"/>
        </w:rPr>
        <w:t xml:space="preserve">Magnitude pequena e R² ainda negativo. </w:t>
      </w:r>
      <w:r>
        <w:rPr>
          <w:sz w:val="21"/>
        </w:rPr>
        <w:t>O modelo com notícia atinge −0,368: melhor que o baseline (−0,413), mas ainda pior que simplesmente prever a média histórica.</w:t>
      </w:r>
    </w:p>
    <w:p>
      <w:pPr>
        <w:pStyle w:val="ListBullet"/>
        <w:spacing w:after="60"/>
      </w:pPr>
      <w:r>
        <w:rPr>
          <w:b/>
          <w:sz w:val="21"/>
        </w:rPr>
        <w:t xml:space="preserve">Consistência fraca. </w:t>
      </w:r>
      <w:r>
        <w:rPr>
          <w:sz w:val="21"/>
        </w:rPr>
        <w:t>Melhora em 3 de 5 folds — dois folds pioram.</w:t>
      </w:r>
    </w:p>
    <w:p>
      <w:pPr>
        <w:pStyle w:val="ListBullet"/>
        <w:spacing w:after="60"/>
      </w:pPr>
      <w:r>
        <w:rPr>
          <w:b/>
          <w:sz w:val="21"/>
        </w:rPr>
        <w:t xml:space="preserve">Já vimos exatamente este padrão virar pó. </w:t>
      </w:r>
      <w:r>
        <w:rPr>
          <w:sz w:val="21"/>
        </w:rPr>
        <w:t>A camada de risco fiscal com FinBERT apresentou Δ = +0,073 com melhora em 3 de 5 folds quando tínhamos 12 das 15 janelas de dados. Ao completar a coleta, inverteu para −0,568. A magnitude e a contagem de folds daquele falso positivo são praticamente idênticas às deste resultado.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1F5CA8"/>
                <w:sz w:val="20"/>
              </w:rPr>
              <w:t xml:space="preserve">Critério que aplicamos a nós mesmos.  </w:t>
            </w:r>
            <w:r>
              <w:rPr>
                <w:sz w:val="19"/>
              </w:rPr>
              <w:t>Com 25 configurações testadas, um ganho de R² desta magnitude é exatamente o que se espera encontrar por acaso — é a razão de existir do Deflated Sharpe Ratio. Registramos o resultado como a camada mais promissora entre as testadas, e como candidata a reavaliação com mais dados. Não como evidência de que notícia prevê volatilidade.</w:t>
            </w:r>
          </w:p>
        </w:tc>
      </w:tr>
    </w:tbl>
    <w:p>
      <w:pPr>
        <w:spacing w:after="120"/>
      </w:pPr>
    </w:p>
    <w:p>
      <w:pPr>
        <w:pStyle w:val="Heading3"/>
      </w:pPr>
      <w:r>
        <w:t>Sobre o experimento de correção de resíduo</w:t>
      </w:r>
    </w:p>
    <w:p>
      <w:pPr>
        <w:spacing w:after="120" w:before="0"/>
      </w:pPr>
      <w:r>
        <w:rPr>
          <w:b w:val="0"/>
          <w:i w:val="0"/>
          <w:color w:val="0B0B0B"/>
          <w:sz w:val="21"/>
        </w:rPr>
        <w:t>A Seção 5.6 apontou que aquele experimento usou a persistência como base, quando na fonte correta o HAR-RV é o melhor baseline. Ele não precisa ser refeito: adicionar as camadas ao HAR-RV e ajustar tudo conjuntamente — que é exatamente o que a tabela acima faz — é a versão mais flexível e mais padrão da mesma pergunta. A correção de resíduo era um contorno necessário apenas porque a persistência não tem parâmetros aos quais somar variáveis.</w:t>
      </w:r>
    </w:p>
    <w:p>
      <w:pPr>
        <w:spacing w:after="120" w:before="0"/>
      </w:pPr>
      <w:r>
        <w:rPr>
          <w:b w:val="0"/>
          <w:i w:val="0"/>
          <w:color w:val="0B0B0B"/>
          <w:sz w:val="21"/>
        </w:rPr>
        <w:t>Um teste adicional merece registro por ser o mais direto de todos. Depois de adotar a persistência como referência, testamos as seis camadas não como substitutas do modelo, mas como correção do resíduo da persistência — a pergunta mais justa possível: “esta informação explica o que o melhor baseline ainda erra?”. Todas as seis pioraram o resultado.</w:t>
      </w:r>
    </w:p>
    <w:p>
      <w:pPr>
        <w:spacing w:after="120" w:before="0"/>
      </w:pPr>
      <w:r>
        <w:rPr>
          <w:b w:val="0"/>
          <w:i w:val="0"/>
          <w:color w:val="0B0B0B"/>
          <w:sz w:val="21"/>
        </w:rPr>
        <w:t>A interpretação é direta e vale explicitar: a persistência não tem nenhum parâmetro estimado, logo não corre risco de sobreajuste. Qualquer correção por regressão introduz variância de estimação. Se a informação adicionada não carrega sinal real, o modelo ajusta ruído — e generaliza pior. A simplicidade, aqui, não é preguiça: é a escolha estatisticamente superior.</w:t>
      </w:r>
    </w:p>
    <w:p>
      <w:pPr>
        <w:pStyle w:val="Heading2"/>
      </w:pPr>
      <w:r>
        <w:t>6.3 Credibilidade testada na dimensão certa: assimetria</w:t>
      </w:r>
    </w:p>
    <w:p>
      <w:pPr>
        <w:spacing w:after="120" w:before="0"/>
      </w:pPr>
      <w:r>
        <w:rPr>
          <w:b w:val="0"/>
          <w:i w:val="0"/>
          <w:color w:val="0B0B0B"/>
          <w:sz w:val="21"/>
        </w:rPr>
        <w:t>Como discutido na Seção 2.8, a previsão de Barro-Gordon é sobre a assimetria da distribuição, não sobre o nível de volatilidade. Refizemos o teste usando a assimetria realizada dos retornos futuros do futuro de dólar como alvo.</w:t>
      </w:r>
    </w:p>
    <w:p>
      <w:pPr>
        <w:spacing w:after="120"/>
      </w:pPr>
      <w:r>
        <w:rPr>
          <w:b w:val="0"/>
          <w:i w:val="0"/>
          <w:color w:val="0B0B0B"/>
          <w:sz w:val="21"/>
        </w:rPr>
        <w:t xml:space="preserve">A direção esperada é precisa e falseável: </w:t>
      </w:r>
      <w:r>
        <w:rPr>
          <w:b/>
          <w:i w:val="0"/>
          <w:color w:val="0B0B0B"/>
          <w:sz w:val="21"/>
        </w:rPr>
        <w:t>credibilidade baixa deveria coincidir com assimetria alta</w:t>
      </w:r>
      <w:r>
        <w:rPr>
          <w:b w:val="0"/>
          <w:i w:val="0"/>
          <w:color w:val="0B0B0B"/>
          <w:sz w:val="21"/>
        </w:rPr>
        <w:t xml:space="preserve"> (risco de depreciação concentrado à direita). Ou seja, a correlação entre θₜ e a assimetria futura deveria ser </w:t>
      </w:r>
      <w:r>
        <w:rPr>
          <w:b/>
          <w:i w:val="0"/>
          <w:color w:val="0B0B0B"/>
          <w:sz w:val="21"/>
        </w:rPr>
        <w:t>negativa</w:t>
      </w:r>
      <w:r>
        <w:rPr>
          <w:b w:val="0"/>
          <w:i w:val="0"/>
          <w:color w:val="0B0B0B"/>
          <w:sz w:val="21"/>
        </w:rPr>
        <w:t>.</w:t>
      </w:r>
    </w:p>
    <w:p>
      <w:pPr>
        <w:spacing w:after="120" w:before="0"/>
      </w:pPr>
      <w:r>
        <w:rPr>
          <w:b w:val="0"/>
          <w:i w:val="0"/>
          <w:color w:val="0B0B0B"/>
          <w:sz w:val="21"/>
        </w:rPr>
        <w:t>Um cuidado estatístico foi decisivo aqui. Janelas de assimetria futura se sobrepõem: observações consecutivas compartilham quase todos os retornos, o que infla artificialmente a significância. Reportamos as duas versões para tornar o efeito visível: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296"/>
            <w:shd w:val="clear" w:fill="2A2A28"/>
          </w:tcPr>
          <w:p>
            <w:r/>
            <w:r>
              <w:rPr>
                <w:b/>
                <w:color w:val="FFFFFF"/>
                <w:sz w:val="17"/>
              </w:rPr>
              <w:t>Horizonte</w:t>
            </w:r>
          </w:p>
        </w:tc>
        <w:tc>
          <w:tcPr>
            <w:tcW w:type="dxa" w:w="2736"/>
            <w:shd w:val="clear" w:fill="2A2A28"/>
          </w:tcPr>
          <w:p>
            <w:r/>
            <w:r>
              <w:rPr>
                <w:b/>
                <w:color w:val="FFFFFF"/>
                <w:sz w:val="17"/>
              </w:rPr>
              <w:t>Janelas sobrepostas (p inflado)</w:t>
            </w:r>
          </w:p>
        </w:tc>
        <w:tc>
          <w:tcPr>
            <w:tcW w:type="dxa" w:w="3168"/>
            <w:shd w:val="clear" w:fill="2A2A28"/>
          </w:tcPr>
          <w:p>
            <w:r/>
            <w:r>
              <w:rPr>
                <w:b/>
                <w:color w:val="FFFFFF"/>
                <w:sz w:val="17"/>
              </w:rPr>
              <w:t>Janelas independentes (válido)</w:t>
            </w:r>
          </w:p>
        </w:tc>
        <w:tc>
          <w:tcPr>
            <w:tcW w:type="dxa" w:w="2016"/>
            <w:shd w:val="clear" w:fill="2A2A28"/>
          </w:tcPr>
          <w:p>
            <w:r/>
            <w:r>
              <w:rPr>
                <w:b/>
                <w:color w:val="FFFFFF"/>
                <w:sz w:val="17"/>
              </w:rPr>
              <w:t>Sinal</w:t>
            </w:r>
          </w:p>
        </w:tc>
      </w:tr>
      <w:tr>
        <w:tc>
          <w:tcPr>
            <w:tcW w:type="dxa" w:w="1296"/>
          </w:tcPr>
          <w:p>
            <w:r/>
            <w:r>
              <w:rPr>
                <w:sz w:val="17"/>
              </w:rPr>
              <w:t>10 dias</w:t>
            </w:r>
          </w:p>
        </w:tc>
        <w:tc>
          <w:tcPr>
            <w:tcW w:type="dxa" w:w="2736"/>
          </w:tcPr>
          <w:p>
            <w:r/>
            <w:r>
              <w:rPr>
                <w:sz w:val="17"/>
              </w:rPr>
              <w:t>r = 0,158  (p = 0,000)</w:t>
            </w:r>
          </w:p>
        </w:tc>
        <w:tc>
          <w:tcPr>
            <w:tcW w:type="dxa" w:w="3168"/>
          </w:tcPr>
          <w:p>
            <w:r/>
            <w:r>
              <w:rPr>
                <w:sz w:val="17"/>
              </w:rPr>
              <w:t>r = 0,172  (p = 0,140, n = 75)</w:t>
            </w:r>
          </w:p>
        </w:tc>
        <w:tc>
          <w:tcPr>
            <w:tcW w:type="dxa" w:w="2016"/>
          </w:tcPr>
          <w:p>
            <w:r/>
            <w:r>
              <w:rPr>
                <w:sz w:val="17"/>
              </w:rPr>
              <w:t>contrária à teoria</w:t>
            </w:r>
          </w:p>
        </w:tc>
      </w:tr>
      <w:tr>
        <w:tc>
          <w:tcPr>
            <w:tcW w:type="dxa" w:w="1296"/>
          </w:tcPr>
          <w:p>
            <w:r/>
            <w:r>
              <w:rPr>
                <w:sz w:val="17"/>
              </w:rPr>
              <w:t>21 dias</w:t>
            </w:r>
          </w:p>
        </w:tc>
        <w:tc>
          <w:tcPr>
            <w:tcW w:type="dxa" w:w="2736"/>
          </w:tcPr>
          <w:p>
            <w:r/>
            <w:r>
              <w:rPr>
                <w:sz w:val="17"/>
              </w:rPr>
              <w:t>r = 0,024  (p = 0,517)</w:t>
            </w:r>
          </w:p>
        </w:tc>
        <w:tc>
          <w:tcPr>
            <w:tcW w:type="dxa" w:w="3168"/>
          </w:tcPr>
          <w:p>
            <w:r/>
            <w:r>
              <w:rPr>
                <w:sz w:val="17"/>
              </w:rPr>
              <w:t>r = −0,002  (p = 0,993, n = 36)</w:t>
            </w:r>
          </w:p>
        </w:tc>
        <w:tc>
          <w:tcPr>
            <w:tcW w:type="dxa" w:w="2016"/>
          </w:tcPr>
          <w:p>
            <w:r/>
            <w:r>
              <w:rPr>
                <w:sz w:val="17"/>
              </w:rPr>
              <w:t>a favor da teoria</w:t>
            </w:r>
          </w:p>
        </w:tc>
      </w:tr>
      <w:tr>
        <w:tc>
          <w:tcPr>
            <w:tcW w:type="dxa" w:w="1296"/>
          </w:tcPr>
          <w:p>
            <w:r/>
            <w:r>
              <w:rPr>
                <w:sz w:val="17"/>
              </w:rPr>
              <w:t>42 dias</w:t>
            </w:r>
          </w:p>
        </w:tc>
        <w:tc>
          <w:tcPr>
            <w:tcW w:type="dxa" w:w="2736"/>
          </w:tcPr>
          <w:p>
            <w:r/>
            <w:r>
              <w:rPr>
                <w:sz w:val="17"/>
              </w:rPr>
              <w:t>r = −0,221  (p = 0,000)</w:t>
            </w:r>
          </w:p>
        </w:tc>
        <w:tc>
          <w:tcPr>
            <w:tcW w:type="dxa" w:w="3168"/>
          </w:tcPr>
          <w:p>
            <w:r/>
            <w:r>
              <w:rPr>
                <w:sz w:val="17"/>
              </w:rPr>
              <w:t>r = −0,150  (p = 0,552, n = 18)</w:t>
            </w:r>
          </w:p>
        </w:tc>
        <w:tc>
          <w:tcPr>
            <w:tcW w:type="dxa" w:w="2016"/>
          </w:tcPr>
          <w:p>
            <w:r/>
            <w:r>
              <w:rPr>
                <w:sz w:val="17"/>
              </w:rPr>
              <w:t>a favor da teoria</w:t>
            </w:r>
          </w:p>
        </w:tc>
      </w:tr>
    </w:tbl>
    <w:p>
      <w:pPr>
        <w:spacing w:after="80"/>
      </w:pPr>
    </w:p>
    <w:p>
      <w:pPr>
        <w:spacing w:after="120" w:before="0"/>
      </w:pPr>
      <w:r>
        <w:rPr>
          <w:b w:val="0"/>
          <w:i w:val="0"/>
          <w:color w:val="0B0B0B"/>
          <w:sz w:val="21"/>
        </w:rPr>
        <w:t>Duas leituras se impõem. Primeiro, a armadilha estatística: em 10 e 42 dias, as janelas sobrepostas produzem p-valores abaixo de 0,001 — aparentemente conclusivos. Com janelas independentes, nenhum horizonte atinge significância. Se tivéssemos reportado apenas a primeira coluna, teríamos anunciado uma descoberta inexistente.</w:t>
      </w:r>
    </w:p>
    <w:p>
      <w:pPr>
        <w:spacing w:after="120" w:before="0"/>
      </w:pPr>
      <w:r>
        <w:rPr>
          <w:b w:val="0"/>
          <w:i w:val="0"/>
          <w:color w:val="0B0B0B"/>
          <w:sz w:val="21"/>
        </w:rPr>
        <w:t>Segundo, o resultado substantivo: não há evidência confiável em nenhuma direção. Os sinais sequer são consistentes entre horizontes — positivo em 10 dias, nulo em 21, negativo em 42 —, que é a assinatura típica de ruído. Com 18 a 75 janelas independentes, o poder estatístico é baixo demais para detectar um efeito moderado.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1F5CA8"/>
                <w:sz w:val="20"/>
              </w:rPr>
              <w:t xml:space="preserve">Status revisado da camada de credibilidade.  </w:t>
            </w:r>
            <w:r>
              <w:rPr>
                <w:sz w:val="19"/>
              </w:rPr>
              <w:t>Sai de “refutada” para “testada na dimensão correta, sem evidência detectável nesta amostra”. A distinção é relevante: não encontramos suporte para a hipótese, mas também não a refutamos — o teste decisivo, sobre skew implícito, permanece inviável por falta de histórico da superfície de volatilidade.</w:t>
            </w:r>
          </w:p>
        </w:tc>
      </w:tr>
    </w:tbl>
    <w:p>
      <w:pPr>
        <w:spacing w:after="120"/>
      </w:pPr>
    </w:p>
    <w:p>
      <w:pPr>
        <w:pStyle w:val="Heading2"/>
      </w:pPr>
      <w:r>
        <w:t>6.4 Backtest de P&amp;L e por que ele não deve ser levado a sério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Advertência necessária.  </w:t>
            </w:r>
            <w:r>
              <w:rPr>
                <w:sz w:val="19"/>
              </w:rPr>
              <w:t>A B3 publica apenas o snapshot do dia da superfície de volatilidade, sem histórico para download. Existe UM único dia de IV real em todo o projeto. A IV de entrada de cada operação simulada é uma proxy: a RV recente multiplicada por um prêmio de risco fixo calibrado nesse único dia. Qualquer número de Sharpe ou taxa de acerto daí é ilustrativo do motor, não evidência de lucro.</w:t>
            </w:r>
          </w:p>
        </w:tc>
      </w:tr>
    </w:tbl>
    <w:p>
      <w:pPr>
        <w:spacing w:after="120"/>
      </w:pPr>
    </w:p>
    <w:p>
      <w:pPr>
        <w:spacing w:after="120" w:before="0"/>
      </w:pPr>
      <w:r>
        <w:rPr>
          <w:b w:val="0"/>
          <w:i w:val="0"/>
          <w:color w:val="0B0B0B"/>
          <w:sz w:val="21"/>
        </w:rPr>
        <w:t>Essa limitação produziu um efeito instrutivo. Ao trocar o modelo de previsão pelo que tinha melhor R², o backtest piorou — resultado aparentemente contraditório. A investigação revelou a causa: a previsão por persistência e a IV proxy têm correlação de 0,994, porque a proxy é construída como múltiplo constante da própria RV recente. O spread que decide comprar ou vender é dominado por uma constante multiplicativa, e o momento exato em que ele cruza a banda passa a ser ditado por ruído de curtíssimo prazo.</w:t>
      </w:r>
    </w:p>
    <w:p>
      <w:pPr>
        <w:spacing w:after="120" w:before="0"/>
      </w:pPr>
      <w:r>
        <w:rPr>
          <w:b w:val="0"/>
          <w:i w:val="0"/>
          <w:color w:val="0B0B0B"/>
          <w:sz w:val="21"/>
        </w:rPr>
        <w:t>A conclusão metodológica é que o Sharpe deste backtest não deve ser usado para escolher entre modelos enquanto não houver IV histórica real. O R², medido contra o valor efetivamente realizado, é a única métrica confiável do projeto hoje.</w:t>
      </w:r>
    </w:p>
    <w:p>
      <w:pPr>
        <w:pStyle w:val="Heading3"/>
      </w:pPr>
      <w:r>
        <w:t>Reexecução com volatilidade implícita real</w:t>
      </w:r>
    </w:p>
    <w:p>
      <w:pPr>
        <w:spacing w:after="120" w:before="0"/>
      </w:pPr>
      <w:r>
        <w:rPr>
          <w:b w:val="0"/>
          <w:i w:val="0"/>
          <w:color w:val="0B0B0B"/>
          <w:sz w:val="21"/>
        </w:rPr>
        <w:t>A série reconstruída na Seção 6.7 permitiu rodar este backtest com implícita real pela primeira vez. A sobreposição entre previsão fora da amostra e IV disponível é de apenas 46 pregões, o que limita a simulação a 21 operações — amostra pequena demais para conclusão sobre lucratividade. O que ela mostra é outra coisa, e é relevante.</w:t>
      </w:r>
    </w:p>
    <w:tbl>
      <w:tblPr>
        <w:tblStyle w:val="TableGrid"/>
        <w:tblW w:type="auto" w:w="0"/>
        <w:jc w:val="center"/>
        <w:tblLook w:firstColumn="1" w:firstRow="1" w:lastColumn="0" w:lastRow="0" w:noHBand="0" w:noVBand="1" w:val="04A0"/>
      </w:tblPr>
      <w:tblGrid>
        <w:gridCol w:w="3211"/>
        <w:gridCol w:w="3211"/>
        <w:gridCol w:w="3211"/>
      </w:tblGrid>
      <w:tr>
        <w:tc>
          <w:tcPr>
            <w:tcW w:type="dxa" w:w="3168"/>
            <w:shd w:val="clear" w:fill="2A2A28"/>
          </w:tcPr>
          <w:p>
            <w:r/>
            <w:r>
              <w:rPr>
                <w:b/>
                <w:color w:val="FFFFFF"/>
                <w:sz w:val="18"/>
              </w:rPr>
              <w:t>Métrica</w:t>
            </w:r>
          </w:p>
        </w:tc>
        <w:tc>
          <w:tcPr>
            <w:tcW w:type="dxa" w:w="2736"/>
            <w:shd w:val="clear" w:fill="2A2A28"/>
          </w:tcPr>
          <w:p>
            <w:r/>
            <w:r>
              <w:rPr>
                <w:b/>
                <w:color w:val="FFFFFF"/>
                <w:sz w:val="18"/>
              </w:rPr>
              <w:t>IV real (negócios)</w:t>
            </w:r>
          </w:p>
        </w:tc>
        <w:tc>
          <w:tcPr>
            <w:tcW w:type="dxa" w:w="2880"/>
            <w:shd w:val="clear" w:fill="2A2A28"/>
          </w:tcPr>
          <w:p>
            <w:r/>
            <w:r>
              <w:rPr>
                <w:b/>
                <w:color w:val="FFFFFF"/>
                <w:sz w:val="18"/>
              </w:rPr>
              <w:t>IV proxy (RV × 1,29)</w:t>
            </w:r>
          </w:p>
        </w:tc>
      </w:tr>
      <w:tr>
        <w:tc>
          <w:tcPr>
            <w:tcW w:type="dxa" w:w="3168"/>
          </w:tcPr>
          <w:p>
            <w:r/>
            <w:r>
              <w:rPr>
                <w:sz w:val="18"/>
              </w:rPr>
              <w:t>Operações</w:t>
            </w:r>
          </w:p>
        </w:tc>
        <w:tc>
          <w:tcPr>
            <w:tcW w:type="dxa" w:w="2736"/>
          </w:tcPr>
          <w:p>
            <w:r/>
            <w:r>
              <w:rPr>
                <w:sz w:val="18"/>
              </w:rPr>
              <w:t>21</w:t>
            </w:r>
          </w:p>
        </w:tc>
        <w:tc>
          <w:tcPr>
            <w:tcW w:type="dxa" w:w="2880"/>
          </w:tcPr>
          <w:p>
            <w:r/>
            <w:r>
              <w:rPr>
                <w:sz w:val="18"/>
              </w:rPr>
              <w:t>26</w:t>
            </w:r>
          </w:p>
        </w:tc>
      </w:tr>
      <w:tr>
        <w:tc>
          <w:tcPr>
            <w:tcW w:type="dxa" w:w="3168"/>
            <w:shd w:val="clear" w:fill="FFF4E0"/>
          </w:tcPr>
          <w:p>
            <w:r/>
            <w:r>
              <w:rPr>
                <w:b/>
                <w:sz w:val="18"/>
              </w:rPr>
              <w:t>Compra / venda de vol</w:t>
            </w:r>
          </w:p>
        </w:tc>
        <w:tc>
          <w:tcPr>
            <w:tcW w:type="dxa" w:w="2736"/>
            <w:shd w:val="clear" w:fill="FFF4E0"/>
          </w:tcPr>
          <w:p>
            <w:r/>
            <w:r>
              <w:rPr>
                <w:b/>
                <w:sz w:val="18"/>
              </w:rPr>
              <w:t>4 / 17</w:t>
            </w:r>
          </w:p>
        </w:tc>
        <w:tc>
          <w:tcPr>
            <w:tcW w:type="dxa" w:w="2880"/>
            <w:shd w:val="clear" w:fill="FFF4E0"/>
          </w:tcPr>
          <w:p>
            <w:r/>
            <w:r>
              <w:rPr>
                <w:b/>
                <w:sz w:val="18"/>
              </w:rPr>
              <w:t>0 / 26</w:t>
            </w:r>
          </w:p>
        </w:tc>
      </w:tr>
      <w:tr>
        <w:tc>
          <w:tcPr>
            <w:tcW w:type="dxa" w:w="3168"/>
            <w:shd w:val="clear" w:fill="FFF4E0"/>
          </w:tcPr>
          <w:p>
            <w:r/>
            <w:r>
              <w:rPr>
                <w:b/>
                <w:sz w:val="18"/>
              </w:rPr>
              <w:t>P&amp;L bruto, sem custos</w:t>
            </w:r>
          </w:p>
        </w:tc>
        <w:tc>
          <w:tcPr>
            <w:tcW w:type="dxa" w:w="2736"/>
            <w:shd w:val="clear" w:fill="FFF4E0"/>
          </w:tcPr>
          <w:p>
            <w:r/>
            <w:r>
              <w:rPr>
                <w:b/>
                <w:sz w:val="18"/>
              </w:rPr>
              <w:t>−45024</w:t>
            </w:r>
          </w:p>
        </w:tc>
        <w:tc>
          <w:tcPr>
            <w:tcW w:type="dxa" w:w="2880"/>
            <w:shd w:val="clear" w:fill="FFF4E0"/>
          </w:tcPr>
          <w:p>
            <w:r/>
            <w:r>
              <w:rPr>
                <w:b/>
                <w:sz w:val="18"/>
              </w:rPr>
              <w:t>−50904</w:t>
            </w:r>
          </w:p>
        </w:tc>
      </w:tr>
      <w:tr>
        <w:tc>
          <w:tcPr>
            <w:tcW w:type="dxa" w:w="3168"/>
          </w:tcPr>
          <w:p>
            <w:r/>
            <w:r>
              <w:rPr>
                <w:sz w:val="18"/>
              </w:rPr>
              <w:t>P&amp;L líquido</w:t>
            </w:r>
          </w:p>
        </w:tc>
        <w:tc>
          <w:tcPr>
            <w:tcW w:type="dxa" w:w="2736"/>
          </w:tcPr>
          <w:p>
            <w:r/>
            <w:r>
              <w:rPr>
                <w:sz w:val="18"/>
              </w:rPr>
              <w:t>−62796</w:t>
            </w:r>
          </w:p>
        </w:tc>
        <w:tc>
          <w:tcPr>
            <w:tcW w:type="dxa" w:w="2880"/>
          </w:tcPr>
          <w:p>
            <w:r/>
            <w:r>
              <w:rPr>
                <w:sz w:val="18"/>
              </w:rPr>
              <w:t>−76985</w:t>
            </w:r>
          </w:p>
        </w:tc>
      </w:tr>
      <w:tr>
        <w:tc>
          <w:tcPr>
            <w:tcW w:type="dxa" w:w="3168"/>
          </w:tcPr>
          <w:p>
            <w:r/>
            <w:r>
              <w:rPr>
                <w:sz w:val="18"/>
              </w:rPr>
              <w:t>Sharpe</w:t>
            </w:r>
          </w:p>
        </w:tc>
        <w:tc>
          <w:tcPr>
            <w:tcW w:type="dxa" w:w="2736"/>
          </w:tcPr>
          <w:p>
            <w:r/>
            <w:r>
              <w:rPr>
                <w:sz w:val="18"/>
              </w:rPr>
              <w:t>−0,328</w:t>
            </w:r>
          </w:p>
        </w:tc>
        <w:tc>
          <w:tcPr>
            <w:tcW w:type="dxa" w:w="2880"/>
          </w:tcPr>
          <w:p>
            <w:r/>
            <w:r>
              <w:rPr>
                <w:sz w:val="18"/>
              </w:rPr>
              <w:t>−0,262</w:t>
            </w:r>
          </w:p>
        </w:tc>
      </w:tr>
    </w:tbl>
    <w:p>
      <w:pPr>
        <w:spacing w:after="80"/>
      </w:pPr>
    </w:p>
    <w:p>
      <w:pPr>
        <w:spacing w:after="120" w:before="0"/>
      </w:pPr>
      <w:r>
        <w:rPr>
          <w:b w:val="0"/>
          <w:i w:val="0"/>
          <w:color w:val="0B0B0B"/>
          <w:sz w:val="21"/>
        </w:rPr>
        <w:t>O ganho é qualitativo e confirma o diagnóstico da colinearidade: com implícita real o sinal é BILATERAL (4 compras e 17 vendas de volatilidade), enquanto com a proxy ele é degenerado — 26 vendas e nenhuma compra. A proxy nunca poderia gerar sinal de compra, porque é a própria RV multiplicada por uma constante maior que um.</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O que a decomposição de custos revela.  </w:t>
            </w:r>
            <w:r>
              <w:rPr>
                <w:sz w:val="19"/>
              </w:rPr>
              <w:t>A estratégia perde ANTES dos custos: o P&amp;L bruto com spread zerado já é negativo. A hipótese de que o prêmio medido de 1,079 seria insuficiente para cobrir os 5% de custo estava errada — os custos agravam, mas não explicam. O sinal erra o lado, o que é coerente com uma previsão de R² negativo sendo comparada contra uma implícita informativa.</w:t>
            </w:r>
          </w:p>
        </w:tc>
      </w:tr>
    </w:tbl>
    <w:p>
      <w:pPr>
        <w:spacing w:after="120"/>
      </w:pPr>
    </w:p>
    <w:p>
      <w:pPr>
        <w:pStyle w:val="Heading2"/>
      </w:pPr>
      <w:r>
        <w:t>6.5 Por que R² e taxa de acerto podem discordar</w:t>
      </w:r>
    </w:p>
    <w:p>
      <w:pPr>
        <w:spacing w:after="120" w:before="0"/>
      </w:pPr>
      <w:r>
        <w:rPr>
          <w:b w:val="0"/>
          <w:i w:val="0"/>
          <w:color w:val="0B0B0B"/>
          <w:sz w:val="21"/>
        </w:rPr>
        <w:t>Vale explicitar essa distinção, porque ela é fonte recorrente de leitura equivocada em estratégias quantitativas. As duas métricas são calculadas sobre conjuntos diferentes:</w:t>
      </w:r>
    </w:p>
    <w:p>
      <w:pPr>
        <w:pStyle w:val="ListBullet"/>
        <w:spacing w:after="60"/>
      </w:pPr>
      <w:r>
        <w:rPr>
          <w:b/>
          <w:sz w:val="21"/>
        </w:rPr>
        <w:t xml:space="preserve">R² — todos os dias da amostra. </w:t>
      </w:r>
      <w:r>
        <w:rPr>
          <w:sz w:val="21"/>
        </w:rPr>
        <w:t>Mede se, em média ao longo de todo o período, a previsão ficou próxima do valor real.</w:t>
      </w:r>
    </w:p>
    <w:p>
      <w:pPr>
        <w:pStyle w:val="ListBullet"/>
        <w:spacing w:after="60"/>
      </w:pPr>
      <w:r>
        <w:rPr>
          <w:b/>
          <w:sz w:val="21"/>
        </w:rPr>
        <w:t xml:space="preserve">Taxa de acerto — apenas os dias com operação. </w:t>
      </w:r>
      <w:r>
        <w:rPr>
          <w:sz w:val="21"/>
        </w:rPr>
        <w:t>Um subconjunto pequeno e não aleatório, selecionado por um limiar. Ser bom na média não garante nada sobre esse recorte específico.</w:t>
      </w:r>
    </w:p>
    <w:p>
      <w:pPr>
        <w:spacing w:after="120" w:before="0"/>
      </w:pPr>
      <w:r>
        <w:rPr>
          <w:b w:val="0"/>
          <w:i w:val="0"/>
          <w:color w:val="0B0B0B"/>
          <w:sz w:val="21"/>
        </w:rPr>
        <w:t>Um previsor com boa acurácia média pode disparar operações justamente nos momentos em que a volatilidade está temporariamente inflada e prestes a reverter. É por isso que um R² melhor pode conviver com uma taxa de acerto pior — e por que reportar apenas a segunda seria enganoso.</w:t>
      </w:r>
    </w:p>
    <w:p>
      <w:pPr>
        <w:pStyle w:val="Heading2"/>
      </w:pPr>
      <w:r>
        <w:t>6.6 Amostra estendida: por que 2.135 pregões não viram o número principal</w:t>
      </w:r>
    </w:p>
    <w:p>
      <w:pPr>
        <w:spacing w:after="120" w:before="0"/>
      </w:pPr>
      <w:r>
        <w:rPr>
          <w:b w:val="0"/>
          <w:i w:val="0"/>
          <w:color w:val="0B0B0B"/>
          <w:sz w:val="21"/>
        </w:rPr>
        <w:t>A amostra do futuro foi estendida retroativamente de 830 para 2135 pregões (início em 2018-01-02), o que leva as janelas independentes de 21 dias de 39 para 101. O efeito sobre o R² é espetacular — e enganoso.</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872"/>
            <w:shd w:val="clear" w:fill="2A2A28"/>
          </w:tcPr>
          <w:p>
            <w:r/>
            <w:r>
              <w:rPr>
                <w:b/>
                <w:color w:val="FFFFFF"/>
                <w:sz w:val="18"/>
              </w:rPr>
              <w:t>Horizonte</w:t>
            </w:r>
          </w:p>
        </w:tc>
        <w:tc>
          <w:tcPr>
            <w:tcW w:type="dxa" w:w="2448"/>
            <w:shd w:val="clear" w:fill="2A2A28"/>
          </w:tcPr>
          <w:p>
            <w:r/>
            <w:r>
              <w:rPr>
                <w:b/>
                <w:color w:val="FFFFFF"/>
                <w:sz w:val="18"/>
              </w:rPr>
              <w:t>Modelo</w:t>
            </w:r>
          </w:p>
        </w:tc>
        <w:tc>
          <w:tcPr>
            <w:tcW w:type="dxa" w:w="2592"/>
            <w:shd w:val="clear" w:fill="2A2A28"/>
          </w:tcPr>
          <w:p>
            <w:r/>
            <w:r>
              <w:rPr>
                <w:b/>
                <w:color w:val="FFFFFF"/>
                <w:sz w:val="18"/>
              </w:rPr>
              <w:t>Amostra original</w:t>
            </w:r>
          </w:p>
        </w:tc>
        <w:tc>
          <w:tcPr>
            <w:tcW w:type="dxa" w:w="2592"/>
            <w:shd w:val="clear" w:fill="2A2A28"/>
          </w:tcPr>
          <w:p>
            <w:r/>
            <w:r>
              <w:rPr>
                <w:b/>
                <w:color w:val="FFFFFF"/>
                <w:sz w:val="18"/>
              </w:rPr>
              <w:t>Amostra estendida</w:t>
            </w:r>
          </w:p>
        </w:tc>
      </w:tr>
      <w:tr>
        <w:tc>
          <w:tcPr>
            <w:tcW w:type="dxa" w:w="1872"/>
          </w:tcPr>
          <w:p>
            <w:r/>
            <w:r>
              <w:rPr>
                <w:sz w:val="18"/>
              </w:rPr>
              <w:t>1 dia</w:t>
            </w:r>
          </w:p>
        </w:tc>
        <w:tc>
          <w:tcPr>
            <w:tcW w:type="dxa" w:w="2448"/>
          </w:tcPr>
          <w:p>
            <w:r/>
            <w:r>
              <w:rPr>
                <w:sz w:val="18"/>
              </w:rPr>
              <w:t>HAR-RV</w:t>
            </w:r>
          </w:p>
        </w:tc>
        <w:tc>
          <w:tcPr>
            <w:tcW w:type="dxa" w:w="2592"/>
          </w:tcPr>
          <w:p>
            <w:r/>
            <w:r>
              <w:rPr>
                <w:sz w:val="18"/>
              </w:rPr>
              <w:t>+0,049</w:t>
            </w:r>
          </w:p>
        </w:tc>
        <w:tc>
          <w:tcPr>
            <w:tcW w:type="dxa" w:w="2592"/>
          </w:tcPr>
          <w:p>
            <w:r/>
            <w:r>
              <w:rPr>
                <w:sz w:val="18"/>
              </w:rPr>
              <w:t>+0,243</w:t>
            </w:r>
          </w:p>
        </w:tc>
      </w:tr>
      <w:tr>
        <w:tc>
          <w:tcPr>
            <w:tcW w:type="dxa" w:w="1872"/>
          </w:tcPr>
          <w:p>
            <w:r/>
            <w:r>
              <w:rPr>
                <w:sz w:val="18"/>
              </w:rPr>
              <w:t>1 dia</w:t>
            </w:r>
          </w:p>
        </w:tc>
        <w:tc>
          <w:tcPr>
            <w:tcW w:type="dxa" w:w="2448"/>
          </w:tcPr>
          <w:p>
            <w:r/>
            <w:r>
              <w:rPr>
                <w:sz w:val="18"/>
              </w:rPr>
              <w:t>Persistência</w:t>
            </w:r>
          </w:p>
        </w:tc>
        <w:tc>
          <w:tcPr>
            <w:tcW w:type="dxa" w:w="2592"/>
          </w:tcPr>
          <w:p>
            <w:r/>
            <w:r>
              <w:rPr>
                <w:sz w:val="18"/>
              </w:rPr>
              <w:t>−0,022</w:t>
            </w:r>
          </w:p>
        </w:tc>
        <w:tc>
          <w:tcPr>
            <w:tcW w:type="dxa" w:w="2592"/>
          </w:tcPr>
          <w:p>
            <w:r/>
            <w:r>
              <w:rPr>
                <w:sz w:val="18"/>
              </w:rPr>
              <w:t>+0,218</w:t>
            </w:r>
          </w:p>
        </w:tc>
      </w:tr>
      <w:tr>
        <w:tc>
          <w:tcPr>
            <w:tcW w:type="dxa" w:w="1872"/>
            <w:shd w:val="clear" w:fill="FFF4E0"/>
          </w:tcPr>
          <w:p>
            <w:r/>
            <w:r>
              <w:rPr>
                <w:b/>
                <w:sz w:val="18"/>
              </w:rPr>
              <w:t>21 dias</w:t>
            </w:r>
          </w:p>
        </w:tc>
        <w:tc>
          <w:tcPr>
            <w:tcW w:type="dxa" w:w="2448"/>
            <w:shd w:val="clear" w:fill="FFF4E0"/>
          </w:tcPr>
          <w:p>
            <w:r/>
            <w:r>
              <w:rPr>
                <w:b/>
                <w:sz w:val="18"/>
              </w:rPr>
              <w:t>HAR-RV</w:t>
            </w:r>
          </w:p>
        </w:tc>
        <w:tc>
          <w:tcPr>
            <w:tcW w:type="dxa" w:w="2592"/>
            <w:shd w:val="clear" w:fill="FFF4E0"/>
          </w:tcPr>
          <w:p>
            <w:r/>
            <w:r>
              <w:rPr>
                <w:b/>
                <w:sz w:val="18"/>
              </w:rPr>
              <w:t>−0,255</w:t>
            </w:r>
          </w:p>
        </w:tc>
        <w:tc>
          <w:tcPr>
            <w:tcW w:type="dxa" w:w="2592"/>
            <w:shd w:val="clear" w:fill="FFF4E0"/>
          </w:tcPr>
          <w:p>
            <w:r/>
            <w:r>
              <w:rPr>
                <w:b/>
                <w:sz w:val="18"/>
              </w:rPr>
              <w:t>+0,381</w:t>
            </w:r>
          </w:p>
        </w:tc>
      </w:tr>
      <w:tr>
        <w:tc>
          <w:tcPr>
            <w:tcW w:type="dxa" w:w="1872"/>
            <w:shd w:val="clear" w:fill="FFF4E0"/>
          </w:tcPr>
          <w:p>
            <w:r/>
            <w:r>
              <w:rPr>
                <w:b/>
                <w:sz w:val="18"/>
              </w:rPr>
              <w:t>21 dias</w:t>
            </w:r>
          </w:p>
        </w:tc>
        <w:tc>
          <w:tcPr>
            <w:tcW w:type="dxa" w:w="2448"/>
            <w:shd w:val="clear" w:fill="FFF4E0"/>
          </w:tcPr>
          <w:p>
            <w:r/>
            <w:r>
              <w:rPr>
                <w:b/>
                <w:sz w:val="18"/>
              </w:rPr>
              <w:t>Persistência</w:t>
            </w:r>
          </w:p>
        </w:tc>
        <w:tc>
          <w:tcPr>
            <w:tcW w:type="dxa" w:w="2592"/>
            <w:shd w:val="clear" w:fill="FFF4E0"/>
          </w:tcPr>
          <w:p>
            <w:r/>
            <w:r>
              <w:rPr>
                <w:b/>
                <w:sz w:val="18"/>
              </w:rPr>
              <w:t>−0,367</w:t>
            </w:r>
          </w:p>
        </w:tc>
        <w:tc>
          <w:tcPr>
            <w:tcW w:type="dxa" w:w="2592"/>
            <w:shd w:val="clear" w:fill="FFF4E0"/>
          </w:tcPr>
          <w:p>
            <w:r/>
            <w:r>
              <w:rPr>
                <w:b/>
                <w:sz w:val="18"/>
              </w:rPr>
              <w:t>+0,365</w:t>
            </w:r>
          </w:p>
        </w:tc>
      </w:tr>
    </w:tbl>
    <w:p>
      <w:pPr>
        <w:spacing w:after="80"/>
      </w:pPr>
    </w:p>
    <w:p>
      <w:pPr>
        <w:spacing w:after="120" w:before="0"/>
      </w:pPr>
      <w:r>
        <w:rPr>
          <w:b w:val="0"/>
          <w:i w:val="0"/>
          <w:color w:val="0B0B0B"/>
          <w:sz w:val="21"/>
        </w:rPr>
        <w:t>Em 21 dias o HAR-RV sai de R² negativo para fortemente positivo. Seria o resultado que resgataria o projeto — se fosse real. Não é, e a prova está na própria tabela: a persistência, que não tem um único parâmetro e portanto não pode ter aprendido nada, salta junto e na mesma magnitude.</w:t>
      </w:r>
    </w:p>
    <w:p>
      <w:pPr>
        <w:spacing w:after="120" w:before="0"/>
      </w:pPr>
      <w:r>
        <w:rPr>
          <w:b w:val="0"/>
          <w:i w:val="0"/>
          <w:color w:val="0B0B0B"/>
          <w:sz w:val="21"/>
        </w:rPr>
        <w:t>O mecanismo é o denominador. O R² mede erro contra a variância do alvo em torno da média da própria amostra. Uma amostra que atravessa regimes de volatilidade muito diferentes (2018-19, o choque de 2020, 2021-22 e 2023-26) tem variância total muito maior, e qualquer previsão razoável parece melhor contra esse denominador inflado. Dois testes adicionais confirmam: fixando o período de teste e variando apenas o treino, oito anos e meio de dados contra um só melhoram o RMSE em 1,4% e o R² permanece negativo; e a autocorrelação de cada subperíodo isolado é menor que a da amostra completa.</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Critério que passou a valer.  </w:t>
            </w:r>
            <w:r>
              <w:rPr>
                <w:sz w:val="19"/>
              </w:rPr>
              <w:t>Neste conjunto de dados, R² e testes calculados sobre a amostra agrupada não são evidência primária confiável — a mistura de regimes os infla sistematicamente. Cinco achados aparentes desta fase morreram exatamente assim. O resultado por subperíodo passou a ser o principal, e o agregado, contexto.</w:t>
            </w:r>
          </w:p>
        </w:tc>
      </w:tr>
    </w:tbl>
    <w:p>
      <w:pPr>
        <w:spacing w:after="120"/>
      </w:pP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448"/>
            <w:shd w:val="clear" w:fill="2A2A28"/>
          </w:tcPr>
          <w:p>
            <w:r/>
            <w:r>
              <w:rPr>
                <w:b/>
                <w:color w:val="FFFFFF"/>
                <w:sz w:val="18"/>
              </w:rPr>
              <w:t>Janela</w:t>
            </w:r>
          </w:p>
        </w:tc>
        <w:tc>
          <w:tcPr>
            <w:tcW w:type="dxa" w:w="1584"/>
            <w:shd w:val="clear" w:fill="2A2A28"/>
          </w:tcPr>
          <w:p>
            <w:r/>
            <w:r>
              <w:rPr>
                <w:b/>
                <w:color w:val="FFFFFF"/>
                <w:sz w:val="18"/>
              </w:rPr>
              <w:t>lag 1</w:t>
            </w:r>
          </w:p>
        </w:tc>
        <w:tc>
          <w:tcPr>
            <w:tcW w:type="dxa" w:w="1584"/>
            <w:shd w:val="clear" w:fill="2A2A28"/>
          </w:tcPr>
          <w:p>
            <w:r/>
            <w:r>
              <w:rPr>
                <w:b/>
                <w:color w:val="FFFFFF"/>
                <w:sz w:val="18"/>
              </w:rPr>
              <w:t>lag 5</w:t>
            </w:r>
          </w:p>
        </w:tc>
        <w:tc>
          <w:tcPr>
            <w:tcW w:type="dxa" w:w="1584"/>
            <w:shd w:val="clear" w:fill="2A2A28"/>
          </w:tcPr>
          <w:p>
            <w:r/>
            <w:r>
              <w:rPr>
                <w:b/>
                <w:color w:val="FFFFFF"/>
                <w:sz w:val="18"/>
              </w:rPr>
              <w:t>lag 10</w:t>
            </w:r>
          </w:p>
        </w:tc>
        <w:tc>
          <w:tcPr>
            <w:tcW w:type="dxa" w:w="1584"/>
            <w:shd w:val="clear" w:fill="2A2A28"/>
          </w:tcPr>
          <w:p>
            <w:r/>
            <w:r>
              <w:rPr>
                <w:b/>
                <w:color w:val="FFFFFF"/>
                <w:sz w:val="18"/>
              </w:rPr>
              <w:t>lag 21</w:t>
            </w:r>
          </w:p>
        </w:tc>
      </w:tr>
      <w:tr>
        <w:tc>
          <w:tcPr>
            <w:tcW w:type="dxa" w:w="2448"/>
            <w:shd w:val="clear" w:fill="FFF4E0"/>
          </w:tcPr>
          <w:p>
            <w:r/>
            <w:r>
              <w:rPr>
                <w:b/>
                <w:sz w:val="18"/>
              </w:rPr>
              <w:t>Amostra completa</w:t>
            </w:r>
          </w:p>
        </w:tc>
        <w:tc>
          <w:tcPr>
            <w:tcW w:type="dxa" w:w="1584"/>
            <w:shd w:val="clear" w:fill="FFF4E0"/>
          </w:tcPr>
          <w:p>
            <w:r/>
            <w:r>
              <w:rPr>
                <w:b/>
                <w:sz w:val="18"/>
              </w:rPr>
              <w:t>0,439</w:t>
            </w:r>
          </w:p>
        </w:tc>
        <w:tc>
          <w:tcPr>
            <w:tcW w:type="dxa" w:w="1584"/>
            <w:shd w:val="clear" w:fill="FFF4E0"/>
          </w:tcPr>
          <w:p>
            <w:r/>
            <w:r>
              <w:rPr>
                <w:b/>
                <w:sz w:val="18"/>
              </w:rPr>
              <w:t>0,259</w:t>
            </w:r>
          </w:p>
        </w:tc>
        <w:tc>
          <w:tcPr>
            <w:tcW w:type="dxa" w:w="1584"/>
            <w:shd w:val="clear" w:fill="FFF4E0"/>
          </w:tcPr>
          <w:p>
            <w:r/>
            <w:r>
              <w:rPr>
                <w:b/>
                <w:sz w:val="18"/>
              </w:rPr>
              <w:t>0,158</w:t>
            </w:r>
          </w:p>
        </w:tc>
        <w:tc>
          <w:tcPr>
            <w:tcW w:type="dxa" w:w="1584"/>
            <w:shd w:val="clear" w:fill="FFF4E0"/>
          </w:tcPr>
          <w:p>
            <w:r/>
            <w:r>
              <w:rPr>
                <w:b/>
                <w:sz w:val="18"/>
              </w:rPr>
              <w:t>0,140</w:t>
            </w:r>
          </w:p>
        </w:tc>
      </w:tr>
      <w:tr>
        <w:tc>
          <w:tcPr>
            <w:tcW w:type="dxa" w:w="2448"/>
          </w:tcPr>
          <w:p>
            <w:r/>
            <w:r>
              <w:rPr>
                <w:sz w:val="18"/>
              </w:rPr>
              <w:t>2018-2019</w:t>
            </w:r>
          </w:p>
        </w:tc>
        <w:tc>
          <w:tcPr>
            <w:tcW w:type="dxa" w:w="1584"/>
          </w:tcPr>
          <w:p>
            <w:r/>
            <w:r>
              <w:rPr>
                <w:sz w:val="18"/>
              </w:rPr>
              <w:t>0,330</w:t>
            </w:r>
          </w:p>
        </w:tc>
        <w:tc>
          <w:tcPr>
            <w:tcW w:type="dxa" w:w="1584"/>
          </w:tcPr>
          <w:p>
            <w:r/>
            <w:r>
              <w:rPr>
                <w:sz w:val="18"/>
              </w:rPr>
              <w:t>0,185</w:t>
            </w:r>
          </w:p>
        </w:tc>
        <w:tc>
          <w:tcPr>
            <w:tcW w:type="dxa" w:w="1584"/>
          </w:tcPr>
          <w:p>
            <w:r/>
            <w:r>
              <w:rPr>
                <w:sz w:val="18"/>
              </w:rPr>
              <w:t>0,081</w:t>
            </w:r>
          </w:p>
        </w:tc>
        <w:tc>
          <w:tcPr>
            <w:tcW w:type="dxa" w:w="1584"/>
          </w:tcPr>
          <w:p>
            <w:r/>
            <w:r>
              <w:rPr>
                <w:sz w:val="18"/>
              </w:rPr>
              <w:t>0,110</w:t>
            </w:r>
          </w:p>
        </w:tc>
      </w:tr>
      <w:tr>
        <w:tc>
          <w:tcPr>
            <w:tcW w:type="dxa" w:w="2448"/>
          </w:tcPr>
          <w:p>
            <w:r/>
            <w:r>
              <w:rPr>
                <w:sz w:val="18"/>
              </w:rPr>
              <w:t>2021-2022</w:t>
            </w:r>
          </w:p>
        </w:tc>
        <w:tc>
          <w:tcPr>
            <w:tcW w:type="dxa" w:w="1584"/>
          </w:tcPr>
          <w:p>
            <w:r/>
            <w:r>
              <w:rPr>
                <w:sz w:val="18"/>
              </w:rPr>
              <w:t>0,160</w:t>
            </w:r>
          </w:p>
        </w:tc>
        <w:tc>
          <w:tcPr>
            <w:tcW w:type="dxa" w:w="1584"/>
          </w:tcPr>
          <w:p>
            <w:r/>
            <w:r>
              <w:rPr>
                <w:sz w:val="18"/>
              </w:rPr>
              <w:t>0,099</w:t>
            </w:r>
          </w:p>
        </w:tc>
        <w:tc>
          <w:tcPr>
            <w:tcW w:type="dxa" w:w="1584"/>
          </w:tcPr>
          <w:p>
            <w:r/>
            <w:r>
              <w:rPr>
                <w:sz w:val="18"/>
              </w:rPr>
              <w:t>0,050</w:t>
            </w:r>
          </w:p>
        </w:tc>
        <w:tc>
          <w:tcPr>
            <w:tcW w:type="dxa" w:w="1584"/>
          </w:tcPr>
          <w:p>
            <w:r/>
            <w:r>
              <w:rPr>
                <w:sz w:val="18"/>
              </w:rPr>
              <w:t>−0,018</w:t>
            </w:r>
          </w:p>
        </w:tc>
      </w:tr>
      <w:tr>
        <w:tc>
          <w:tcPr>
            <w:tcW w:type="dxa" w:w="2448"/>
          </w:tcPr>
          <w:p>
            <w:r/>
            <w:r>
              <w:rPr>
                <w:sz w:val="18"/>
              </w:rPr>
              <w:t>2023-2026</w:t>
            </w:r>
          </w:p>
        </w:tc>
        <w:tc>
          <w:tcPr>
            <w:tcW w:type="dxa" w:w="1584"/>
          </w:tcPr>
          <w:p>
            <w:r/>
            <w:r>
              <w:rPr>
                <w:sz w:val="18"/>
              </w:rPr>
              <w:t>0,296</w:t>
            </w:r>
          </w:p>
        </w:tc>
        <w:tc>
          <w:tcPr>
            <w:tcW w:type="dxa" w:w="1584"/>
          </w:tcPr>
          <w:p>
            <w:r/>
            <w:r>
              <w:rPr>
                <w:sz w:val="18"/>
              </w:rPr>
              <w:t>0,114</w:t>
            </w:r>
          </w:p>
        </w:tc>
        <w:tc>
          <w:tcPr>
            <w:tcW w:type="dxa" w:w="1584"/>
          </w:tcPr>
          <w:p>
            <w:r/>
            <w:r>
              <w:rPr>
                <w:sz w:val="18"/>
              </w:rPr>
              <w:t>0,037</w:t>
            </w:r>
          </w:p>
        </w:tc>
        <w:tc>
          <w:tcPr>
            <w:tcW w:type="dxa" w:w="1584"/>
          </w:tcPr>
          <w:p>
            <w:r/>
            <w:r>
              <w:rPr>
                <w:sz w:val="18"/>
              </w:rPr>
              <w:t>0,033</w:t>
            </w:r>
          </w:p>
        </w:tc>
      </w:tr>
    </w:tbl>
    <w:p>
      <w:pPr>
        <w:spacing w:after="80"/>
      </w:pPr>
    </w:p>
    <w:p>
      <w:pPr>
        <w:spacing w:after="120" w:before="0"/>
      </w:pPr>
      <w:r>
        <w:rPr>
          <w:b w:val="0"/>
          <w:i w:val="0"/>
          <w:color w:val="0B0B0B"/>
          <w:sz w:val="21"/>
        </w:rPr>
        <w:t>A autocorrelação da amostra completa é maior que a de qualquer subperíodo isolado — assinatura de artefato de agregação, não de memória. E em defasagem de 21 dias nenhum subperíodo passa de valores próximos de zero, que é precisamente o diagnóstico da Seção 5.7.</w:t>
      </w:r>
    </w:p>
    <w:p>
      <w:pPr>
        <w:pStyle w:val="Heading2"/>
      </w:pPr>
      <w:r>
        <w:t>6.7 Volatilidade implícita própria, a partir de negócios reais</w:t>
      </w:r>
    </w:p>
    <w:p>
      <w:pPr>
        <w:spacing w:after="120" w:before="0"/>
      </w:pPr>
      <w:r>
        <w:rPr>
          <w:b w:val="0"/>
          <w:i w:val="0"/>
          <w:color w:val="0B0B0B"/>
          <w:sz w:val="21"/>
        </w:rPr>
        <w:t>A Seção 7.1 registra a ausência de histórico de IV como a limitação mais séria do projeto. Ela foi parcialmente superada — por um caminho diferente do previsto originalmente.</w:t>
      </w:r>
    </w:p>
    <w:p>
      <w:pPr>
        <w:spacing w:after="120" w:before="0"/>
      </w:pPr>
      <w:r>
        <w:rPr>
          <w:b w:val="0"/>
          <w:i w:val="0"/>
          <w:color w:val="0B0B0B"/>
          <w:sz w:val="21"/>
        </w:rPr>
        <w:t>O plano inicial era inverter Black-76 a partir dos preços de ajuste das opções. Esse caminho está fechado: verificamos em 2019, 2022 e 2026 que a B3 lista milhares de séries de opção de dólar e publica preço de ajuste para nenhuma delas. Não é mudança recente; é prática estrutural.</w:t>
      </w:r>
    </w:p>
    <w:p>
      <w:pPr>
        <w:spacing w:after="120" w:before="0"/>
      </w:pPr>
      <w:r>
        <w:rPr>
          <w:b w:val="0"/>
          <w:i w:val="0"/>
          <w:color w:val="0B0B0B"/>
          <w:sz w:val="21"/>
        </w:rPr>
        <w:t>O que funcionou foi inverter sobre o preço efetivamente NEGOCIADO. O resultado são 7346 negócios em 198 pregões com IV válida, cobrindo 2018-01-31 a 2023-03-27 — a primeira série histórica de volatilidade implícita própria do projeto.</w:t>
      </w:r>
    </w:p>
    <w:p>
      <w:pPr>
        <w:spacing w:after="120" w:before="0"/>
      </w:pPr>
      <w:r>
        <w:rPr>
          <w:b w:val="0"/>
          <w:i w:val="0"/>
          <w:color w:val="0B0B0B"/>
          <w:sz w:val="21"/>
        </w:rPr>
        <w:t>A consequência mais direta é sobre o backtest. A Seção 6.4 assume um prêmio de risco constante de 1,29, calibrado no único dia de superfície disponível. Medido agora contra a volatilidade efetivamente realizada, o prêmio é de 1,079 (ou 1,129 contra a RV passada), com a implícita acima da realizada em apenas 59% dos dias. A calibragem de um dia superestimava o prêmio de forma relevante.</w:t>
      </w:r>
    </w:p>
    <w:p>
      <w:pPr>
        <w:spacing w:after="120" w:before="0"/>
      </w:pPr>
      <w:r>
        <w:rPr>
          <w:b w:val="0"/>
          <w:i w:val="0"/>
          <w:color w:val="0B0B0B"/>
          <w:sz w:val="21"/>
        </w:rPr>
        <w:t>Testamos também se a IV do mercado seria um previsor melhor da RV futura do que os nossos modelos. Com 57 janelas independentes, ela NÃO é: R² de −0,068 contra +0,146 da persistência. A correlação com a RV futura é substancial (0,568), mas a IV é enviesada como previsão pontual — o achado clássico de Christensen &amp; Prabhala (1998).</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B8860B"/>
                <w:sz w:val="20"/>
              </w:rPr>
              <w:t xml:space="preserve">Registro de um falso positivo.  </w:t>
            </w:r>
            <w:r>
              <w:rPr>
                <w:sz w:val="19"/>
              </w:rPr>
              <w:t>Com apenas o bloco denso de 2018 (6 janelas independentes) a IV aparecia muito superior aos nossos modelos, e chegamos a tratar isso como inversão da premissa do projeto. Com a amostra completa o resultado se inverteu. Foi o quarto falso positivo capturado antes de virar afirmação.</w:t>
            </w:r>
          </w:p>
        </w:tc>
      </w:tr>
    </w:tbl>
    <w:p>
      <w:pPr>
        <w:spacing w:after="120"/>
      </w:pPr>
    </w:p>
    <w:p>
      <w:pPr>
        <w:pStyle w:val="Heading2"/>
      </w:pPr>
      <w:r>
        <w:t>6.8 Machine learning: gradient boosting não supera o HAR-RV</w:t>
      </w:r>
    </w:p>
    <w:p>
      <w:pPr>
        <w:spacing w:after="120" w:before="0"/>
      </w:pPr>
      <w:r>
        <w:rPr>
          <w:b w:val="0"/>
          <w:i w:val="0"/>
          <w:color w:val="0B0B0B"/>
          <w:sz w:val="21"/>
        </w:rPr>
        <w:t>A Seção 8.3 desta versão listava modelos de maior capacidade como escopo descartado conscientemente, sob o argumento de que seriam capacidade adicional onde não há sinal. O argumento foi testado e virou medição.</w:t>
      </w:r>
    </w:p>
    <w:p>
      <w:pPr>
        <w:spacing w:after="120" w:before="0"/>
      </w:pPr>
      <w:r>
        <w:rPr>
          <w:b w:val="0"/>
          <w:i w:val="0"/>
          <w:color w:val="0B0B0B"/>
          <w:sz w:val="21"/>
        </w:rPr>
        <w:t>O desenho segue Christensen, Siggaard &amp; Veliyev (2023), que obtêm ganhos de ML sobre a linhagem HAR usando apenas as defasagens diária, semanal e mensal como preditores e com ajuste mínimo de hiperparâmetros. Mantivemos as features idênticas às do HAR — isolando a forma funcional como única variável — e hiperparâmetros fixos, pré-registrados, sem busca em grade, o que também evita inflar o contador do Deflated Sharpe. Testamos dois base learners, de árvore e linear, seguindo Teller, Pigorsch &amp; Pigorsch.</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1728"/>
            <w:shd w:val="clear" w:fill="2A2A28"/>
          </w:tcPr>
          <w:p>
            <w:r/>
            <w:r>
              <w:rPr>
                <w:b/>
                <w:color w:val="FFFFFF"/>
                <w:sz w:val="18"/>
              </w:rPr>
              <w:t>Horizonte</w:t>
            </w:r>
          </w:p>
        </w:tc>
        <w:tc>
          <w:tcPr>
            <w:tcW w:type="dxa" w:w="2016"/>
            <w:shd w:val="clear" w:fill="2A2A28"/>
          </w:tcPr>
          <w:p>
            <w:r/>
            <w:r>
              <w:rPr>
                <w:b/>
                <w:color w:val="FFFFFF"/>
                <w:sz w:val="18"/>
              </w:rPr>
              <w:t>HAR-RV</w:t>
            </w:r>
          </w:p>
        </w:tc>
        <w:tc>
          <w:tcPr>
            <w:tcW w:type="dxa" w:w="2160"/>
            <w:shd w:val="clear" w:fill="2A2A28"/>
          </w:tcPr>
          <w:p>
            <w:r/>
            <w:r>
              <w:rPr>
                <w:b/>
                <w:color w:val="FFFFFF"/>
                <w:sz w:val="18"/>
              </w:rPr>
              <w:t>XGBoost linear</w:t>
            </w:r>
          </w:p>
        </w:tc>
        <w:tc>
          <w:tcPr>
            <w:tcW w:type="dxa" w:w="2160"/>
            <w:shd w:val="clear" w:fill="2A2A28"/>
          </w:tcPr>
          <w:p>
            <w:r/>
            <w:r>
              <w:rPr>
                <w:b/>
                <w:color w:val="FFFFFF"/>
                <w:sz w:val="18"/>
              </w:rPr>
              <w:t>XGBoost árvore</w:t>
            </w:r>
          </w:p>
        </w:tc>
        <w:tc>
          <w:tcPr>
            <w:tcW w:type="dxa" w:w="2160"/>
            <w:shd w:val="clear" w:fill="2A2A28"/>
          </w:tcPr>
          <w:p>
            <w:r/>
            <w:r>
              <w:rPr>
                <w:b/>
                <w:color w:val="FFFFFF"/>
                <w:sz w:val="18"/>
              </w:rPr>
              <w:t>Persistência</w:t>
            </w:r>
          </w:p>
        </w:tc>
      </w:tr>
      <w:tr>
        <w:tc>
          <w:tcPr>
            <w:tcW w:type="dxa" w:w="1728"/>
          </w:tcPr>
          <w:p>
            <w:r/>
            <w:r>
              <w:rPr>
                <w:sz w:val="18"/>
              </w:rPr>
              <w:t>1 dia(s)</w:t>
            </w:r>
          </w:p>
        </w:tc>
        <w:tc>
          <w:tcPr>
            <w:tcW w:type="dxa" w:w="2016"/>
          </w:tcPr>
          <w:p>
            <w:r/>
            <w:r>
              <w:rPr>
                <w:sz w:val="18"/>
              </w:rPr>
              <w:t>+0,243</w:t>
            </w:r>
          </w:p>
        </w:tc>
        <w:tc>
          <w:tcPr>
            <w:tcW w:type="dxa" w:w="2160"/>
          </w:tcPr>
          <w:p>
            <w:r/>
            <w:r>
              <w:rPr>
                <w:sz w:val="18"/>
              </w:rPr>
              <w:t>+0,251</w:t>
            </w:r>
          </w:p>
        </w:tc>
        <w:tc>
          <w:tcPr>
            <w:tcW w:type="dxa" w:w="2160"/>
          </w:tcPr>
          <w:p>
            <w:r/>
            <w:r>
              <w:rPr>
                <w:sz w:val="18"/>
              </w:rPr>
              <w:t>+0,220</w:t>
            </w:r>
          </w:p>
        </w:tc>
        <w:tc>
          <w:tcPr>
            <w:tcW w:type="dxa" w:w="2160"/>
          </w:tcPr>
          <w:p>
            <w:r/>
            <w:r>
              <w:rPr>
                <w:sz w:val="18"/>
              </w:rPr>
              <w:t>+0,218</w:t>
            </w:r>
          </w:p>
        </w:tc>
      </w:tr>
      <w:tr>
        <w:tc>
          <w:tcPr>
            <w:tcW w:type="dxa" w:w="1728"/>
          </w:tcPr>
          <w:p>
            <w:r/>
            <w:r>
              <w:rPr>
                <w:sz w:val="18"/>
              </w:rPr>
              <w:t>5 dia(s)</w:t>
            </w:r>
          </w:p>
        </w:tc>
        <w:tc>
          <w:tcPr>
            <w:tcW w:type="dxa" w:w="2016"/>
          </w:tcPr>
          <w:p>
            <w:r/>
            <w:r>
              <w:rPr>
                <w:sz w:val="18"/>
              </w:rPr>
              <w:t>+0,366</w:t>
            </w:r>
          </w:p>
        </w:tc>
        <w:tc>
          <w:tcPr>
            <w:tcW w:type="dxa" w:w="2160"/>
          </w:tcPr>
          <w:p>
            <w:r/>
            <w:r>
              <w:rPr>
                <w:sz w:val="18"/>
              </w:rPr>
              <w:t>+0,326</w:t>
            </w:r>
          </w:p>
        </w:tc>
        <w:tc>
          <w:tcPr>
            <w:tcW w:type="dxa" w:w="2160"/>
          </w:tcPr>
          <w:p>
            <w:r/>
            <w:r>
              <w:rPr>
                <w:sz w:val="18"/>
              </w:rPr>
              <w:t>+0,274</w:t>
            </w:r>
          </w:p>
        </w:tc>
        <w:tc>
          <w:tcPr>
            <w:tcW w:type="dxa" w:w="2160"/>
          </w:tcPr>
          <w:p>
            <w:r/>
            <w:r>
              <w:rPr>
                <w:sz w:val="18"/>
              </w:rPr>
              <w:t>+0,334</w:t>
            </w:r>
          </w:p>
        </w:tc>
      </w:tr>
      <w:tr>
        <w:tc>
          <w:tcPr>
            <w:tcW w:type="dxa" w:w="1728"/>
            <w:shd w:val="clear" w:fill="FFF4E0"/>
          </w:tcPr>
          <w:p>
            <w:r/>
            <w:r>
              <w:rPr>
                <w:b/>
                <w:sz w:val="18"/>
              </w:rPr>
              <w:t>21 dia(s)</w:t>
            </w:r>
          </w:p>
        </w:tc>
        <w:tc>
          <w:tcPr>
            <w:tcW w:type="dxa" w:w="2016"/>
            <w:shd w:val="clear" w:fill="FFF4E0"/>
          </w:tcPr>
          <w:p>
            <w:r/>
            <w:r>
              <w:rPr>
                <w:b/>
                <w:sz w:val="18"/>
              </w:rPr>
              <w:t>+0,381</w:t>
            </w:r>
          </w:p>
        </w:tc>
        <w:tc>
          <w:tcPr>
            <w:tcW w:type="dxa" w:w="2160"/>
            <w:shd w:val="clear" w:fill="FFF4E0"/>
          </w:tcPr>
          <w:p>
            <w:r/>
            <w:r>
              <w:rPr>
                <w:b/>
                <w:sz w:val="18"/>
              </w:rPr>
              <w:t>+0,292</w:t>
            </w:r>
          </w:p>
        </w:tc>
        <w:tc>
          <w:tcPr>
            <w:tcW w:type="dxa" w:w="2160"/>
            <w:shd w:val="clear" w:fill="FFF4E0"/>
          </w:tcPr>
          <w:p>
            <w:r/>
            <w:r>
              <w:rPr>
                <w:b/>
                <w:sz w:val="18"/>
              </w:rPr>
              <w:t>+0,232</w:t>
            </w:r>
          </w:p>
        </w:tc>
        <w:tc>
          <w:tcPr>
            <w:tcW w:type="dxa" w:w="2160"/>
            <w:shd w:val="clear" w:fill="FFF4E0"/>
          </w:tcPr>
          <w:p>
            <w:r/>
            <w:r>
              <w:rPr>
                <w:b/>
                <w:sz w:val="18"/>
              </w:rPr>
              <w:t>+0,365</w:t>
            </w:r>
          </w:p>
        </w:tc>
      </w:tr>
    </w:tbl>
    <w:p>
      <w:pPr>
        <w:spacing w:after="80"/>
      </w:pPr>
    </w:p>
    <w:p>
      <w:pPr>
        <w:spacing w:after="120" w:before="0"/>
      </w:pPr>
      <w:r>
        <w:rPr>
          <w:b w:val="0"/>
          <w:i w:val="0"/>
          <w:color w:val="0B0B0B"/>
          <w:sz w:val="21"/>
        </w:rPr>
        <w:t>O HAR-RV linear vence em todos os horizontes a partir de três dias. Mais informativo que o veredito é o padrão: a distância do XGBoost de árvore para o HAR cresce monotonicamente com o horizonte, acompanhando a queda do número de observações independentes de cerca de 1.760 em um dia para cerca de 101 em vinte e um. Capacidade adicional não se paga onde não há amostra que a sustente.</w:t>
      </w:r>
    </w:p>
    <w:p>
      <w:pPr>
        <w:spacing w:after="120" w:before="0"/>
      </w:pPr>
      <w:r>
        <w:rPr>
          <w:b w:val="0"/>
          <w:i w:val="0"/>
          <w:color w:val="0B0B0B"/>
          <w:sz w:val="21"/>
        </w:rPr>
        <w:t>Isso contraria o resultado de Christensen et al., que encontram ganhos maiores justamente nos horizontes longos — e a diferença de contexto explica: aquele trabalho usa um painel de constituintes do Dow Jones com variância realizada intradiária, dezenas de milhares de observações. Aqui há um ativo, com variância estimada de OHLC diário.</w:t>
      </w:r>
    </w:p>
    <w:p>
      <w:pPr>
        <w:pStyle w:val="Heading2"/>
      </w:pPr>
      <w:r>
        <w:t>6.9 Estimadores de variância: a hipótese de ruído de medição</w:t>
      </w:r>
    </w:p>
    <w:p>
      <w:pPr>
        <w:spacing w:after="120" w:before="0"/>
      </w:pPr>
      <w:r>
        <w:rPr>
          <w:b w:val="0"/>
          <w:i w:val="0"/>
          <w:color w:val="0B0B0B"/>
          <w:sz w:val="21"/>
        </w:rPr>
        <w:t>O diagnóstico da Seção 5.7 aponta ruído de medição como explicação candidata para a ausência de memória longa. Até esta fase o projeto usava apenas o estimador de Parkinson, que emprega somente máxima e mínima e assume ausência de tendência — suposição desconfortável para um ativo cujo preço de ajuste vai de cerca de 3.150 a 6.220 no período.</w:t>
      </w:r>
    </w:p>
    <w:p>
      <w:pPr>
        <w:spacing w:after="120" w:before="0"/>
      </w:pPr>
      <w:r>
        <w:rPr>
          <w:b w:val="0"/>
          <w:i w:val="0"/>
          <w:color w:val="0B0B0B"/>
          <w:sz w:val="21"/>
        </w:rPr>
        <w:t>Foram implementados e avaliados Garman-Klass (1980), Rogers-Satchell (1991, que tolera tendência), a variância de 24 horas incluindo o salto noturno, e Yang-Zhang (2000). A comparação exige cuidado: usar como alvo a variância medida por um dos candidatos favorece esse candidato por construção. Adotamos como árbitro a variância close-to-close futura, ruidosa porém não enviesada e independente do erro de medição dos estimadores de amplitude.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312"/>
            <w:shd w:val="clear" w:fill="2A2A28"/>
          </w:tcPr>
          <w:p>
            <w:r/>
            <w:r>
              <w:rPr>
                <w:b/>
                <w:color w:val="FFFFFF"/>
                <w:sz w:val="18"/>
              </w:rPr>
              <w:t>Estimador</w:t>
            </w:r>
          </w:p>
        </w:tc>
        <w:tc>
          <w:tcPr>
            <w:tcW w:type="dxa" w:w="1872"/>
            <w:shd w:val="clear" w:fill="2A2A28"/>
          </w:tcPr>
          <w:p>
            <w:r/>
            <w:r>
              <w:rPr>
                <w:b/>
                <w:color w:val="FFFFFF"/>
                <w:sz w:val="18"/>
              </w:rPr>
              <w:t>h = 1</w:t>
            </w:r>
          </w:p>
        </w:tc>
        <w:tc>
          <w:tcPr>
            <w:tcW w:type="dxa" w:w="1872"/>
            <w:shd w:val="clear" w:fill="2A2A28"/>
          </w:tcPr>
          <w:p>
            <w:r/>
            <w:r>
              <w:rPr>
                <w:b/>
                <w:color w:val="FFFFFF"/>
                <w:sz w:val="18"/>
              </w:rPr>
              <w:t>h = 5</w:t>
            </w:r>
          </w:p>
        </w:tc>
        <w:tc>
          <w:tcPr>
            <w:tcW w:type="dxa" w:w="1872"/>
            <w:shd w:val="clear" w:fill="2A2A28"/>
          </w:tcPr>
          <w:p>
            <w:r/>
            <w:r>
              <w:rPr>
                <w:b/>
                <w:color w:val="FFFFFF"/>
                <w:sz w:val="18"/>
              </w:rPr>
              <w:t>h = 21</w:t>
            </w:r>
          </w:p>
        </w:tc>
      </w:tr>
      <w:tr>
        <w:tc>
          <w:tcPr>
            <w:tcW w:type="dxa" w:w="3312"/>
          </w:tcPr>
          <w:p>
            <w:r/>
            <w:r>
              <w:rPr>
                <w:sz w:val="18"/>
              </w:rPr>
              <w:t>Parkinson (adotado)</w:t>
            </w:r>
          </w:p>
        </w:tc>
        <w:tc>
          <w:tcPr>
            <w:tcW w:type="dxa" w:w="1872"/>
          </w:tcPr>
          <w:p>
            <w:r/>
            <w:r>
              <w:rPr>
                <w:sz w:val="18"/>
              </w:rPr>
              <w:t>−0,071</w:t>
            </w:r>
          </w:p>
        </w:tc>
        <w:tc>
          <w:tcPr>
            <w:tcW w:type="dxa" w:w="1872"/>
          </w:tcPr>
          <w:p>
            <w:r/>
            <w:r>
              <w:rPr>
                <w:sz w:val="18"/>
              </w:rPr>
              <w:t>+0,210</w:t>
            </w:r>
          </w:p>
        </w:tc>
        <w:tc>
          <w:tcPr>
            <w:tcW w:type="dxa" w:w="1872"/>
          </w:tcPr>
          <w:p>
            <w:r/>
            <w:r>
              <w:rPr>
                <w:sz w:val="18"/>
              </w:rPr>
              <w:t>+0,304</w:t>
            </w:r>
          </w:p>
        </w:tc>
      </w:tr>
      <w:tr>
        <w:tc>
          <w:tcPr>
            <w:tcW w:type="dxa" w:w="3312"/>
          </w:tcPr>
          <w:p>
            <w:r/>
            <w:r>
              <w:rPr>
                <w:sz w:val="18"/>
              </w:rPr>
              <w:t>Garman-Klass</w:t>
            </w:r>
          </w:p>
        </w:tc>
        <w:tc>
          <w:tcPr>
            <w:tcW w:type="dxa" w:w="1872"/>
          </w:tcPr>
          <w:p>
            <w:r/>
            <w:r>
              <w:rPr>
                <w:sz w:val="18"/>
              </w:rPr>
              <w:t>−0,055</w:t>
            </w:r>
          </w:p>
        </w:tc>
        <w:tc>
          <w:tcPr>
            <w:tcW w:type="dxa" w:w="1872"/>
          </w:tcPr>
          <w:p>
            <w:r/>
            <w:r>
              <w:rPr>
                <w:sz w:val="18"/>
              </w:rPr>
              <w:t>+0,246</w:t>
            </w:r>
          </w:p>
        </w:tc>
        <w:tc>
          <w:tcPr>
            <w:tcW w:type="dxa" w:w="1872"/>
          </w:tcPr>
          <w:p>
            <w:r/>
            <w:r>
              <w:rPr>
                <w:sz w:val="18"/>
              </w:rPr>
              <w:t>+0,297</w:t>
            </w:r>
          </w:p>
        </w:tc>
      </w:tr>
      <w:tr>
        <w:tc>
          <w:tcPr>
            <w:tcW w:type="dxa" w:w="3312"/>
            <w:shd w:val="clear" w:fill="FFF4E0"/>
          </w:tcPr>
          <w:p>
            <w:r/>
            <w:r>
              <w:rPr>
                <w:b/>
                <w:sz w:val="18"/>
              </w:rPr>
              <w:t>Rogers-Satchell</w:t>
            </w:r>
          </w:p>
        </w:tc>
        <w:tc>
          <w:tcPr>
            <w:tcW w:type="dxa" w:w="1872"/>
            <w:shd w:val="clear" w:fill="FFF4E0"/>
          </w:tcPr>
          <w:p>
            <w:r/>
            <w:r>
              <w:rPr>
                <w:b/>
                <w:sz w:val="18"/>
              </w:rPr>
              <w:t>−0,048</w:t>
            </w:r>
          </w:p>
        </w:tc>
        <w:tc>
          <w:tcPr>
            <w:tcW w:type="dxa" w:w="1872"/>
            <w:shd w:val="clear" w:fill="FFF4E0"/>
          </w:tcPr>
          <w:p>
            <w:r/>
            <w:r>
              <w:rPr>
                <w:b/>
                <w:sz w:val="18"/>
              </w:rPr>
              <w:t>+0,254</w:t>
            </w:r>
          </w:p>
        </w:tc>
        <w:tc>
          <w:tcPr>
            <w:tcW w:type="dxa" w:w="1872"/>
            <w:shd w:val="clear" w:fill="FFF4E0"/>
          </w:tcPr>
          <w:p>
            <w:r/>
            <w:r>
              <w:rPr>
                <w:b/>
                <w:sz w:val="18"/>
              </w:rPr>
              <w:t>+0,296</w:t>
            </w:r>
          </w:p>
        </w:tc>
      </w:tr>
      <w:tr>
        <w:tc>
          <w:tcPr>
            <w:tcW w:type="dxa" w:w="3312"/>
          </w:tcPr>
          <w:p>
            <w:r/>
            <w:r>
              <w:rPr>
                <w:sz w:val="18"/>
              </w:rPr>
              <w:t>24 horas (com salto noturno)</w:t>
            </w:r>
          </w:p>
        </w:tc>
        <w:tc>
          <w:tcPr>
            <w:tcW w:type="dxa" w:w="1872"/>
          </w:tcPr>
          <w:p>
            <w:r/>
            <w:r>
              <w:rPr>
                <w:sz w:val="18"/>
              </w:rPr>
              <w:t>−0,235</w:t>
            </w:r>
          </w:p>
        </w:tc>
        <w:tc>
          <w:tcPr>
            <w:tcW w:type="dxa" w:w="1872"/>
          </w:tcPr>
          <w:p>
            <w:r/>
            <w:r>
              <w:rPr>
                <w:sz w:val="18"/>
              </w:rPr>
              <w:t>−0,087</w:t>
            </w:r>
          </w:p>
        </w:tc>
        <w:tc>
          <w:tcPr>
            <w:tcW w:type="dxa" w:w="1872"/>
          </w:tcPr>
          <w:p>
            <w:r/>
            <w:r>
              <w:rPr>
                <w:sz w:val="18"/>
              </w:rPr>
              <w:t>+0,264</w:t>
            </w:r>
          </w:p>
        </w:tc>
      </w:tr>
    </w:tbl>
    <w:p>
      <w:pPr>
        <w:spacing w:after="80"/>
      </w:pPr>
    </w:p>
    <w:p>
      <w:pPr>
        <w:spacing w:after="120" w:before="0"/>
      </w:pPr>
      <w:r>
        <w:rPr>
          <w:b w:val="0"/>
          <w:i w:val="0"/>
          <w:color w:val="0B0B0B"/>
          <w:sz w:val="21"/>
        </w:rPr>
        <w:t>Rogers-Satchell supera o Parkinson em horizonte curto, e é justamente o único dos três que não assume tendência nula — teoria e resultado coincidem. O ganho é modesto e não atravessa o critério de consistência entre subperíodos que passamos a exigir, mas a direção é sistemática e o teste formal de Diebold-Mariano, com as 1.760 observações independentes disponíveis em horizonte de um dia, é o sinal estatístico mais forte produzido no projeto.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O que esta investigação fecha.  </w:t>
            </w:r>
            <w:r>
              <w:rPr>
                <w:sz w:val="19"/>
              </w:rPr>
              <w:t>Nenhum estimador restaura autocorrelação em defasagem de 21 dias, em nenhum subperíodo. Isso elimina o ruído de medição como explicação para o fracasso no horizonte da estratégia. Somado aos testes de modelo, de features e de amostra, o diagnóstico de descasamento de horizonte fica sem hipótese alternativa viva.</w:t>
            </w:r>
          </w:p>
        </w:tc>
      </w:tr>
    </w:tbl>
    <w:p>
      <w:pPr>
        <w:spacing w:after="120"/>
      </w:pPr>
    </w:p>
    <w:p>
      <w:pPr>
        <w:pStyle w:val="Heading2"/>
      </w:pPr>
      <w:r>
        <w:t>6.10 O resultado positivo: previsibilidade em horizonte de um dia</w:t>
      </w:r>
    </w:p>
    <w:p>
      <w:pPr>
        <w:spacing w:after="120" w:before="0"/>
      </w:pPr>
      <w:r>
        <w:rPr>
          <w:b w:val="0"/>
          <w:i w:val="0"/>
          <w:color w:val="0B0B0B"/>
          <w:sz w:val="21"/>
        </w:rPr>
        <w:t>Este é o único resultado positivo do projeto, e vale explicar por que ele é mais confiável que qualquer outro número aqui: em horizonte de um dia o alvo NÃO se sobrepõe entre observações consecutivas. Cada ponto é independente, o que torna o teste de Diebold-Mariano legítimo e dispensa a correção por janelas sobrepostas que enfraquece os demais testes.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160"/>
            <w:shd w:val="clear" w:fill="2A2A28"/>
          </w:tcPr>
          <w:p>
            <w:r/>
            <w:r>
              <w:rPr>
                <w:b/>
                <w:color w:val="FFFFFF"/>
                <w:sz w:val="18"/>
              </w:rPr>
              <w:t>Janela</w:t>
            </w:r>
          </w:p>
        </w:tc>
        <w:tc>
          <w:tcPr>
            <w:tcW w:type="dxa" w:w="1152"/>
            <w:shd w:val="clear" w:fill="2A2A28"/>
          </w:tcPr>
          <w:p>
            <w:r/>
            <w:r>
              <w:rPr>
                <w:b/>
                <w:color w:val="FFFFFF"/>
                <w:sz w:val="18"/>
              </w:rPr>
              <w:t>n</w:t>
            </w:r>
          </w:p>
        </w:tc>
        <w:tc>
          <w:tcPr>
            <w:tcW w:type="dxa" w:w="1728"/>
            <w:shd w:val="clear" w:fill="2A2A28"/>
          </w:tcPr>
          <w:p>
            <w:r/>
            <w:r>
              <w:rPr>
                <w:b/>
                <w:color w:val="FFFFFF"/>
                <w:sz w:val="18"/>
              </w:rPr>
              <w:t>HAR-RV</w:t>
            </w:r>
          </w:p>
        </w:tc>
        <w:tc>
          <w:tcPr>
            <w:tcW w:type="dxa" w:w="2016"/>
            <w:shd w:val="clear" w:fill="2A2A28"/>
          </w:tcPr>
          <w:p>
            <w:r/>
            <w:r>
              <w:rPr>
                <w:b/>
                <w:color w:val="FFFFFF"/>
                <w:sz w:val="18"/>
              </w:rPr>
              <w:t>Persistência</w:t>
            </w:r>
          </w:p>
        </w:tc>
        <w:tc>
          <w:tcPr>
            <w:tcW w:type="dxa" w:w="1296"/>
            <w:shd w:val="clear" w:fill="2A2A28"/>
          </w:tcPr>
          <w:p>
            <w:r/>
            <w:r>
              <w:rPr>
                <w:b/>
                <w:color w:val="FFFFFF"/>
                <w:sz w:val="18"/>
              </w:rPr>
              <w:t>Folds</w:t>
            </w:r>
          </w:p>
        </w:tc>
        <w:tc>
          <w:tcPr>
            <w:tcW w:type="dxa" w:w="1440"/>
            <w:shd w:val="clear" w:fill="2A2A28"/>
          </w:tcPr>
          <w:p>
            <w:r/>
            <w:r>
              <w:rPr>
                <w:b/>
                <w:color w:val="FFFFFF"/>
                <w:sz w:val="18"/>
              </w:rPr>
              <w:t>DM (p)</w:t>
            </w:r>
          </w:p>
        </w:tc>
      </w:tr>
      <w:tr>
        <w:tc>
          <w:tcPr>
            <w:tcW w:type="dxa" w:w="2160"/>
          </w:tcPr>
          <w:p>
            <w:r/>
            <w:r>
              <w:rPr>
                <w:sz w:val="18"/>
              </w:rPr>
              <w:t>2018-2019</w:t>
            </w:r>
          </w:p>
        </w:tc>
        <w:tc>
          <w:tcPr>
            <w:tcW w:type="dxa" w:w="1152"/>
          </w:tcPr>
          <w:p>
            <w:r/>
            <w:r>
              <w:rPr>
                <w:sz w:val="18"/>
              </w:rPr>
              <w:t>390</w:t>
            </w:r>
          </w:p>
        </w:tc>
        <w:tc>
          <w:tcPr>
            <w:tcW w:type="dxa" w:w="1728"/>
          </w:tcPr>
          <w:p>
            <w:r/>
            <w:r>
              <w:rPr>
                <w:sz w:val="18"/>
              </w:rPr>
              <w:t>−0,286</w:t>
            </w:r>
          </w:p>
        </w:tc>
        <w:tc>
          <w:tcPr>
            <w:tcW w:type="dxa" w:w="2016"/>
          </w:tcPr>
          <w:p>
            <w:r/>
            <w:r>
              <w:rPr>
                <w:sz w:val="18"/>
              </w:rPr>
              <w:t>+0,047</w:t>
            </w:r>
          </w:p>
        </w:tc>
        <w:tc>
          <w:tcPr>
            <w:tcW w:type="dxa" w:w="1296"/>
          </w:tcPr>
          <w:p>
            <w:r/>
            <w:r>
              <w:rPr>
                <w:sz w:val="18"/>
              </w:rPr>
              <w:t>3/5</w:t>
            </w:r>
          </w:p>
        </w:tc>
        <w:tc>
          <w:tcPr>
            <w:tcW w:type="dxa" w:w="1440"/>
          </w:tcPr>
          <w:p>
            <w:r/>
            <w:r>
              <w:rPr>
                <w:sz w:val="18"/>
              </w:rPr>
              <w:t>0,2275</w:t>
            </w:r>
          </w:p>
        </w:tc>
      </w:tr>
      <w:tr>
        <w:tc>
          <w:tcPr>
            <w:tcW w:type="dxa" w:w="2160"/>
            <w:shd w:val="clear" w:fill="FFF4E0"/>
          </w:tcPr>
          <w:p>
            <w:r/>
            <w:r>
              <w:rPr>
                <w:b/>
                <w:sz w:val="18"/>
              </w:rPr>
              <w:t>2021-2022</w:t>
            </w:r>
          </w:p>
        </w:tc>
        <w:tc>
          <w:tcPr>
            <w:tcW w:type="dxa" w:w="1152"/>
            <w:shd w:val="clear" w:fill="FFF4E0"/>
          </w:tcPr>
          <w:p>
            <w:r/>
            <w:r>
              <w:rPr>
                <w:b/>
                <w:sz w:val="18"/>
              </w:rPr>
              <w:t>395</w:t>
            </w:r>
          </w:p>
        </w:tc>
        <w:tc>
          <w:tcPr>
            <w:tcW w:type="dxa" w:w="1728"/>
            <w:shd w:val="clear" w:fill="FFF4E0"/>
          </w:tcPr>
          <w:p>
            <w:r/>
            <w:r>
              <w:rPr>
                <w:b/>
                <w:sz w:val="18"/>
              </w:rPr>
              <w:t>+0,038</w:t>
            </w:r>
          </w:p>
        </w:tc>
        <w:tc>
          <w:tcPr>
            <w:tcW w:type="dxa" w:w="2016"/>
            <w:shd w:val="clear" w:fill="FFF4E0"/>
          </w:tcPr>
          <w:p>
            <w:r/>
            <w:r>
              <w:rPr>
                <w:b/>
                <w:sz w:val="18"/>
              </w:rPr>
              <w:t>−0,019</w:t>
            </w:r>
          </w:p>
        </w:tc>
        <w:tc>
          <w:tcPr>
            <w:tcW w:type="dxa" w:w="1296"/>
            <w:shd w:val="clear" w:fill="FFF4E0"/>
          </w:tcPr>
          <w:p>
            <w:r/>
            <w:r>
              <w:rPr>
                <w:b/>
                <w:sz w:val="18"/>
              </w:rPr>
              <w:t>4/5</w:t>
            </w:r>
          </w:p>
        </w:tc>
        <w:tc>
          <w:tcPr>
            <w:tcW w:type="dxa" w:w="1440"/>
            <w:shd w:val="clear" w:fill="FFF4E0"/>
          </w:tcPr>
          <w:p>
            <w:r/>
            <w:r>
              <w:rPr>
                <w:b/>
                <w:sz w:val="18"/>
              </w:rPr>
              <w:t>0,1719</w:t>
            </w:r>
          </w:p>
        </w:tc>
      </w:tr>
      <w:tr>
        <w:tc>
          <w:tcPr>
            <w:tcW w:type="dxa" w:w="2160"/>
            <w:shd w:val="clear" w:fill="FFF4E0"/>
          </w:tcPr>
          <w:p>
            <w:r/>
            <w:r>
              <w:rPr>
                <w:b/>
                <w:sz w:val="18"/>
              </w:rPr>
              <w:t>2023-2026</w:t>
            </w:r>
          </w:p>
        </w:tc>
        <w:tc>
          <w:tcPr>
            <w:tcW w:type="dxa" w:w="1152"/>
            <w:shd w:val="clear" w:fill="FFF4E0"/>
          </w:tcPr>
          <w:p>
            <w:r/>
            <w:r>
              <w:rPr>
                <w:b/>
                <w:sz w:val="18"/>
              </w:rPr>
              <w:t>725</w:t>
            </w:r>
          </w:p>
        </w:tc>
        <w:tc>
          <w:tcPr>
            <w:tcW w:type="dxa" w:w="1728"/>
            <w:shd w:val="clear" w:fill="FFF4E0"/>
          </w:tcPr>
          <w:p>
            <w:r/>
            <w:r>
              <w:rPr>
                <w:b/>
                <w:sz w:val="18"/>
              </w:rPr>
              <w:t>+0,041</w:t>
            </w:r>
          </w:p>
        </w:tc>
        <w:tc>
          <w:tcPr>
            <w:tcW w:type="dxa" w:w="2016"/>
            <w:shd w:val="clear" w:fill="FFF4E0"/>
          </w:tcPr>
          <w:p>
            <w:r/>
            <w:r>
              <w:rPr>
                <w:b/>
                <w:sz w:val="18"/>
              </w:rPr>
              <w:t>−0,023</w:t>
            </w:r>
          </w:p>
        </w:tc>
        <w:tc>
          <w:tcPr>
            <w:tcW w:type="dxa" w:w="1296"/>
            <w:shd w:val="clear" w:fill="FFF4E0"/>
          </w:tcPr>
          <w:p>
            <w:r/>
            <w:r>
              <w:rPr>
                <w:b/>
                <w:sz w:val="18"/>
              </w:rPr>
              <w:t>5/5</w:t>
            </w:r>
          </w:p>
        </w:tc>
        <w:tc>
          <w:tcPr>
            <w:tcW w:type="dxa" w:w="1440"/>
            <w:shd w:val="clear" w:fill="FFF4E0"/>
          </w:tcPr>
          <w:p>
            <w:r/>
            <w:r>
              <w:rPr>
                <w:b/>
                <w:sz w:val="18"/>
              </w:rPr>
              <w:t>0,1075</w:t>
            </w:r>
          </w:p>
        </w:tc>
      </w:tr>
      <w:tr>
        <w:tc>
          <w:tcPr>
            <w:tcW w:type="dxa" w:w="2160"/>
          </w:tcPr>
          <w:p>
            <w:r/>
            <w:r>
              <w:rPr>
                <w:sz w:val="18"/>
              </w:rPr>
              <w:t>COMPLETA</w:t>
            </w:r>
          </w:p>
        </w:tc>
        <w:tc>
          <w:tcPr>
            <w:tcW w:type="dxa" w:w="1152"/>
          </w:tcPr>
          <w:p>
            <w:r/>
            <w:r>
              <w:rPr>
                <w:sz w:val="18"/>
              </w:rPr>
              <w:t>1760</w:t>
            </w:r>
          </w:p>
        </w:tc>
        <w:tc>
          <w:tcPr>
            <w:tcW w:type="dxa" w:w="1728"/>
          </w:tcPr>
          <w:p>
            <w:r/>
            <w:r>
              <w:rPr>
                <w:sz w:val="18"/>
              </w:rPr>
              <w:t>+0,243</w:t>
            </w:r>
          </w:p>
        </w:tc>
        <w:tc>
          <w:tcPr>
            <w:tcW w:type="dxa" w:w="2016"/>
          </w:tcPr>
          <w:p>
            <w:r/>
            <w:r>
              <w:rPr>
                <w:sz w:val="18"/>
              </w:rPr>
              <w:t>+0,218</w:t>
            </w:r>
          </w:p>
        </w:tc>
        <w:tc>
          <w:tcPr>
            <w:tcW w:type="dxa" w:w="1296"/>
          </w:tcPr>
          <w:p>
            <w:r/>
            <w:r>
              <w:rPr>
                <w:sz w:val="18"/>
              </w:rPr>
              <w:t>4/5</w:t>
            </w:r>
          </w:p>
        </w:tc>
        <w:tc>
          <w:tcPr>
            <w:tcW w:type="dxa" w:w="1440"/>
          </w:tcPr>
          <w:p>
            <w:r/>
            <w:r>
              <w:rPr>
                <w:sz w:val="18"/>
              </w:rPr>
              <w:t>0,4213</w:t>
            </w:r>
          </w:p>
        </w:tc>
      </w:tr>
    </w:tbl>
    <w:p>
      <w:pPr>
        <w:spacing w:after="80"/>
      </w:pPr>
    </w:p>
    <w:p>
      <w:pPr>
        <w:spacing w:after="120" w:before="0"/>
      </w:pPr>
      <w:r>
        <w:rPr>
          <w:b w:val="0"/>
          <w:i w:val="0"/>
          <w:color w:val="0B0B0B"/>
          <w:sz w:val="21"/>
        </w:rPr>
        <w:t>Em 2021-2022 e em 2023-2026 — dois períodos independentes — o HAR-RV bate a persistência com R² positivo em termos absolutos, ou seja, superando a média incondicional, com apoio de 4 e 5 folds de 5. É exatamente o que Corsi (2009) desenhou o modelo para fazer: capturar volatilidade de curto prazo a partir de componentes de múltiplas escalas.</w:t>
      </w:r>
    </w:p>
    <w:p>
      <w:pPr>
        <w:spacing w:after="120" w:before="0"/>
      </w:pPr>
      <w:r>
        <w:rPr>
          <w:b w:val="0"/>
          <w:i w:val="0"/>
          <w:color w:val="0B0B0B"/>
          <w:sz w:val="21"/>
        </w:rPr>
        <w:t>O período 2018-2019 vai na direção contrária e está na tabela por isso — rodamos todos os subperíodos e reportamos todos, não apenas os favoráveis.</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B8860B"/>
                <w:sz w:val="20"/>
              </w:rPr>
              <w:t xml:space="preserve">Força exata desta evidência.  </w:t>
            </w:r>
            <w:r>
              <w:rPr>
                <w:sz w:val="19"/>
              </w:rPr>
              <w:t>Nenhuma janela pré-registrada atinge significância a 5%: os valores de p ficam em 0,11 e 0,17. A janela 2021-2026 agregada daria p = 0,0017, mas foi escolhida depois de observar quais subperíodos funcionavam — seleção pós-hoc, e por isso não a utilizamos. A leitura correta é: direção consistente e replicada, magnitude modesta, evidência SUGESTIVA e não estabelecida.</w:t>
            </w:r>
          </w:p>
        </w:tc>
      </w:tr>
    </w:tbl>
    <w:p>
      <w:pPr>
        <w:spacing w:after="120"/>
      </w:pPr>
    </w:p>
    <w:p>
      <w:pPr>
        <w:pStyle w:val="Heading2"/>
      </w:pPr>
      <w:r>
        <w:t>6.11 Combinação de previsões, e o quinto falso positivo</w:t>
      </w:r>
    </w:p>
    <w:p>
      <w:pPr>
        <w:spacing w:after="120" w:before="0"/>
      </w:pPr>
      <w:r>
        <w:rPr>
          <w:b w:val="0"/>
          <w:i w:val="0"/>
          <w:color w:val="0B0B0B"/>
          <w:sz w:val="21"/>
        </w:rPr>
        <w:t>A literatura de combinação de previsões (Bates &amp; Granger, 1969; Timmermann, 2006) sustenta que a média de previsões razoáveis costuma superar a melhor individual, e que pesos iguais batem pesos estimados — estimar pesos adiciona variância. Antes de testar, medimos a correlação entre os erros dos modelos, porque combinar só ajuda se eles errarem de formas diferentes: HAR e persistência ficam em 0,754, enquanto variantes do mesmo HAR ficam acima de 0,94. Isso explica retroativamente por que o ensemble testado antes não extraiu nada.</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016"/>
            <w:shd w:val="clear" w:fill="2A2A28"/>
          </w:tcPr>
          <w:p>
            <w:r/>
            <w:r>
              <w:rPr>
                <w:b/>
                <w:color w:val="FFFFFF"/>
                <w:sz w:val="18"/>
              </w:rPr>
              <w:t>Janela</w:t>
            </w:r>
          </w:p>
        </w:tc>
        <w:tc>
          <w:tcPr>
            <w:tcW w:type="dxa" w:w="1584"/>
            <w:shd w:val="clear" w:fill="2A2A28"/>
          </w:tcPr>
          <w:p>
            <w:r/>
            <w:r>
              <w:rPr>
                <w:b/>
                <w:color w:val="FFFFFF"/>
                <w:sz w:val="18"/>
              </w:rPr>
              <w:t>HAR-RV</w:t>
            </w:r>
          </w:p>
        </w:tc>
        <w:tc>
          <w:tcPr>
            <w:tcW w:type="dxa" w:w="1872"/>
            <w:shd w:val="clear" w:fill="2A2A28"/>
          </w:tcPr>
          <w:p>
            <w:r/>
            <w:r>
              <w:rPr>
                <w:b/>
                <w:color w:val="FFFFFF"/>
                <w:sz w:val="18"/>
              </w:rPr>
              <w:t>Persistência</w:t>
            </w:r>
          </w:p>
        </w:tc>
        <w:tc>
          <w:tcPr>
            <w:tcW w:type="dxa" w:w="1728"/>
            <w:shd w:val="clear" w:fill="2A2A28"/>
          </w:tcPr>
          <w:p>
            <w:r/>
            <w:r>
              <w:rPr>
                <w:b/>
                <w:color w:val="FFFFFF"/>
                <w:sz w:val="18"/>
              </w:rPr>
              <w:t>Combinado</w:t>
            </w:r>
          </w:p>
        </w:tc>
        <w:tc>
          <w:tcPr>
            <w:tcW w:type="dxa" w:w="1728"/>
            <w:shd w:val="clear" w:fill="2A2A28"/>
          </w:tcPr>
          <w:p>
            <w:r/>
            <w:r>
              <w:rPr>
                <w:b/>
                <w:color w:val="FFFFFF"/>
                <w:sz w:val="18"/>
              </w:rPr>
              <w:t>Δ vs melhor</w:t>
            </w:r>
          </w:p>
        </w:tc>
        <w:tc>
          <w:tcPr>
            <w:tcW w:type="dxa" w:w="1296"/>
            <w:shd w:val="clear" w:fill="2A2A28"/>
          </w:tcPr>
          <w:p>
            <w:r/>
            <w:r>
              <w:rPr>
                <w:b/>
                <w:color w:val="FFFFFF"/>
                <w:sz w:val="18"/>
              </w:rPr>
              <w:t>DM (p)</w:t>
            </w:r>
          </w:p>
        </w:tc>
      </w:tr>
      <w:tr>
        <w:tc>
          <w:tcPr>
            <w:tcW w:type="dxa" w:w="2016"/>
          </w:tcPr>
          <w:p>
            <w:r/>
            <w:r>
              <w:rPr>
                <w:sz w:val="18"/>
              </w:rPr>
              <w:t>2018-2019</w:t>
            </w:r>
          </w:p>
        </w:tc>
        <w:tc>
          <w:tcPr>
            <w:tcW w:type="dxa" w:w="1584"/>
          </w:tcPr>
          <w:p>
            <w:r/>
            <w:r>
              <w:rPr>
                <w:sz w:val="18"/>
              </w:rPr>
              <w:t>−1,790</w:t>
            </w:r>
          </w:p>
        </w:tc>
        <w:tc>
          <w:tcPr>
            <w:tcW w:type="dxa" w:w="1872"/>
          </w:tcPr>
          <w:p>
            <w:r/>
            <w:r>
              <w:rPr>
                <w:sz w:val="18"/>
              </w:rPr>
              <w:t>−0,173</w:t>
            </w:r>
          </w:p>
        </w:tc>
        <w:tc>
          <w:tcPr>
            <w:tcW w:type="dxa" w:w="1728"/>
          </w:tcPr>
          <w:p>
            <w:r/>
            <w:r>
              <w:rPr>
                <w:sz w:val="18"/>
              </w:rPr>
              <w:t>−0,281</w:t>
            </w:r>
          </w:p>
        </w:tc>
        <w:tc>
          <w:tcPr>
            <w:tcW w:type="dxa" w:w="1728"/>
          </w:tcPr>
          <w:p>
            <w:r/>
            <w:r>
              <w:rPr>
                <w:sz w:val="18"/>
              </w:rPr>
              <w:t>−0,109</w:t>
            </w:r>
          </w:p>
        </w:tc>
        <w:tc>
          <w:tcPr>
            <w:tcW w:type="dxa" w:w="1296"/>
          </w:tcPr>
          <w:p>
            <w:r/>
            <w:r>
              <w:rPr>
                <w:sz w:val="18"/>
              </w:rPr>
              <w:t>0,8390</w:t>
            </w:r>
          </w:p>
        </w:tc>
      </w:tr>
      <w:tr>
        <w:tc>
          <w:tcPr>
            <w:tcW w:type="dxa" w:w="2016"/>
          </w:tcPr>
          <w:p>
            <w:r/>
            <w:r>
              <w:rPr>
                <w:sz w:val="18"/>
              </w:rPr>
              <w:t>2021-2022</w:t>
            </w:r>
          </w:p>
        </w:tc>
        <w:tc>
          <w:tcPr>
            <w:tcW w:type="dxa" w:w="1584"/>
          </w:tcPr>
          <w:p>
            <w:r/>
            <w:r>
              <w:rPr>
                <w:sz w:val="18"/>
              </w:rPr>
              <w:t>−0,369</w:t>
            </w:r>
          </w:p>
        </w:tc>
        <w:tc>
          <w:tcPr>
            <w:tcW w:type="dxa" w:w="1872"/>
          </w:tcPr>
          <w:p>
            <w:r/>
            <w:r>
              <w:rPr>
                <w:sz w:val="18"/>
              </w:rPr>
              <w:t>−0,279</w:t>
            </w:r>
          </w:p>
        </w:tc>
        <w:tc>
          <w:tcPr>
            <w:tcW w:type="dxa" w:w="1728"/>
          </w:tcPr>
          <w:p>
            <w:r/>
            <w:r>
              <w:rPr>
                <w:sz w:val="18"/>
              </w:rPr>
              <w:t>−0,077</w:t>
            </w:r>
          </w:p>
        </w:tc>
        <w:tc>
          <w:tcPr>
            <w:tcW w:type="dxa" w:w="1728"/>
          </w:tcPr>
          <w:p>
            <w:r/>
            <w:r>
              <w:rPr>
                <w:sz w:val="18"/>
              </w:rPr>
              <w:t>+0,202</w:t>
            </w:r>
          </w:p>
        </w:tc>
        <w:tc>
          <w:tcPr>
            <w:tcW w:type="dxa" w:w="1296"/>
          </w:tcPr>
          <w:p>
            <w:r/>
            <w:r>
              <w:rPr>
                <w:sz w:val="18"/>
              </w:rPr>
              <w:t>0,5587</w:t>
            </w:r>
          </w:p>
        </w:tc>
      </w:tr>
      <w:tr>
        <w:tc>
          <w:tcPr>
            <w:tcW w:type="dxa" w:w="2016"/>
          </w:tcPr>
          <w:p>
            <w:r/>
            <w:r>
              <w:rPr>
                <w:sz w:val="18"/>
              </w:rPr>
              <w:t>2023-2026</w:t>
            </w:r>
          </w:p>
        </w:tc>
        <w:tc>
          <w:tcPr>
            <w:tcW w:type="dxa" w:w="1584"/>
          </w:tcPr>
          <w:p>
            <w:r/>
            <w:r>
              <w:rPr>
                <w:sz w:val="18"/>
              </w:rPr>
              <w:t>−0,177</w:t>
            </w:r>
          </w:p>
        </w:tc>
        <w:tc>
          <w:tcPr>
            <w:tcW w:type="dxa" w:w="1872"/>
          </w:tcPr>
          <w:p>
            <w:r/>
            <w:r>
              <w:rPr>
                <w:sz w:val="18"/>
              </w:rPr>
              <w:t>−0,381</w:t>
            </w:r>
          </w:p>
        </w:tc>
        <w:tc>
          <w:tcPr>
            <w:tcW w:type="dxa" w:w="1728"/>
          </w:tcPr>
          <w:p>
            <w:r/>
            <w:r>
              <w:rPr>
                <w:sz w:val="18"/>
              </w:rPr>
              <w:t>−0,186</w:t>
            </w:r>
          </w:p>
        </w:tc>
        <w:tc>
          <w:tcPr>
            <w:tcW w:type="dxa" w:w="1728"/>
          </w:tcPr>
          <w:p>
            <w:r/>
            <w:r>
              <w:rPr>
                <w:sz w:val="18"/>
              </w:rPr>
              <w:t>−0,009</w:t>
            </w:r>
          </w:p>
        </w:tc>
        <w:tc>
          <w:tcPr>
            <w:tcW w:type="dxa" w:w="1296"/>
          </w:tcPr>
          <w:p>
            <w:r/>
            <w:r>
              <w:rPr>
                <w:sz w:val="18"/>
              </w:rPr>
              <w:t>0,3546</w:t>
            </w:r>
          </w:p>
        </w:tc>
      </w:tr>
      <w:tr>
        <w:tc>
          <w:tcPr>
            <w:tcW w:type="dxa" w:w="2016"/>
            <w:shd w:val="clear" w:fill="FFF4E0"/>
          </w:tcPr>
          <w:p>
            <w:r/>
            <w:r>
              <w:rPr>
                <w:b/>
                <w:sz w:val="18"/>
              </w:rPr>
              <w:t>COMPLETA</w:t>
            </w:r>
          </w:p>
        </w:tc>
        <w:tc>
          <w:tcPr>
            <w:tcW w:type="dxa" w:w="1584"/>
            <w:shd w:val="clear" w:fill="FFF4E0"/>
          </w:tcPr>
          <w:p>
            <w:r/>
            <w:r>
              <w:rPr>
                <w:b/>
                <w:sz w:val="18"/>
              </w:rPr>
              <w:t>+0,381</w:t>
            </w:r>
          </w:p>
        </w:tc>
        <w:tc>
          <w:tcPr>
            <w:tcW w:type="dxa" w:w="1872"/>
            <w:shd w:val="clear" w:fill="FFF4E0"/>
          </w:tcPr>
          <w:p>
            <w:r/>
            <w:r>
              <w:rPr>
                <w:b/>
                <w:sz w:val="18"/>
              </w:rPr>
              <w:t>+0,365</w:t>
            </w:r>
          </w:p>
        </w:tc>
        <w:tc>
          <w:tcPr>
            <w:tcW w:type="dxa" w:w="1728"/>
            <w:shd w:val="clear" w:fill="FFF4E0"/>
          </w:tcPr>
          <w:p>
            <w:r/>
            <w:r>
              <w:rPr>
                <w:b/>
                <w:sz w:val="18"/>
              </w:rPr>
              <w:t>+0,450</w:t>
            </w:r>
          </w:p>
        </w:tc>
        <w:tc>
          <w:tcPr>
            <w:tcW w:type="dxa" w:w="1728"/>
            <w:shd w:val="clear" w:fill="FFF4E0"/>
          </w:tcPr>
          <w:p>
            <w:r/>
            <w:r>
              <w:rPr>
                <w:b/>
                <w:sz w:val="18"/>
              </w:rPr>
              <w:t>+0,069</w:t>
            </w:r>
          </w:p>
        </w:tc>
        <w:tc>
          <w:tcPr>
            <w:tcW w:type="dxa" w:w="1296"/>
            <w:shd w:val="clear" w:fill="FFF4E0"/>
          </w:tcPr>
          <w:p>
            <w:r/>
            <w:r>
              <w:rPr>
                <w:b/>
                <w:sz w:val="18"/>
              </w:rPr>
              <w:t>0,2191</w:t>
            </w:r>
          </w:p>
        </w:tc>
      </w:tr>
    </w:tbl>
    <w:p>
      <w:pPr>
        <w:spacing w:after="80"/>
      </w:pPr>
    </w:p>
    <w:p>
      <w:pPr>
        <w:spacing w:after="120" w:before="0"/>
      </w:pPr>
      <w:r>
        <w:rPr>
          <w:b w:val="0"/>
          <w:i w:val="0"/>
          <w:color w:val="0B0B0B"/>
          <w:sz w:val="21"/>
        </w:rPr>
        <w:t>Na amostra completa a combinação supera ambos os individuais em todos os horizontes, com ganho substancial em 21 dias. Parecia o melhor achado do projeto, e o mecanismo é plausível: combinar com a persistência equivale a encolher a previsão do HAR em direção a um benchmark sem parâmetros, reduzindo variância de estimação.</w:t>
      </w:r>
    </w:p>
    <w:tbl>
      <w:tblPr>
        <w:tblStyle w:val="TableGrid"/>
        <w:tblW w:type="auto" w:w="0"/>
        <w:tblLook w:firstColumn="1" w:firstRow="1" w:lastColumn="0" w:lastRow="0" w:noHBand="0" w:noVBand="1" w:val="04A0"/>
      </w:tblPr>
      <w:tblGrid>
        <w:gridCol w:w="9632"/>
      </w:tblGrid>
      <w:tr>
        <w:tc>
          <w:tcPr>
            <w:tcW w:type="dxa" w:w="9632"/>
            <w:shd w:val="clear" w:fill="F7F3E8"/>
          </w:tcPr>
          <w:p>
            <w:r/>
            <w:r>
              <w:rPr>
                <w:b/>
                <w:color w:val="A82A2A"/>
                <w:sz w:val="20"/>
              </w:rPr>
              <w:t xml:space="preserve">Por que não o reportamos como achado.  </w:t>
            </w:r>
            <w:r>
              <w:rPr>
                <w:sz w:val="19"/>
              </w:rPr>
              <w:t>Por subperíodo o efeito desaparece: em 21 dias a combinação ajuda em um período e prejudica em dois. Foi o quinto caso nesta fase em que uma estatística calculada sobre a amostra agrupada produziu um resultado que a análise por subperíodo desfez — junto com a extensão de amostra, a autocorrelação, a monotonia do ciclo de rolagem e a IV como previsor. Cinco ocorrências deixaram de ser coincidência e viraram critério.</w:t>
            </w:r>
          </w:p>
        </w:tc>
      </w:tr>
    </w:tbl>
    <w:p>
      <w:pPr>
        <w:spacing w:after="120"/>
      </w:pPr>
    </w:p>
    <w:p>
      <w:pPr>
        <w:pStyle w:val="Heading2"/>
      </w:pPr>
      <w:r>
        <w:t>6.12 Outras hipóteses testadas e eliminadas</w:t>
      </w:r>
    </w:p>
    <w:p>
      <w:pPr>
        <w:pStyle w:val="Heading3"/>
      </w:pPr>
      <w:r>
        <w:t>Ciclo de rolagem do contrato</w:t>
      </w:r>
    </w:p>
    <w:p>
      <w:pPr>
        <w:spacing w:after="120" w:before="0"/>
      </w:pPr>
      <w:r>
        <w:rPr>
          <w:b w:val="0"/>
          <w:i w:val="0"/>
          <w:color w:val="0B0B0B"/>
          <w:sz w:val="21"/>
        </w:rPr>
        <w:t>Os contratos rolam a cada 20,2 pregões — praticamente o mesmo período do horizonte alvo — e a volatilidade medida cai conforme o contrato envelhece. O sentido é o INVERSO do efeito Samuelson, o que sugere artefato de medição: a liquidez migra para o vencimento seguinte, menos negócios exploram a amplitude do dia e o estimador encolhe. Dessazonalizar, porém, quase não move a autocorrelação (defasagem 1: de 0,4393 para 0,4429) e piora a previsão em todos os horizontes.</w:t>
      </w:r>
    </w:p>
    <w:p>
      <w:pPr>
        <w:spacing w:after="120" w:before="0"/>
      </w:pPr>
      <w:r>
        <w:rPr>
          <w:b w:val="0"/>
          <w:i w:val="0"/>
          <w:color w:val="0B0B0B"/>
          <w:sz w:val="21"/>
        </w:rPr>
        <w:t>O diagnóstico do porquê é instrutivo: o fator sazonal não é estável entre folds e não é monotônico em nenhum fold isolado. A monotonia que aparecia na amostra completa era artefato de agregação — o mesmo mecanismo da Seção 6.6.</w:t>
      </w:r>
    </w:p>
    <w:p>
      <w:pPr>
        <w:pStyle w:val="Heading3"/>
      </w:pPr>
      <w:r>
        <w:t>GARCH(1,1) reavaliado</w:t>
      </w:r>
    </w:p>
    <w:p>
      <w:pPr>
        <w:spacing w:after="120" w:before="0"/>
      </w:pPr>
      <w:r>
        <w:rPr>
          <w:b w:val="0"/>
          <w:i w:val="0"/>
          <w:color w:val="0B0B0B"/>
          <w:sz w:val="21"/>
        </w:rPr>
        <w:t>O veredito anterior de que o GARCH era pior que o HAR-RV havia sido obtido sobre a fonte de preço defeituosa, apenas em 21 dias e com amostra menor. Refeito sobre o mesmo input que o HAR (retorno ao quadrado), o resultado se qualifica:</w:t>
      </w:r>
    </w:p>
    <w:tbl>
      <w:tblPr>
        <w:tblStyle w:val="TableGrid"/>
        <w:tblW w:type="auto" w:w="0"/>
        <w:jc w:val="center"/>
        <w:tblLook w:firstColumn="1" w:firstRow="1" w:lastColumn="0" w:lastRow="0" w:noHBand="0" w:noVBand="1" w:val="04A0"/>
      </w:tblPr>
      <w:tblGrid>
        <w:gridCol w:w="3211"/>
        <w:gridCol w:w="3211"/>
        <w:gridCol w:w="3211"/>
      </w:tblGrid>
      <w:tr>
        <w:tc>
          <w:tcPr>
            <w:tcW w:type="dxa" w:w="2304"/>
            <w:shd w:val="clear" w:fill="2A2A28"/>
          </w:tcPr>
          <w:p>
            <w:r/>
            <w:r>
              <w:rPr>
                <w:b/>
                <w:color w:val="FFFFFF"/>
                <w:sz w:val="18"/>
              </w:rPr>
              <w:t>Horizonte</w:t>
            </w:r>
          </w:p>
        </w:tc>
        <w:tc>
          <w:tcPr>
            <w:tcW w:type="dxa" w:w="2304"/>
            <w:shd w:val="clear" w:fill="2A2A28"/>
          </w:tcPr>
          <w:p>
            <w:r/>
            <w:r>
              <w:rPr>
                <w:b/>
                <w:color w:val="FFFFFF"/>
                <w:sz w:val="18"/>
              </w:rPr>
              <w:t>GARCH(1,1)</w:t>
            </w:r>
          </w:p>
        </w:tc>
        <w:tc>
          <w:tcPr>
            <w:tcW w:type="dxa" w:w="2880"/>
            <w:shd w:val="clear" w:fill="2A2A28"/>
          </w:tcPr>
          <w:p>
            <w:r/>
            <w:r>
              <w:rPr>
                <w:b/>
                <w:color w:val="FFFFFF"/>
                <w:sz w:val="18"/>
              </w:rPr>
              <w:t>HAR-RV (mesmo input)</w:t>
            </w:r>
          </w:p>
        </w:tc>
      </w:tr>
      <w:tr>
        <w:tc>
          <w:tcPr>
            <w:tcW w:type="dxa" w:w="2304"/>
            <w:shd w:val="clear" w:fill="FFF4E0"/>
          </w:tcPr>
          <w:p>
            <w:r/>
            <w:r>
              <w:rPr>
                <w:b/>
                <w:sz w:val="18"/>
              </w:rPr>
              <w:t>1 dia(s)</w:t>
            </w:r>
          </w:p>
        </w:tc>
        <w:tc>
          <w:tcPr>
            <w:tcW w:type="dxa" w:w="2304"/>
            <w:shd w:val="clear" w:fill="FFF4E0"/>
          </w:tcPr>
          <w:p>
            <w:r/>
            <w:r>
              <w:rPr>
                <w:b/>
                <w:sz w:val="18"/>
              </w:rPr>
              <w:t>−0,053</w:t>
            </w:r>
          </w:p>
        </w:tc>
        <w:tc>
          <w:tcPr>
            <w:tcW w:type="dxa" w:w="2880"/>
            <w:shd w:val="clear" w:fill="FFF4E0"/>
          </w:tcPr>
          <w:p>
            <w:r/>
            <w:r>
              <w:rPr>
                <w:b/>
                <w:sz w:val="18"/>
              </w:rPr>
              <w:t>−0,096</w:t>
            </w:r>
          </w:p>
        </w:tc>
      </w:tr>
      <w:tr>
        <w:tc>
          <w:tcPr>
            <w:tcW w:type="dxa" w:w="2304"/>
          </w:tcPr>
          <w:p>
            <w:r/>
            <w:r>
              <w:rPr>
                <w:sz w:val="18"/>
              </w:rPr>
              <w:t>5 dia(s)</w:t>
            </w:r>
          </w:p>
        </w:tc>
        <w:tc>
          <w:tcPr>
            <w:tcW w:type="dxa" w:w="2304"/>
          </w:tcPr>
          <w:p>
            <w:r/>
            <w:r>
              <w:rPr>
                <w:sz w:val="18"/>
              </w:rPr>
              <w:t>+0,077</w:t>
            </w:r>
          </w:p>
        </w:tc>
        <w:tc>
          <w:tcPr>
            <w:tcW w:type="dxa" w:w="2880"/>
          </w:tcPr>
          <w:p>
            <w:r/>
            <w:r>
              <w:rPr>
                <w:sz w:val="18"/>
              </w:rPr>
              <w:t>+0,148</w:t>
            </w:r>
          </w:p>
        </w:tc>
      </w:tr>
      <w:tr>
        <w:tc>
          <w:tcPr>
            <w:tcW w:type="dxa" w:w="2304"/>
          </w:tcPr>
          <w:p>
            <w:r/>
            <w:r>
              <w:rPr>
                <w:sz w:val="18"/>
              </w:rPr>
              <w:t>21 dia(s)</w:t>
            </w:r>
          </w:p>
        </w:tc>
        <w:tc>
          <w:tcPr>
            <w:tcW w:type="dxa" w:w="2304"/>
          </w:tcPr>
          <w:p>
            <w:r/>
            <w:r>
              <w:rPr>
                <w:sz w:val="18"/>
              </w:rPr>
              <w:t>+0,136</w:t>
            </w:r>
          </w:p>
        </w:tc>
        <w:tc>
          <w:tcPr>
            <w:tcW w:type="dxa" w:w="2880"/>
          </w:tcPr>
          <w:p>
            <w:r/>
            <w:r>
              <w:rPr>
                <w:sz w:val="18"/>
              </w:rPr>
              <w:t>+0,288</w:t>
            </w:r>
          </w:p>
        </w:tc>
      </w:tr>
    </w:tbl>
    <w:p>
      <w:pPr>
        <w:spacing w:after="80"/>
      </w:pPr>
    </w:p>
    <w:p>
      <w:pPr>
        <w:spacing w:after="120" w:before="0"/>
      </w:pPr>
      <w:r>
        <w:rPr>
          <w:b w:val="0"/>
          <w:i w:val="0"/>
          <w:color w:val="0B0B0B"/>
          <w:sz w:val="21"/>
        </w:rPr>
        <w:t>Em um dia o GARCH SUPERA o HAR-RV — é o horizonte para o qual ele foi construído, sendo um modelo de variância condicional de um passo à frente. Em horizontes longos o HAR vence, como esperado: o GARCH reverte à variância incondicional a uma taxa geométrica, enquanto os três componentes do HAR aproximam memória longa. A limitação estrutural do GARCH aqui é consumir retornos, o que o impede de usar estimadores baseados em amplitude.</w:t>
      </w:r>
    </w:p>
    <w:p>
      <w:pPr>
        <w:pStyle w:val="Heading3"/>
      </w:pPr>
      <w:r>
        <w:t>Camadas de informação reavaliadas em horizonte curto</w:t>
      </w:r>
    </w:p>
    <w:p>
      <w:pPr>
        <w:spacing w:after="120" w:before="0"/>
      </w:pPr>
      <w:r>
        <w:rPr>
          <w:b w:val="0"/>
          <w:i w:val="0"/>
          <w:color w:val="0B0B0B"/>
          <w:sz w:val="21"/>
        </w:rPr>
        <w:t>Todas as camadas haviam sido testadas apenas em 21 dias — um regime onde nem o modelo base funciona, e portanto sem sinal a ser melhorado. Notícia, em particular, é choque de curtíssimo prazo: a média dos 21 dias seguintes é o instrumento errado para detectá-la. A hipótese de que o descasamento de horizonte se aplicaria também à feature era razoável, e foi refutada.</w:t>
      </w:r>
    </w:p>
    <w:tbl>
      <w:tblPr>
        <w:tblStyle w:val="TableGrid"/>
        <w:tblW w:type="auto" w:w="0"/>
        <w:jc w:val="center"/>
        <w:tblLook w:firstColumn="1" w:firstRow="1" w:lastColumn="0" w:lastRow="0" w:noHBand="0" w:noVBand="1" w:val="04A0"/>
      </w:tblPr>
      <w:tblGrid>
        <w:gridCol w:w="3211"/>
        <w:gridCol w:w="3211"/>
        <w:gridCol w:w="3211"/>
      </w:tblGrid>
      <w:tr>
        <w:tc>
          <w:tcPr>
            <w:tcW w:type="dxa" w:w="3744"/>
            <w:shd w:val="clear" w:fill="2A2A28"/>
          </w:tcPr>
          <w:p>
            <w:r/>
            <w:r>
              <w:rPr>
                <w:b/>
                <w:color w:val="FFFFFF"/>
                <w:sz w:val="18"/>
              </w:rPr>
              <w:t>Camada (h = 1 dia)</w:t>
            </w:r>
          </w:p>
        </w:tc>
        <w:tc>
          <w:tcPr>
            <w:tcW w:type="dxa" w:w="1872"/>
            <w:shd w:val="clear" w:fill="2A2A28"/>
          </w:tcPr>
          <w:p>
            <w:r/>
            <w:r>
              <w:rPr>
                <w:b/>
                <w:color w:val="FFFFFF"/>
                <w:sz w:val="18"/>
              </w:rPr>
              <w:t>Δ R²</w:t>
            </w:r>
          </w:p>
        </w:tc>
        <w:tc>
          <w:tcPr>
            <w:tcW w:type="dxa" w:w="1584"/>
            <w:shd w:val="clear" w:fill="2A2A28"/>
          </w:tcPr>
          <w:p>
            <w:r/>
            <w:r>
              <w:rPr>
                <w:b/>
                <w:color w:val="FFFFFF"/>
                <w:sz w:val="18"/>
              </w:rPr>
              <w:t>Folds</w:t>
            </w:r>
          </w:p>
        </w:tc>
      </w:tr>
      <w:tr>
        <w:tc>
          <w:tcPr>
            <w:tcW w:type="dxa" w:w="3744"/>
          </w:tcPr>
          <w:p>
            <w:r/>
            <w:r>
              <w:rPr>
                <w:sz w:val="18"/>
              </w:rPr>
              <w:t>Notícia (tom bruto)</w:t>
            </w:r>
          </w:p>
        </w:tc>
        <w:tc>
          <w:tcPr>
            <w:tcW w:type="dxa" w:w="1872"/>
          </w:tcPr>
          <w:p>
            <w:r/>
            <w:r>
              <w:rPr>
                <w:sz w:val="18"/>
              </w:rPr>
              <w:t>−0,008</w:t>
            </w:r>
          </w:p>
        </w:tc>
        <w:tc>
          <w:tcPr>
            <w:tcW w:type="dxa" w:w="1584"/>
          </w:tcPr>
          <w:p>
            <w:r/>
            <w:r>
              <w:rPr>
                <w:sz w:val="18"/>
              </w:rPr>
              <w:t>1/5</w:t>
            </w:r>
          </w:p>
        </w:tc>
      </w:tr>
      <w:tr>
        <w:tc>
          <w:tcPr>
            <w:tcW w:type="dxa" w:w="3744"/>
          </w:tcPr>
          <w:p>
            <w:r/>
            <w:r>
              <w:rPr>
                <w:sz w:val="18"/>
              </w:rPr>
              <w:t>Notícia (suavizada 21d)</w:t>
            </w:r>
          </w:p>
        </w:tc>
        <w:tc>
          <w:tcPr>
            <w:tcW w:type="dxa" w:w="1872"/>
          </w:tcPr>
          <w:p>
            <w:r/>
            <w:r>
              <w:rPr>
                <w:sz w:val="18"/>
              </w:rPr>
              <w:t>−0,001</w:t>
            </w:r>
          </w:p>
        </w:tc>
        <w:tc>
          <w:tcPr>
            <w:tcW w:type="dxa" w:w="1584"/>
          </w:tcPr>
          <w:p>
            <w:r/>
            <w:r>
              <w:rPr>
                <w:sz w:val="18"/>
              </w:rPr>
              <w:t>3/5</w:t>
            </w:r>
          </w:p>
        </w:tc>
      </w:tr>
      <w:tr>
        <w:tc>
          <w:tcPr>
            <w:tcW w:type="dxa" w:w="3744"/>
          </w:tcPr>
          <w:p>
            <w:r/>
            <w:r>
              <w:rPr>
                <w:sz w:val="18"/>
              </w:rPr>
              <w:t>Risco fiscal (surpresa)</w:t>
            </w:r>
          </w:p>
        </w:tc>
        <w:tc>
          <w:tcPr>
            <w:tcW w:type="dxa" w:w="1872"/>
          </w:tcPr>
          <w:p>
            <w:r/>
            <w:r>
              <w:rPr>
                <w:sz w:val="18"/>
              </w:rPr>
              <w:t>+0,017</w:t>
            </w:r>
          </w:p>
        </w:tc>
        <w:tc>
          <w:tcPr>
            <w:tcW w:type="dxa" w:w="1584"/>
          </w:tcPr>
          <w:p>
            <w:r/>
            <w:r>
              <w:rPr>
                <w:sz w:val="18"/>
              </w:rPr>
              <w:t>3/5</w:t>
            </w:r>
          </w:p>
        </w:tc>
      </w:tr>
      <w:tr>
        <w:tc>
          <w:tcPr>
            <w:tcW w:type="dxa" w:w="3744"/>
          </w:tcPr>
          <w:p>
            <w:r/>
            <w:r>
              <w:rPr>
                <w:sz w:val="18"/>
              </w:rPr>
              <w:t>Credibilidade (Barro-Gordon)</w:t>
            </w:r>
          </w:p>
        </w:tc>
        <w:tc>
          <w:tcPr>
            <w:tcW w:type="dxa" w:w="1872"/>
          </w:tcPr>
          <w:p>
            <w:r/>
            <w:r>
              <w:rPr>
                <w:sz w:val="18"/>
              </w:rPr>
              <w:t>+0,053</w:t>
            </w:r>
          </w:p>
        </w:tc>
        <w:tc>
          <w:tcPr>
            <w:tcW w:type="dxa" w:w="1584"/>
          </w:tcPr>
          <w:p>
            <w:r/>
            <w:r>
              <w:rPr>
                <w:sz w:val="18"/>
              </w:rPr>
              <w:t>3/5</w:t>
            </w:r>
          </w:p>
        </w:tc>
      </w:tr>
    </w:tbl>
    <w:p>
      <w:pPr>
        <w:spacing w:after="80"/>
      </w:pPr>
    </w:p>
    <w:p>
      <w:pPr>
        <w:spacing w:after="120" w:before="0"/>
      </w:pPr>
      <w:r>
        <w:rPr>
          <w:b w:val="0"/>
          <w:i w:val="0"/>
          <w:color w:val="0B0B0B"/>
          <w:sz w:val="21"/>
        </w:rPr>
        <w:t>A notícia é a PIOR camada em horizonte de um dia — o oposto do que a hipótese previa. Nenhuma das dez combinações de camada e horizonte atravessa o critério de três exigências que passamos a aplicar: ganho positivo, apoio de pelo menos 4 folds em 5, e Diebold-Mariano significativo em janelas independentes.</w:t>
      </w:r>
    </w:p>
    <w:p>
      <w:r>
        <w:br w:type="page"/>
      </w:r>
    </w:p>
    <w:p>
      <w:pPr>
        <w:pStyle w:val="Heading1"/>
      </w:pPr>
      <w:r>
        <w:t>7. Limitações declaradas</w:t>
      </w:r>
    </w:p>
    <w:p>
      <w:pPr>
        <w:pStyle w:val="Heading2"/>
      </w:pPr>
      <w:r>
        <w:t>7.1 Ausência de histórico de volatilidade implícita</w:t>
      </w:r>
    </w:p>
    <w:p>
      <w:pPr>
        <w:spacing w:after="120" w:before="0"/>
      </w:pPr>
      <w:r>
        <w:rPr>
          <w:b w:val="0"/>
          <w:i w:val="0"/>
          <w:color w:val="0B0B0B"/>
          <w:sz w:val="21"/>
        </w:rPr>
        <w:t>É a limitação mais séria, e ela é estrutural, não uma falha de execução. A B3 sobrescreve o arquivo da superfície de volatilidade diariamente. A tese central do VolBoy — comparar RV prevista contra IV de mercado — não pode ser validada historicamente a partir dessa fonte.</w:t>
      </w:r>
    </w:p>
    <w:p>
      <w:pPr>
        <w:spacing w:after="120" w:before="0"/>
      </w:pPr>
      <w:r>
        <w:rPr>
          <w:b w:val="0"/>
          <w:i w:val="0"/>
          <w:color w:val="0B0B0B"/>
          <w:sz w:val="21"/>
        </w:rPr>
        <w:t>Esta limitação foi PARCIALMENTE SUPERADA depois da primeira versão deste relatório, por um caminho alternativo descrito na Seção 6.7: invertendo Black-76 sobre preços efetivamente negociados, reconstruímos 7346 observações de volatilidade implícita em 198 pregões, cobrindo 2018-01-31 a 2023-03-27.</w:t>
      </w:r>
    </w:p>
    <w:p>
      <w:pPr>
        <w:spacing w:after="120" w:before="0"/>
      </w:pPr>
      <w:r>
        <w:rPr>
          <w:b w:val="0"/>
          <w:i w:val="0"/>
          <w:color w:val="0B0B0B"/>
          <w:sz w:val="21"/>
        </w:rPr>
        <w:t>A limitação permanece real, porém, e em três frentes: a série é esparsa e ruidosa, porque vem de poucos negócios por pregão; a cobertura é boa nos anos antigos e péssima nos recentes, justamente o período da amostra principal; e a superfície completa por delta e vencimento continua indisponível. A validação histórica da tese ficou possível em parte do período, não em todo ele.</w:t>
      </w:r>
    </w:p>
    <w:p>
      <w:pPr>
        <w:pStyle w:val="Heading2"/>
      </w:pPr>
      <w:r>
        <w:t>7.2 O mercado de opções de dólar é ilíquido no nível de série</w:t>
      </w:r>
    </w:p>
    <w:p>
      <w:pPr>
        <w:spacing w:after="120" w:before="0"/>
      </w:pPr>
      <w:r>
        <w:rPr>
          <w:b w:val="0"/>
          <w:i w:val="0"/>
          <w:color w:val="0B0B0B"/>
          <w:sz w:val="21"/>
        </w:rPr>
        <w:t>Tentamos reconstruir a IV histórica a partir dos preços de ajuste das opções, invertendo Black-76 numericamente. A investigação nos arquivos oficiais da B3 mostrou que isso não é viável, e o motivo é um achado relevante por si só:</w:t>
      </w:r>
    </w:p>
    <w:tbl>
      <w:tblPr>
        <w:tblStyle w:val="TableGrid"/>
        <w:tblW w:type="auto" w:w="0"/>
        <w:jc w:val="center"/>
        <w:tblLook w:firstColumn="1" w:firstRow="1" w:lastColumn="0" w:lastRow="0" w:noHBand="0" w:noVBand="1" w:val="04A0"/>
      </w:tblPr>
      <w:tblGrid>
        <w:gridCol w:w="4816"/>
        <w:gridCol w:w="4816"/>
      </w:tblGrid>
      <w:tr>
        <w:tc>
          <w:tcPr>
            <w:tcW w:type="dxa" w:w="5760"/>
            <w:shd w:val="clear" w:fill="2A2A28"/>
          </w:tcPr>
          <w:p>
            <w:r/>
            <w:r>
              <w:rPr>
                <w:b/>
                <w:color w:val="FFFFFF"/>
                <w:sz w:val="18"/>
              </w:rPr>
              <w:t>Constatação (data verificada)</w:t>
            </w:r>
          </w:p>
        </w:tc>
        <w:tc>
          <w:tcPr>
            <w:tcW w:type="dxa" w:w="3456"/>
            <w:shd w:val="clear" w:fill="2A2A28"/>
          </w:tcPr>
          <w:p>
            <w:r/>
            <w:r>
              <w:rPr>
                <w:b/>
                <w:color w:val="FFFFFF"/>
                <w:sz w:val="18"/>
              </w:rPr>
              <w:t>Valor</w:t>
            </w:r>
          </w:p>
        </w:tc>
      </w:tr>
      <w:tr>
        <w:tc>
          <w:tcPr>
            <w:tcW w:type="dxa" w:w="5760"/>
          </w:tcPr>
          <w:p>
            <w:r/>
            <w:r>
              <w:rPr>
                <w:sz w:val="18"/>
              </w:rPr>
              <w:t>Séries de opções de dólar no arquivo</w:t>
            </w:r>
          </w:p>
        </w:tc>
        <w:tc>
          <w:tcPr>
            <w:tcW w:type="dxa" w:w="3456"/>
          </w:tcPr>
          <w:p>
            <w:r/>
            <w:r>
              <w:rPr>
                <w:sz w:val="18"/>
              </w:rPr>
              <w:t>2.042</w:t>
            </w:r>
          </w:p>
        </w:tc>
      </w:tr>
      <w:tr>
        <w:tc>
          <w:tcPr>
            <w:tcW w:type="dxa" w:w="5760"/>
          </w:tcPr>
          <w:p>
            <w:r/>
            <w:r>
              <w:rPr>
                <w:sz w:val="18"/>
              </w:rPr>
              <w:t>Séries com preço de ajuste publicado</w:t>
            </w:r>
          </w:p>
        </w:tc>
        <w:tc>
          <w:tcPr>
            <w:tcW w:type="dxa" w:w="3456"/>
          </w:tcPr>
          <w:p>
            <w:r/>
            <w:r>
              <w:rPr>
                <w:sz w:val="18"/>
              </w:rPr>
              <w:t>0</w:t>
            </w:r>
          </w:p>
        </w:tc>
      </w:tr>
      <w:tr>
        <w:tc>
          <w:tcPr>
            <w:tcW w:type="dxa" w:w="5760"/>
          </w:tcPr>
          <w:p>
            <w:r/>
            <w:r>
              <w:rPr>
                <w:sz w:val="18"/>
              </w:rPr>
              <w:t>Séries que efetivamente negociaram</w:t>
            </w:r>
          </w:p>
        </w:tc>
        <w:tc>
          <w:tcPr>
            <w:tcW w:type="dxa" w:w="3456"/>
          </w:tcPr>
          <w:p>
            <w:r/>
            <w:r>
              <w:rPr>
                <w:sz w:val="18"/>
              </w:rPr>
              <w:t>10 (com 1 a 2 negócios cada)</w:t>
            </w:r>
          </w:p>
        </w:tc>
      </w:tr>
    </w:tbl>
    <w:p>
      <w:pPr>
        <w:spacing w:after="80"/>
      </w:pPr>
    </w:p>
    <w:p>
      <w:pPr>
        <w:spacing w:after="120" w:before="0"/>
      </w:pPr>
      <w:r>
        <w:rPr>
          <w:b w:val="0"/>
          <w:i w:val="0"/>
          <w:color w:val="0B0B0B"/>
          <w:sz w:val="21"/>
        </w:rPr>
        <w:t>Isso explica por que a própria B3 constrói a superfície a partir de um painel de informantes, e não a partir de negócios: não existe mercado líquido de onde derivá-la. Duas implicações diretas para o VolBoy:</w:t>
      </w:r>
    </w:p>
    <w:p>
      <w:pPr>
        <w:pStyle w:val="ListBullet"/>
        <w:spacing w:after="60"/>
      </w:pPr>
      <w:r>
        <w:rPr>
          <w:sz w:val="21"/>
        </w:rPr>
        <w:t>A hipótese de custo de 5% do prêmio é provavelmente otimista para um mercado com essa liquidez.</w:t>
      </w:r>
    </w:p>
    <w:p>
      <w:pPr>
        <w:pStyle w:val="ListBullet"/>
        <w:spacing w:after="60"/>
      </w:pPr>
      <w:r>
        <w:rPr>
          <w:sz w:val="21"/>
        </w:rPr>
        <w:t>A execução de um straddle no dinheiro enfrentaria dificuldade real, além do custo — um risco que a simulação não captura.</w:t>
      </w:r>
    </w:p>
    <w:p>
      <w:pPr>
        <w:pStyle w:val="Heading2"/>
      </w:pPr>
      <w:r>
        <w:t>7.3 Amostra e período</w:t>
      </w:r>
    </w:p>
    <w:p>
      <w:pPr>
        <w:spacing w:after="120" w:before="0"/>
      </w:pPr>
      <w:r>
        <w:rPr>
          <w:b w:val="0"/>
          <w:i w:val="0"/>
          <w:color w:val="0B0B0B"/>
          <w:sz w:val="21"/>
        </w:rPr>
        <w:t>Cerca de três anos e quatro meses de dados, com aproximadamente 830 pregões. Para um alvo de 21 dias, isso significa poucas dezenas de janelas verdadeiramente independentes. Conclusões sobre ausência de sinal valem para este período e este instrumento; não são afirmações universais.</w:t>
      </w:r>
    </w:p>
    <w:p>
      <w:pPr>
        <w:pStyle w:val="Heading2"/>
      </w:pPr>
      <w:r>
        <w:t>7.4 Simplificações de apreçamento assumidas</w:t>
      </w:r>
    </w:p>
    <w:p>
      <w:pPr>
        <w:pStyle w:val="ListBullet"/>
        <w:spacing w:after="60"/>
      </w:pPr>
      <w:r>
        <w:rPr>
          <w:b/>
          <w:sz w:val="21"/>
        </w:rPr>
        <w:t xml:space="preserve">Taxa de juros nula no Black-76. </w:t>
      </w:r>
      <w:r>
        <w:rPr>
          <w:sz w:val="21"/>
        </w:rPr>
        <w:t>Sem curva de juros própria coletada. Afeta o nível do prêmio, não a forma do vega usada no dimensionamento.</w:t>
      </w:r>
    </w:p>
    <w:p>
      <w:pPr>
        <w:pStyle w:val="ListBullet"/>
        <w:spacing w:after="60"/>
      </w:pPr>
      <w:r>
        <w:rPr>
          <w:b/>
          <w:sz w:val="21"/>
        </w:rPr>
        <w:t xml:space="preserve">Spot como proxy do forward. </w:t>
      </w:r>
      <w:r>
        <w:rPr>
          <w:sz w:val="21"/>
        </w:rPr>
        <w:t>Pelo mesmo motivo — sem curva, não há como calcular o forward via paridade coberta de juros.</w:t>
      </w:r>
    </w:p>
    <w:p>
      <w:pPr>
        <w:pStyle w:val="ListBullet"/>
        <w:spacing w:after="60"/>
      </w:pPr>
      <w:r>
        <w:rPr>
          <w:b/>
          <w:sz w:val="21"/>
        </w:rPr>
        <w:t xml:space="preserve">Ausência de delta-hedge dinâmico. </w:t>
      </w:r>
      <w:r>
        <w:rPr>
          <w:sz w:val="21"/>
        </w:rPr>
        <w:t>O payoff terminal do straddle é calculado de forma exata, o que é adequado para uma estratégia de nível de volatilidade, mas não captura o resultado de gamma scalping intradiário.</w:t>
      </w:r>
    </w:p>
    <w:p>
      <w:r>
        <w:br w:type="page"/>
      </w:r>
    </w:p>
    <w:p>
      <w:pPr>
        <w:pStyle w:val="Heading1"/>
      </w:pPr>
      <w:r>
        <w:t>8. Conclusão e próximos passos</w:t>
      </w:r>
    </w:p>
    <w:p>
      <w:pPr>
        <w:pStyle w:val="Heading2"/>
      </w:pPr>
      <w:r>
        <w:t>8.1 O projeto atendeu ao que se propôs?</w:t>
      </w:r>
    </w:p>
    <w:p>
      <w:pPr>
        <w:spacing w:after="120" w:before="0"/>
      </w:pPr>
      <w:r>
        <w:rPr>
          <w:b w:val="0"/>
          <w:i w:val="0"/>
          <w:color w:val="0B0B0B"/>
          <w:sz w:val="21"/>
        </w:rPr>
        <w:t>A resposta honesta é parcialmente — e vale separar as duas partes com clareza.</w:t>
      </w:r>
    </w:p>
    <w:p>
      <w:pPr>
        <w:pStyle w:val="Heading3"/>
      </w:pPr>
      <w:r>
        <w:t>O que a hipótese central prometia</w:t>
      </w:r>
    </w:p>
    <w:p>
      <w:pPr>
        <w:spacing w:after="120" w:before="0"/>
      </w:pPr>
      <w:r>
        <w:rPr>
          <w:b w:val="0"/>
          <w:i w:val="0"/>
          <w:color w:val="0B0B0B"/>
          <w:sz w:val="21"/>
        </w:rPr>
        <w:t>A tese era que fluxo de notícias e credibilidade institucional melhorariam a previsão de volatilidade do dólar, gerando vantagem sobre a expectativa embutida no mercado. Essa hipótese foi testada com rigor e não se sustentou. Nenhuma das camadas produziu ganho consistente, e o teste mais direto — usá-las para corrigir o resíduo do melhor baseline — mostrou todas piorando o resultado. Como proposta de gerar alfa, o VolBoy não entrega.</w:t>
      </w:r>
    </w:p>
    <w:p>
      <w:pPr>
        <w:pStyle w:val="Heading3"/>
      </w:pPr>
      <w:r>
        <w:t>O que foi efetivamente construído</w:t>
      </w:r>
    </w:p>
    <w:p>
      <w:pPr>
        <w:pStyle w:val="ListBullet"/>
        <w:spacing w:after="60"/>
      </w:pPr>
      <w:r>
        <w:rPr>
          <w:b/>
          <w:sz w:val="21"/>
        </w:rPr>
        <w:t xml:space="preserve">Infraestrutura completa e reproduzível. </w:t>
      </w:r>
      <w:r>
        <w:rPr>
          <w:sz w:val="21"/>
        </w:rPr>
        <w:t>Coletores idempotentes para oito fontes públicas, 240 testes automatizados, pipeline modular com separação estrita entre I/O e lógica.</w:t>
      </w:r>
    </w:p>
    <w:p>
      <w:pPr>
        <w:pStyle w:val="ListBullet"/>
        <w:spacing w:after="60"/>
      </w:pPr>
      <w:r>
        <w:rPr>
          <w:b/>
          <w:sz w:val="21"/>
        </w:rPr>
        <w:t xml:space="preserve">Avaliação rigorosa. </w:t>
      </w:r>
      <w:r>
        <w:rPr>
          <w:sz w:val="21"/>
        </w:rPr>
        <w:t>Walk-forward purgado com embargo, R² agregado, Deflated Sharpe Ratio, custos sempre incluídos, registro auditável de todas as configurações testadas.</w:t>
      </w:r>
    </w:p>
    <w:p>
      <w:pPr>
        <w:pStyle w:val="ListBullet"/>
        <w:spacing w:after="60"/>
      </w:pPr>
      <w:r>
        <w:rPr>
          <w:b/>
          <w:sz w:val="21"/>
        </w:rPr>
        <w:t xml:space="preserve">Capacidade de encontrar os próprios erros. </w:t>
      </w:r>
      <w:r>
        <w:rPr>
          <w:sz w:val="21"/>
        </w:rPr>
        <w:t>Dois defeitos metodológicos silenciosos — que produziam números plausíveis e errados — foram detectados e corrigidos por verificação ativa, não por acaso.</w:t>
      </w:r>
    </w:p>
    <w:p>
      <w:pPr>
        <w:pStyle w:val="ListBullet"/>
        <w:spacing w:after="60"/>
      </w:pPr>
      <w:r>
        <w:rPr>
          <w:b/>
          <w:sz w:val="21"/>
        </w:rPr>
        <w:t xml:space="preserve">Um diagnóstico específico e testável. </w:t>
      </w:r>
      <w:r>
        <w:rPr>
          <w:sz w:val="21"/>
        </w:rPr>
        <w:t>Não “nada funcionou”, mas: o sinal existe em horizonte de um dia e desaparece em 21, e a estratégia precisa dele em 21.</w:t>
      </w:r>
    </w:p>
    <w:p>
      <w:pPr>
        <w:pStyle w:val="Heading2"/>
      </w:pPr>
      <w:r>
        <w:t>8.2 O que foi mais interessante de analisar</w:t>
      </w:r>
    </w:p>
    <w:p>
      <w:pPr>
        <w:spacing w:after="120" w:before="0"/>
      </w:pPr>
      <w:r>
        <w:rPr>
          <w:b w:val="0"/>
          <w:i w:val="0"/>
          <w:color w:val="0B0B0B"/>
          <w:sz w:val="21"/>
        </w:rPr>
        <w:t>Três episódios se destacam, e todos têm em comum o mesmo padrão: um resultado inicial favorável que não sobreviveu a escrutínio adicional.</w:t>
      </w:r>
    </w:p>
    <w:p>
      <w:pPr>
        <w:pStyle w:val="ListBullet"/>
        <w:spacing w:after="60"/>
      </w:pPr>
      <w:r>
        <w:rPr>
          <w:b/>
          <w:sz w:val="21"/>
        </w:rPr>
        <w:t xml:space="preserve">O FinBERT que funcionou e depois não. </w:t>
      </w:r>
      <w:r>
        <w:rPr>
          <w:sz w:val="21"/>
        </w:rPr>
        <w:t>Com 12 das 15 janelas de dados, a camada de sentimento fiscal parecia ajudar de forma consistente. Ao completar a coleta, o efeito inverteu completamente. É uma demonstração viva de armadilha de amostra pequena — e o resultado parcial era o mais animador que o projeto havia produzido.</w:t>
      </w:r>
    </w:p>
    <w:p>
      <w:pPr>
        <w:pStyle w:val="ListBullet"/>
        <w:spacing w:after="60"/>
      </w:pPr>
      <w:r>
        <w:rPr>
          <w:b/>
          <w:sz w:val="21"/>
        </w:rPr>
        <w:t xml:space="preserve">A configuração vencedora que era sorte. </w:t>
      </w:r>
      <w:r>
        <w:rPr>
          <w:sz w:val="21"/>
        </w:rPr>
        <w:t>Uma combinação de walk-forward superou a persistência. Testar as configurações vizinhas mostrou que todas falhavam — era seleção por acaso, exatamente o que o Deflated Sharpe existe para prevenir. Foi rejeitada.</w:t>
      </w:r>
    </w:p>
    <w:p>
      <w:pPr>
        <w:pStyle w:val="ListBullet"/>
        <w:spacing w:after="60"/>
      </w:pPr>
      <w:r>
        <w:rPr>
          <w:b/>
          <w:sz w:val="21"/>
        </w:rPr>
        <w:t xml:space="preserve">O R² positivo que a fonte correta desfez. </w:t>
      </w:r>
      <w:r>
        <w:rPr>
          <w:sz w:val="21"/>
        </w:rPr>
        <w:t>O único resultado positivo do projeto vinha de uma fonte de preço com defeito estrutural. Ao usar o instrumento efetivamente negociado, ele desapareceu.</w:t>
      </w:r>
    </w:p>
    <w:p>
      <w:pPr>
        <w:pStyle w:val="ListBullet"/>
        <w:spacing w:after="60"/>
      </w:pPr>
      <w:r>
        <w:rPr>
          <w:b/>
          <w:sz w:val="21"/>
        </w:rPr>
        <w:t xml:space="preserve">O ranking de modelos que se inverteu. </w:t>
      </w:r>
      <w:r>
        <w:rPr>
          <w:sz w:val="21"/>
        </w:rPr>
        <w:t>Mais grave que o item anterior: o mesmo defeito de dados fazia a persistência parecer superior ao HAR-RV em todos os horizontes. Na fonte correta, o HAR-RV vence em cinco de seis. Um defeito silencioso não produz apenas um número errado — ele reordena qual modelo parece melhor e redireciona a agenda de pesquisa.</w:t>
      </w:r>
    </w:p>
    <w:p>
      <w:pPr>
        <w:pStyle w:val="ListBullet"/>
        <w:spacing w:after="60"/>
      </w:pPr>
      <w:r>
        <w:rPr>
          <w:b/>
          <w:sz w:val="21"/>
        </w:rPr>
        <w:t xml:space="preserve">A significância que evaporou ao corrigir a sobreposição. </w:t>
      </w:r>
      <w:r>
        <w:rPr>
          <w:sz w:val="21"/>
        </w:rPr>
        <w:t>No teste de credibilidade contra assimetria, janelas sobrepostas produziam p &lt; 0,001. Com janelas independentes, nada sobrevive. O mesmo dado, duas conclusões opostas, dependendo apenas de um cuidado estatístico.</w:t>
      </w:r>
    </w:p>
    <w:p>
      <w:pPr>
        <w:spacing w:after="120" w:before="0"/>
      </w:pPr>
      <w:r>
        <w:rPr>
          <w:b w:val="0"/>
          <w:i/>
          <w:color w:val="0B0B0B"/>
          <w:sz w:val="21"/>
        </w:rPr>
        <w:t>Se há uma lição transversal, é que a diferença entre um projeto quantitativo confiável e um enganoso raramente está no modelo — está na disposição de continuar testando depois que o resultado já ficou bom.</w:t>
      </w:r>
    </w:p>
    <w:p>
      <w:pPr>
        <w:pStyle w:val="Heading2"/>
      </w:pPr>
      <w:r>
        <w:t>8.3 Próximos passos</w:t>
      </w:r>
    </w:p>
    <w:p>
      <w:pPr>
        <w:pStyle w:val="Heading3"/>
      </w:pPr>
      <w:r>
        <w:t>Prioridade alta — destravam validação</w:t>
      </w:r>
    </w:p>
    <w:p>
      <w:pPr>
        <w:pStyle w:val="ListBullet"/>
        <w:spacing w:after="60"/>
      </w:pPr>
      <w:r>
        <w:rPr>
          <w:b/>
          <w:sz w:val="21"/>
        </w:rPr>
        <w:t xml:space="preserve">Arquivar a superfície de IV diariamente. </w:t>
      </w:r>
      <w:r>
        <w:rPr>
          <w:sz w:val="21"/>
        </w:rPr>
        <w:t>Trivial de implementar e já deveria estar rodando: cada dia sem coletar é um dia de histórico perdido para sempre. É o único caminho para validar a tese central.</w:t>
      </w:r>
    </w:p>
    <w:p>
      <w:pPr>
        <w:pStyle w:val="ListBullet"/>
        <w:spacing w:after="60"/>
      </w:pPr>
      <w:r>
        <w:rPr>
          <w:b/>
          <w:sz w:val="21"/>
        </w:rPr>
        <w:t xml:space="preserve">Reformular o horizonte da estratégia. </w:t>
      </w:r>
      <w:r>
        <w:rPr>
          <w:sz w:val="21"/>
        </w:rPr>
        <w:t>O diagnóstico da Seção 5.7 aponta diretamente para isso. Se o sinal está em horizonte curto, a estratégia precisaria operar opções de prazo curto — o que esbarra na liquidez documentada na Seção 7.2. Avaliar essa tensão é a decisão estratégica mais importante do projeto.</w:t>
      </w:r>
    </w:p>
    <w:p>
      <w:pPr>
        <w:pStyle w:val="Heading3"/>
      </w:pPr>
      <w:r>
        <w:t>Prioridade alta — o fio a puxar</w:t>
      </w:r>
    </w:p>
    <w:p>
      <w:pPr>
        <w:pStyle w:val="ListBullet"/>
        <w:spacing w:after="60"/>
      </w:pPr>
      <w:r>
        <w:rPr>
          <w:b/>
          <w:sz w:val="21"/>
        </w:rPr>
        <w:t xml:space="preserve">Reavaliar a camada de notícia com mais dados. </w:t>
      </w:r>
      <w:r>
        <w:rPr>
          <w:sz w:val="21"/>
        </w:rPr>
        <w:t>É a única com ganho positivo na fonte correta (Seção 6.2), mas de magnitude indistinguível de ruído e com o mesmo perfil de um falso positivo que já observamos. Mais período de amostra é o que decide.</w:t>
      </w:r>
    </w:p>
    <w:p>
      <w:pPr>
        <w:pStyle w:val="Heading3"/>
      </w:pPr>
      <w:r>
        <w:t>Prioridade média — melhoram a base</w:t>
      </w:r>
    </w:p>
    <w:p>
      <w:pPr>
        <w:pStyle w:val="ListBullet"/>
        <w:spacing w:after="60"/>
      </w:pPr>
      <w:r>
        <w:rPr>
          <w:b/>
          <w:sz w:val="21"/>
        </w:rPr>
        <w:t xml:space="preserve">Refazer o teste de overnight com dados corretos. </w:t>
      </w:r>
      <w:r>
        <w:rPr>
          <w:sz w:val="21"/>
        </w:rPr>
        <w:t>A B3 fornece primeiro e último negócio do pregão, permitindo um teste legítimo de gap overnight pela primeira vez.</w:t>
      </w:r>
    </w:p>
    <w:p>
      <w:pPr>
        <w:pStyle w:val="ListBullet"/>
        <w:spacing w:after="60"/>
      </w:pPr>
      <w:r>
        <w:rPr>
          <w:b/>
          <w:sz w:val="21"/>
        </w:rPr>
        <w:t xml:space="preserve">Modelar o prêmio de risco de forma variável. </w:t>
      </w:r>
      <w:r>
        <w:rPr>
          <w:sz w:val="21"/>
        </w:rPr>
        <w:t>A proxy de IV atual usa um multiplicador constante, que é a origem da colinearidade discutida em 6.3.</w:t>
      </w:r>
    </w:p>
    <w:p>
      <w:pPr>
        <w:pStyle w:val="Heading3"/>
      </w:pPr>
      <w:r>
        <w:t>Escopo descartado conscientemente</w:t>
      </w:r>
    </w:p>
    <w:p>
      <w:pPr>
        <w:pStyle w:val="ListBullet"/>
        <w:spacing w:after="60"/>
      </w:pPr>
      <w:r>
        <w:rPr>
          <w:b/>
          <w:sz w:val="21"/>
        </w:rPr>
        <w:t xml:space="preserve">Modelos mais complexos — testado, ver Seção 6.8. </w:t>
      </w:r>
      <w:r>
        <w:rPr>
          <w:sz w:val="21"/>
        </w:rPr>
        <w:t>Gradient boosting foi avaliado com hiperparâmetros pré-registrados e dois base learners: o HAR-RV linear vence em todos os horizontes a partir de três dias, e a desvantagem do modelo de maior capacidade cresce conforme caem as observações independentes. O que era argumento passou a ser medição.</w:t>
      </w:r>
    </w:p>
    <w:p>
      <w:pPr>
        <w:pStyle w:val="ListBullet"/>
        <w:spacing w:after="60"/>
      </w:pPr>
      <w:r>
        <w:rPr>
          <w:b/>
          <w:sz w:val="21"/>
        </w:rPr>
        <w:t xml:space="preserve">Tier 2 e 3 da camada de credibilidade. </w:t>
      </w:r>
      <w:r>
        <w:rPr>
          <w:sz w:val="21"/>
        </w:rPr>
        <w:t>Classificador hawkish/dovish, θ como estado latente, momentos implícitos BKM. Interessantes conceitualmente, mas o Tier 1 já não mostrou sinal — não há razão para sofisticar a camada antes de haver evidência de que ela carrega informação.</w:t>
      </w:r>
    </w:p>
    <w:p>
      <w:pPr>
        <w:pStyle w:val="Heading2"/>
      </w:pPr>
      <w:r>
        <w:t>8.4 Considerações finais</w:t>
      </w:r>
    </w:p>
    <w:p>
      <w:pPr>
        <w:spacing w:after="120" w:before="0"/>
      </w:pPr>
      <w:r>
        <w:rPr>
          <w:b w:val="0"/>
          <w:i w:val="0"/>
          <w:color w:val="0B0B0B"/>
          <w:sz w:val="21"/>
        </w:rPr>
        <w:t>O VolBoy termina este ciclo sem demonstrar vantagem preditiva sobre o mercado — e com uma compreensão precisa do motivo. Consideramos que a segunda parte tem mais valor que a primeira teria isoladamente: uma estratégia que parece funcionar sem que se saiba por quê é um passivo; um resultado negativo bem estabelecido é conhecimento.</w:t>
      </w:r>
    </w:p>
    <w:p>
      <w:pPr>
        <w:spacing w:after="120" w:before="0"/>
      </w:pPr>
      <w:r>
        <w:rPr>
          <w:b w:val="0"/>
          <w:i w:val="0"/>
          <w:color w:val="0B0B0B"/>
          <w:sz w:val="21"/>
        </w:rPr>
        <w:t>O projeto entrega uma infraestrutura reproduzível, um método de avaliação que resistiu a múltiplas tentativas de encontrar sinal onde não havia, e um registro completo do que foi tentado — incluindo os erros cometidos e o modo como foram descobertos. Para uma equipe que vai continuar operando neste espaço, esse conjunto vale mais que um backtest favorável de origem incerta.</w:t>
      </w:r>
    </w:p>
    <w:p>
      <w:r>
        <w:br w:type="page"/>
      </w:r>
    </w:p>
    <w:p>
      <w:pPr>
        <w:pStyle w:val="Heading1"/>
      </w:pPr>
      <w:r>
        <w:t>9. Referências</w:t>
      </w:r>
    </w:p>
    <w:p>
      <w:pPr>
        <w:pStyle w:val="ListBullet"/>
        <w:spacing w:after="60"/>
      </w:pPr>
      <w:r>
        <w:rPr>
          <w:sz w:val="19"/>
        </w:rPr>
        <w:t>Corsi, F. (2009). A Simple Approximate Long-Memory Model of Realized Volatility. Journal of Financial Econometrics.</w:t>
      </w:r>
    </w:p>
    <w:p>
      <w:pPr>
        <w:pStyle w:val="ListBullet"/>
        <w:spacing w:after="60"/>
      </w:pPr>
      <w:r>
        <w:rPr>
          <w:sz w:val="19"/>
        </w:rPr>
        <w:t>Parkinson, M. (1980). The Extreme Value Method for Estimating the Variance of the Rate of Return. Journal of Business.</w:t>
      </w:r>
    </w:p>
    <w:p>
      <w:pPr>
        <w:pStyle w:val="ListBullet"/>
        <w:spacing w:after="60"/>
      </w:pPr>
      <w:r>
        <w:rPr>
          <w:sz w:val="19"/>
        </w:rPr>
        <w:t>Black, F. (1976). The Pricing of Commodity Contracts. Journal of Financial Economics.</w:t>
      </w:r>
    </w:p>
    <w:p>
      <w:pPr>
        <w:pStyle w:val="ListBullet"/>
        <w:spacing w:after="60"/>
      </w:pPr>
      <w:r>
        <w:rPr>
          <w:sz w:val="19"/>
        </w:rPr>
        <w:t>Bollerslev, T. (1986). Generalized Autoregressive Conditional Heteroskedasticity. Journal of Econometrics.</w:t>
      </w:r>
    </w:p>
    <w:p>
      <w:pPr>
        <w:pStyle w:val="ListBullet"/>
        <w:spacing w:after="60"/>
      </w:pPr>
      <w:r>
        <w:rPr>
          <w:sz w:val="19"/>
        </w:rPr>
        <w:t>López de Prado, M. (2018). Advances in Financial Machine Learning. Wiley.</w:t>
      </w:r>
    </w:p>
    <w:p>
      <w:pPr>
        <w:pStyle w:val="ListBullet"/>
        <w:spacing w:after="60"/>
      </w:pPr>
      <w:r>
        <w:rPr>
          <w:sz w:val="19"/>
        </w:rPr>
        <w:t>Bailey, D. H. &amp; López de Prado, M. (2014). The Deflated Sharpe Ratio. Journal of Portfolio Management.</w:t>
      </w:r>
    </w:p>
    <w:p>
      <w:pPr>
        <w:pStyle w:val="ListBullet"/>
        <w:spacing w:after="60"/>
      </w:pPr>
      <w:r>
        <w:rPr>
          <w:sz w:val="19"/>
        </w:rPr>
        <w:t>Barro, R. J. &amp; Gordon, D. B. (1983). A Positive Theory of Monetary Policy in a Natural Rate Model. Journal of Political Economy.</w:t>
      </w:r>
    </w:p>
    <w:p>
      <w:pPr>
        <w:pStyle w:val="ListBullet"/>
        <w:spacing w:after="60"/>
      </w:pPr>
      <w:r>
        <w:rPr>
          <w:sz w:val="19"/>
        </w:rPr>
        <w:t>Gu, S., Kelly, B. &amp; Xiu, D. (2020). Empirical Asset Pricing via Machine Learning. Review of Financial Studies.</w:t>
      </w:r>
    </w:p>
    <w:p>
      <w:pPr>
        <w:pStyle w:val="ListBullet"/>
        <w:spacing w:after="60"/>
      </w:pPr>
      <w:r>
        <w:rPr>
          <w:sz w:val="19"/>
        </w:rPr>
        <w:t>Barndorff-Nielsen, O., Kinnebrock, S. &amp; Shephard, N. (2010). Measuring Downside Risk: Realised Semivariance.</w:t>
      </w:r>
    </w:p>
    <w:p>
      <w:pPr>
        <w:pStyle w:val="ListBullet"/>
        <w:spacing w:after="60"/>
      </w:pPr>
      <w:r>
        <w:rPr>
          <w:sz w:val="19"/>
        </w:rPr>
        <w:t>Kambouroudis, D., McMillan, D. &amp; Tsakou, K. (2021). Forecasting realized volatility. Journal of Futures Markets.</w:t>
      </w:r>
    </w:p>
    <w:p>
      <w:pPr>
        <w:pStyle w:val="ListBullet"/>
        <w:spacing w:after="60"/>
      </w:pPr>
      <w:r>
        <w:rPr>
          <w:sz w:val="19"/>
        </w:rPr>
        <w:t>FinBERT-PT-BR — huggingface.co/lucas-leme/FinBERT-PT-BR</w:t>
      </w:r>
    </w:p>
    <w:p>
      <w:pPr>
        <w:pStyle w:val="ListBullet"/>
        <w:spacing w:after="60"/>
      </w:pPr>
      <w:r>
        <w:rPr>
          <w:sz w:val="19"/>
        </w:rPr>
        <w:t>B3 — Manual de Apreçamento de Opções; arquivos BVBG-086.</w:t>
      </w:r>
    </w:p>
    <w:p>
      <w:pPr>
        <w:pStyle w:val="ListBullet"/>
        <w:spacing w:after="60"/>
      </w:pPr>
      <w:r>
        <w:rPr>
          <w:sz w:val="19"/>
        </w:rPr>
        <w:t>Banco Central do Brasil — API SGS, API Olinda (Focus).</w:t>
      </w:r>
    </w:p>
    <w:p>
      <w:pPr>
        <w:pStyle w:val="ListBullet"/>
        <w:spacing w:after="60"/>
      </w:pPr>
      <w:r>
        <w:rPr>
          <w:sz w:val="19"/>
        </w:rPr>
        <w:t>GDELT Project — DOC 2.0 API.</w:t>
      </w:r>
    </w:p>
    <w:p>
      <w:pPr>
        <w:pStyle w:val="Heading1"/>
      </w:pPr>
      <w:r>
        <w:t>Anexo — mapa do código</w:t>
      </w:r>
    </w:p>
    <w:tbl>
      <w:tblPr>
        <w:tblStyle w:val="TableGrid"/>
        <w:tblW w:type="auto" w:w="0"/>
        <w:jc w:val="center"/>
        <w:tblLook w:firstColumn="1" w:firstRow="1" w:lastColumn="0" w:lastRow="0" w:noHBand="0" w:noVBand="1" w:val="04A0"/>
      </w:tblPr>
      <w:tblGrid>
        <w:gridCol w:w="4816"/>
        <w:gridCol w:w="4816"/>
      </w:tblGrid>
      <w:tr>
        <w:tc>
          <w:tcPr>
            <w:tcW w:type="dxa" w:w="1872"/>
            <w:shd w:val="clear" w:fill="2A2A28"/>
          </w:tcPr>
          <w:p>
            <w:r/>
            <w:r>
              <w:rPr>
                <w:b/>
                <w:color w:val="FFFFFF"/>
                <w:sz w:val="18"/>
              </w:rPr>
              <w:t>Módulo</w:t>
            </w:r>
          </w:p>
        </w:tc>
        <w:tc>
          <w:tcPr>
            <w:tcW w:type="dxa" w:w="7344"/>
            <w:shd w:val="clear" w:fill="2A2A28"/>
          </w:tcPr>
          <w:p>
            <w:r/>
            <w:r>
              <w:rPr>
                <w:b/>
                <w:color w:val="FFFFFF"/>
                <w:sz w:val="18"/>
              </w:rPr>
              <w:t>Responsabilidade</w:t>
            </w:r>
          </w:p>
        </w:tc>
      </w:tr>
      <w:tr>
        <w:tc>
          <w:tcPr>
            <w:tcW w:type="dxa" w:w="1872"/>
          </w:tcPr>
          <w:p>
            <w:r/>
            <w:r>
              <w:rPr>
                <w:sz w:val="18"/>
              </w:rPr>
              <w:t>data/</w:t>
            </w:r>
          </w:p>
        </w:tc>
        <w:tc>
          <w:tcPr>
            <w:tcW w:type="dxa" w:w="7344"/>
          </w:tcPr>
          <w:p>
            <w:r/>
            <w:r>
              <w:rPr>
                <w:sz w:val="18"/>
              </w:rPr>
              <w:t>Oito coletores idempotentes: B3 (futuros, superfície de IV), BCB (PTAX, Focus, IBC-Br, COPOM), GDELT, RSS, VIX/DXY</w:t>
            </w:r>
          </w:p>
        </w:tc>
      </w:tr>
      <w:tr>
        <w:tc>
          <w:tcPr>
            <w:tcW w:type="dxa" w:w="1872"/>
          </w:tcPr>
          <w:p>
            <w:r/>
            <w:r>
              <w:rPr>
                <w:sz w:val="18"/>
              </w:rPr>
              <w:t>vol/</w:t>
            </w:r>
          </w:p>
        </w:tc>
        <w:tc>
          <w:tcPr>
            <w:tcW w:type="dxa" w:w="7344"/>
          </w:tcPr>
          <w:p>
            <w:r/>
            <w:r>
              <w:rPr>
                <w:sz w:val="18"/>
              </w:rPr>
              <w:t>RV realizada (Parkinson), IV implícita interpolada, Black-76 e gregas, previsão HAR-RV e GARCH</w:t>
            </w:r>
          </w:p>
        </w:tc>
      </w:tr>
      <w:tr>
        <w:tc>
          <w:tcPr>
            <w:tcW w:type="dxa" w:w="1872"/>
          </w:tcPr>
          <w:p>
            <w:r/>
            <w:r>
              <w:rPr>
                <w:sz w:val="18"/>
              </w:rPr>
              <w:t>sentiment/</w:t>
            </w:r>
          </w:p>
        </w:tc>
        <w:tc>
          <w:tcPr>
            <w:tcW w:type="dxa" w:w="7344"/>
          </w:tcPr>
          <w:p>
            <w:r/>
            <w:r>
              <w:rPr>
                <w:sz w:val="18"/>
              </w:rPr>
              <w:t>FinBERT-PT-BR e agregação em índice diário, com filtro de idioma</w:t>
            </w:r>
          </w:p>
        </w:tc>
      </w:tr>
      <w:tr>
        <w:tc>
          <w:tcPr>
            <w:tcW w:type="dxa" w:w="1872"/>
          </w:tcPr>
          <w:p>
            <w:r/>
            <w:r>
              <w:rPr>
                <w:sz w:val="18"/>
              </w:rPr>
              <w:t>credibility/</w:t>
            </w:r>
          </w:p>
        </w:tc>
        <w:tc>
          <w:tcPr>
            <w:tcW w:type="dxa" w:w="7344"/>
          </w:tcPr>
          <w:p>
            <w:r/>
            <w:r>
              <w:rPr>
                <w:sz w:val="18"/>
              </w:rPr>
              <w:t>Índice θₜ de credibilidade, hiato do produto por HP expansivo, ablação própria</w:t>
            </w:r>
          </w:p>
        </w:tc>
      </w:tr>
      <w:tr>
        <w:tc>
          <w:tcPr>
            <w:tcW w:type="dxa" w:w="1872"/>
          </w:tcPr>
          <w:p>
            <w:r/>
            <w:r>
              <w:rPr>
                <w:sz w:val="18"/>
              </w:rPr>
              <w:t>strategy/</w:t>
            </w:r>
          </w:p>
        </w:tc>
        <w:tc>
          <w:tcPr>
            <w:tcW w:type="dxa" w:w="7344"/>
          </w:tcPr>
          <w:p>
            <w:r/>
            <w:r>
              <w:rPr>
                <w:sz w:val="18"/>
              </w:rPr>
              <w:t>Regra de sinal com banda morta e dimensionamento por vega</w:t>
            </w:r>
          </w:p>
        </w:tc>
      </w:tr>
      <w:tr>
        <w:tc>
          <w:tcPr>
            <w:tcW w:type="dxa" w:w="1872"/>
          </w:tcPr>
          <w:p>
            <w:r/>
            <w:r>
              <w:rPr>
                <w:sz w:val="18"/>
              </w:rPr>
              <w:t>backtest/</w:t>
            </w:r>
          </w:p>
        </w:tc>
        <w:tc>
          <w:tcPr>
            <w:tcW w:type="dxa" w:w="7344"/>
          </w:tcPr>
          <w:p>
            <w:r/>
            <w:r>
              <w:rPr>
                <w:sz w:val="18"/>
              </w:rPr>
              <w:t>Walk-forward purgado, ablações formais, motor de P&amp;L, métricas robustas</w:t>
            </w:r>
          </w:p>
        </w:tc>
      </w:tr>
      <w:tr>
        <w:tc>
          <w:tcPr>
            <w:tcW w:type="dxa" w:w="1872"/>
          </w:tcPr>
          <w:p>
            <w:r/>
            <w:r>
              <w:rPr>
                <w:sz w:val="18"/>
              </w:rPr>
              <w:t>report/</w:t>
            </w:r>
          </w:p>
        </w:tc>
        <w:tc>
          <w:tcPr>
            <w:tcW w:type="dxa" w:w="7344"/>
          </w:tcPr>
          <w:p>
            <w:r/>
            <w:r>
              <w:rPr>
                <w:sz w:val="18"/>
              </w:rPr>
              <w:t>Gráficos, resumo e o script único que orquestra a avaliação</w:t>
            </w:r>
          </w:p>
        </w:tc>
      </w:tr>
      <w:tr>
        <w:tc>
          <w:tcPr>
            <w:tcW w:type="dxa" w:w="1872"/>
          </w:tcPr>
          <w:p>
            <w:r/>
            <w:r>
              <w:rPr>
                <w:sz w:val="18"/>
              </w:rPr>
              <w:t>relatorio/</w:t>
            </w:r>
          </w:p>
        </w:tc>
        <w:tc>
          <w:tcPr>
            <w:tcW w:type="dxa" w:w="7344"/>
          </w:tcPr>
          <w:p>
            <w:r/>
            <w:r>
              <w:rPr>
                <w:sz w:val="18"/>
              </w:rPr>
              <w:t>Geração deste documento e das figuras, a partir dos dados reais</w:t>
            </w:r>
          </w:p>
        </w:tc>
      </w:tr>
      <w:tr>
        <w:tc>
          <w:tcPr>
            <w:tcW w:type="dxa" w:w="1872"/>
          </w:tcPr>
          <w:p>
            <w:r/>
            <w:r>
              <w:rPr>
                <w:sz w:val="18"/>
              </w:rPr>
              <w:t>tests/</w:t>
            </w:r>
          </w:p>
        </w:tc>
        <w:tc>
          <w:tcPr>
            <w:tcW w:type="dxa" w:w="7344"/>
          </w:tcPr>
          <w:p>
            <w:r/>
            <w:r>
              <w:rPr>
                <w:sz w:val="18"/>
              </w:rPr>
              <w:t>240 testes, um arquivo por módulo</w:t>
            </w:r>
          </w:p>
        </w:tc>
      </w:tr>
    </w:tbl>
    <w:p>
      <w:pPr>
        <w:spacing w:after="80"/>
      </w:pPr>
    </w:p>
    <w:p>
      <w:pPr>
        <w:spacing w:after="120" w:before="160"/>
      </w:pPr>
      <w:r>
        <w:rPr>
          <w:b w:val="0"/>
          <w:i w:val="0"/>
          <w:color w:val="6B6A66"/>
          <w:sz w:val="18"/>
        </w:rPr>
        <w:t>Reprodução completa: `python -m relatorio.gerar_dados` recalcula todos os números e figuras; `python -m relatorio.gerar_relatorio` reconstrói este documento. Nenhum número citado aqui foi digitado manualmente.</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B0B0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0B0B0B"/>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B0B0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A3A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