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Prueba de Caja Negra para el método</w:t>
      </w:r>
    </w:p>
    <w:p w:rsidR="00000000" w:rsidDel="00000000" w:rsidP="00000000" w:rsidRDefault="00000000" w:rsidRPr="00000000" w14:paraId="00000002">
      <w:pPr>
        <w:spacing w:after="280"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(getAll Agencies)</w:t>
      </w:r>
    </w:p>
    <w:p w:rsidR="00000000" w:rsidDel="00000000" w:rsidP="00000000" w:rsidRDefault="00000000" w:rsidRPr="00000000" w14:paraId="00000003">
      <w:pPr>
        <w:spacing w:after="280"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186363" cy="413080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413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229225" cy="264770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47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40" w:lineRule="auto"/>
        <w:jc w:val="center"/>
        <w:rPr>
          <w:rFonts w:ascii="Calibri" w:cs="Calibri" w:eastAsia="Calibri" w:hAnsi="Calibri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Clases De Equivalencia</w:t>
      </w: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4"/>
        <w:gridCol w:w="1579"/>
        <w:gridCol w:w="1558"/>
        <w:gridCol w:w="1550"/>
        <w:gridCol w:w="1558"/>
        <w:gridCol w:w="1551"/>
        <w:tblGridChange w:id="0">
          <w:tblGrid>
            <w:gridCol w:w="1554"/>
            <w:gridCol w:w="1579"/>
            <w:gridCol w:w="1558"/>
            <w:gridCol w:w="1550"/>
            <w:gridCol w:w="1558"/>
            <w:gridCol w:w="1551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 DE EQUIVALENCIA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VÁLIDAS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NO VÁLIDAS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datos con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tabla agencia tiene registros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table agencia está vacía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conexión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Conexión exitosa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conexión se establece correctamente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Fallo en la conexión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Ejecución de la consulta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 ejecutada con éxito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* from agencia retorna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en la consulta 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de datos devueltos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bien formateados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Columnas correctas, sin valores corruptos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Datos corruptos o incompatibles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6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NV4</w:t>
            </w:r>
          </w:p>
        </w:tc>
      </w:tr>
    </w:tbl>
    <w:p w:rsidR="00000000" w:rsidDel="00000000" w:rsidP="00000000" w:rsidRDefault="00000000" w:rsidRPr="00000000" w14:paraId="00000023">
      <w:pPr>
        <w:spacing w:after="280" w:before="28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jc w:val="center"/>
        <w:rPr>
          <w:rFonts w:ascii="Calibri" w:cs="Calibri" w:eastAsia="Calibri" w:hAnsi="Calibri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casos de prueba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Layout w:type="fixed"/>
        <w:tblLook w:val="0400"/>
      </w:tblPr>
      <w:tblGrid>
        <w:gridCol w:w="1260"/>
        <w:gridCol w:w="1725"/>
        <w:gridCol w:w="3120"/>
        <w:gridCol w:w="3240"/>
        <w:tblGridChange w:id="0">
          <w:tblGrid>
            <w:gridCol w:w="1260"/>
            <w:gridCol w:w="1725"/>
            <w:gridCol w:w="312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3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3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3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CONDICIONES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cc3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V1, V2, V3, V4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tabla agencia tiene registros y la conexión es exitosa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Retorna ArrayList&lt;Agencia&gt; con datos correctos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table agencia está vacía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Retorna nulo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se puede conectar a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Imprime “Error con la BBDD” y retorna nulo</w:t>
            </w:r>
          </w:p>
        </w:tc>
      </w:tr>
      <w:tr>
        <w:trPr>
          <w:cantSplit w:val="0"/>
          <w:trHeight w:val="5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NV3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consulta SQL tiene un error sintáctico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Imprime “Error con la BBDD” y retorna nulo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CP5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NV4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base de datos devuelve datos mal formateados o corruptos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Puede causar excepción o datos incorrectos en ArrayList&lt;agencia&gt;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16CC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16CC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16CC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16CC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16CC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16CC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16CC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16CC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16CC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16CC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16CC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16CC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16CC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16CC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16CC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16CC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16CC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16CC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16CC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6CC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16CC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16CC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16CC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16CC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16CC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16CC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16CC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16CC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16CC7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B16C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B16CC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B16CC7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B16CC7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GKr5Tra4NqEO6mpeSqeo44bMBg==">CgMxLjA4AHIhMTREV3F3bzc5N2c0TTJDZEd2NkIzY1I5dV85QlpFRERO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2025-02-04T11:32:00Z</dcterms:created>
  <dc:creator>khaled yawar</dc:creator>
</cp:coreProperties>
</file>