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information:</w:t>
      </w:r>
      <w:r>
        <w:t xml:space="preserve"> </w:t>
      </w:r>
      <w:r>
        <w:t xml:space="preserve">Five</w:t>
      </w:r>
      <w:r>
        <w:t xml:space="preserve"> </w:t>
      </w:r>
      <w:r>
        <w:t xml:space="preserve">chronological-age</w:t>
      </w:r>
      <w:r>
        <w:t xml:space="preserve"> </w:t>
      </w:r>
      <w:r>
        <w:t xml:space="preserve">transcriptomic</w:t>
      </w:r>
      <w:r>
        <w:t xml:space="preserve"> </w:t>
      </w:r>
      <w:r>
        <w:t xml:space="preserve">directions</w:t>
      </w:r>
      <w:r>
        <w:t xml:space="preserve"> </w:t>
      </w:r>
      <w:r>
        <w:t xml:space="preserve">fail</w:t>
      </w:r>
      <w:r>
        <w:t xml:space="preserve"> </w:t>
      </w:r>
      <w:r>
        <w:t xml:space="preserve">a</w:t>
      </w:r>
      <w:r>
        <w:t xml:space="preserve"> </w:t>
      </w:r>
      <w:r>
        <w:t xml:space="preserve">locked</w:t>
      </w:r>
      <w:r>
        <w:t xml:space="preserve"> </w:t>
      </w:r>
      <w:r>
        <w:t xml:space="preserve">portability</w:t>
      </w:r>
      <w:r>
        <w:t xml:space="preserve"> </w:t>
      </w:r>
      <w:r>
        <w:t xml:space="preserve">benchmark</w:t>
      </w:r>
      <w:r>
        <w:t xml:space="preserve"> </w:t>
      </w:r>
      <w:r>
        <w:t xml:space="preserve">across</w:t>
      </w:r>
      <w:r>
        <w:t xml:space="preserve"> </w:t>
      </w:r>
      <w:r>
        <w:t xml:space="preserve">partial-reprogramming</w:t>
      </w:r>
      <w:r>
        <w:t xml:space="preserve"> </w:t>
      </w:r>
      <w:r>
        <w:t xml:space="preserve">interventions</w:t>
      </w:r>
    </w:p>
    <w:p>
      <w:pPr>
        <w:pStyle w:val="Author"/>
      </w:pPr>
      <w:r>
        <w:t xml:space="preserve">Oğuzcan</w:t>
      </w:r>
      <w:r>
        <w:t xml:space="preserve"> </w:t>
      </w:r>
      <w:r>
        <w:t xml:space="preserve">Ünver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0" w:name="contents"/>
    <w:p>
      <w:pPr>
        <w:pStyle w:val="Heading1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Extended study design and temporal firewall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Dataset and biological-unit audit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Frozen framework and deviations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Primary and secondary results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Adaptive Benchmark B1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Post-review Extension C1</w:t>
      </w:r>
    </w:p>
    <w:p>
      <w:pPr>
        <w:numPr>
          <w:ilvl w:val="0"/>
          <w:numId w:val="1001"/>
        </w:numPr>
        <w:pStyle w:val="Compact"/>
      </w:pPr>
      <w:r>
        <w:t xml:space="preserve">Supplementary figures and tables</w:t>
      </w:r>
    </w:p>
    <w:p>
      <w:pPr>
        <w:numPr>
          <w:ilvl w:val="0"/>
          <w:numId w:val="1001"/>
        </w:numPr>
        <w:pStyle w:val="Compact"/>
      </w:pPr>
      <w:r>
        <w:t xml:space="preserve">Reproducibility and rights boundary</w:t>
      </w:r>
    </w:p>
    <w:bookmarkEnd w:id="20"/>
    <w:bookmarkStart w:id="21" w:name="Xe10c21efd9ad20d2c81c54665bfdf282dc01870"/>
    <w:p>
      <w:pPr>
        <w:pStyle w:val="Heading1"/>
      </w:pPr>
      <w:r>
        <w:t xml:space="preserve">1. Extended study design and temporal firewall</w:t>
      </w:r>
    </w:p>
    <w:p>
      <w:pPr>
        <w:pStyle w:val="FirstParagraph"/>
      </w:pPr>
      <w:r>
        <w:t xml:space="preserve">The discovery eligibility cutoff was 31 December 2024 at 23:59:59 UTC. Eligibility concerned the</w:t>
      </w:r>
      <w:r>
        <w:t xml:space="preserve"> </w:t>
      </w:r>
      <w:r>
        <w:t xml:space="preserve">exact data and annotations used, not merely an article date. The protocol, model definition,</w:t>
      </w:r>
      <w:r>
        <w:t xml:space="preserve"> </w:t>
      </w:r>
      <w:r>
        <w:t xml:space="preserve">validation endpoints, known-target list and analysis configuration were committed as tag</w:t>
      </w:r>
      <w:r>
        <w:t xml:space="preserve"> </w:t>
      </w:r>
      <w:r>
        <w:rPr>
          <w:rStyle w:val="VerbatimChar"/>
        </w:rPr>
        <w:t xml:space="preserve">protocol-v1.0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8be128cc5ab5f2cfc3147a0ee569fa59ff256b79</w:t>
      </w:r>
      <w:r>
        <w:t xml:space="preserve">. The aggregate protocol</w:t>
      </w:r>
      <w:r>
        <w:t xml:space="preserve"> </w:t>
      </w:r>
      <w:r>
        <w:t xml:space="preserve">manifest SHA-256 is</w:t>
      </w:r>
      <w:r>
        <w:t xml:space="preserve"> </w:t>
      </w:r>
      <w:r>
        <w:rPr>
          <w:rStyle w:val="VerbatimChar"/>
        </w:rPr>
        <w:t xml:space="preserve">c41ab8c013582925d1cd10c81513b4ee3c2a133da8eaafdc32bb8ea9f94c7d18</w:t>
      </w:r>
      <w:r>
        <w:t xml:space="preserve">.</w:t>
      </w:r>
    </w:p>
    <w:p>
      <w:pPr>
        <w:pStyle w:val="BodyText"/>
      </w:pPr>
      <w:r>
        <w:t xml:space="preserve">Nine discovery files (6.6 GB) were acquired and recorded in a manifest with aggregate SHA-256</w:t>
      </w:r>
      <w:r>
        <w:t xml:space="preserve"> </w:t>
      </w:r>
      <w:r>
        <w:rPr>
          <w:rStyle w:val="VerbatimChar"/>
        </w:rPr>
        <w:t xml:space="preserve">c7a5ddeadd7b15806313b82265b22e9508cd0fb83fe991f15a9058953d9a589a</w:t>
      </w:r>
      <w:r>
        <w:t xml:space="preserve">. Protocol-v1</w:t>
      </w:r>
      <w:r>
        <w:t xml:space="preserve"> </w:t>
      </w:r>
      <w:r>
        <w:t xml:space="preserve">failed its Y-axis construction. Adaptive Amendment A1 was then defined and tagged at commit</w:t>
      </w:r>
      <w:r>
        <w:t xml:space="preserve"> </w:t>
      </w:r>
      <w:r>
        <w:rPr>
          <w:rStyle w:val="VerbatimChar"/>
        </w:rPr>
        <w:t xml:space="preserve">b7109948380cfd14acba5cad26f98b5acce7a897</w:t>
      </w:r>
      <w:r>
        <w:t xml:space="preserve"> </w:t>
      </w:r>
      <w:r>
        <w:t xml:space="preserve">before any intervention score was inspected.</w:t>
      </w:r>
    </w:p>
    <w:p>
      <w:pPr>
        <w:pStyle w:val="BodyText"/>
      </w:pPr>
      <w:r>
        <w:t xml:space="preserve">The full discovery output, including all candidate ranks, was frozen as tag</w:t>
      </w:r>
      <w:r>
        <w:t xml:space="preserve"> </w:t>
      </w:r>
      <w:r>
        <w:rPr>
          <w:rStyle w:val="VerbatimChar"/>
        </w:rPr>
        <w:t xml:space="preserve">discovery-a1-v1</w:t>
      </w:r>
      <w:r>
        <w:t xml:space="preserve"> </w:t>
      </w:r>
      <w:r>
        <w:t xml:space="preserve">at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cdece0dec297800e7e3ab1aa1688f7f6d8a9d6b9</w:t>
      </w:r>
      <w:r>
        <w:t xml:space="preserve">. Its 63-file release manifest has SHA-256</w:t>
      </w:r>
      <w:r>
        <w:t xml:space="preserve"> </w:t>
      </w:r>
      <w:r>
        <w:rPr>
          <w:rStyle w:val="VerbatimChar"/>
        </w:rPr>
        <w:t xml:space="preserve">73c7dc5c37d1b7f3170371d0bb7bb629ebbf0b70f07a8b1ac4a0aa266d29d0a7</w:t>
      </w:r>
      <w:r>
        <w:t xml:space="preserve">. Only after this</w:t>
      </w:r>
      <w:r>
        <w:t xml:space="preserve"> </w:t>
      </w:r>
      <w:r>
        <w:t xml:space="preserve">release were target ranks inspected and validation matrices obtained. The conclusions of the source</w:t>
      </w:r>
      <w:r>
        <w:t xml:space="preserve"> </w:t>
      </w:r>
      <w:r>
        <w:t xml:space="preserve">papers and the five target names were known throughout; the design is not described as blinded or</w:t>
      </w:r>
      <w:r>
        <w:t xml:space="preserve"> </w:t>
      </w:r>
      <w:r>
        <w:t xml:space="preserve">prospective.</w:t>
      </w:r>
    </w:p>
    <w:p>
      <w:pPr>
        <w:pStyle w:val="BodyText"/>
      </w:pPr>
      <w:r>
        <w:t xml:space="preserve">After the positive framework failed, Adaptive Benchmark B1 was specified and hashed before any</w:t>
      </w:r>
      <w:r>
        <w:t xml:space="preserve"> </w:t>
      </w:r>
      <w:r>
        <w:t xml:space="preserve">comparator model was fitted or applied. Its lock is tag</w:t>
      </w:r>
      <w:r>
        <w:t xml:space="preserve"> </w:t>
      </w:r>
      <w:r>
        <w:rPr>
          <w:rStyle w:val="VerbatimChar"/>
        </w:rPr>
        <w:t xml:space="preserve">adaptive-benchmark-b1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8ca3859e4118cbc86f6440069cf8dd697ab56e37</w:t>
      </w:r>
      <w:r>
        <w:t xml:space="preserve">. The first complete benchmark run and every defect</w:t>
      </w:r>
      <w:r>
        <w:t xml:space="preserve"> </w:t>
      </w:r>
      <w:r>
        <w:t xml:space="preserve">found during audit were preserved. The corrected benchmark is committed at</w:t>
      </w:r>
      <w:r>
        <w:t xml:space="preserve"> </w:t>
      </w:r>
      <w:r>
        <w:rPr>
          <w:rStyle w:val="VerbatimChar"/>
        </w:rPr>
        <w:t xml:space="preserve">c05439da2e9bba4897b9fa312b46ad199afde2f0</w:t>
      </w:r>
      <w:r>
        <w:t xml:space="preserve"> </w:t>
      </w:r>
      <w:r>
        <w:t xml:space="preserve">[abbreviated in prose as</w:t>
      </w:r>
      <w:r>
        <w:t xml:space="preserve"> </w:t>
      </w:r>
      <w:r>
        <w:rPr>
          <w:rStyle w:val="VerbatimChar"/>
        </w:rPr>
        <w:t xml:space="preserve">c05439d</w:t>
      </w:r>
      <w:r>
        <w:t xml:space="preserve">].</w:t>
      </w:r>
    </w:p>
    <w:bookmarkEnd w:id="21"/>
    <w:bookmarkStart w:id="22" w:name="dataset-and-biological-unit-audit"/>
    <w:p>
      <w:pPr>
        <w:pStyle w:val="Heading1"/>
      </w:pPr>
      <w:r>
        <w:t xml:space="preserve">2. Dataset and biological-unit audit</w:t>
      </w:r>
    </w:p>
    <w:p>
      <w:pPr>
        <w:pStyle w:val="FirstParagraph"/>
      </w:pPr>
      <w:r>
        <w:t xml:space="preserve">Supplementary Table 1 lists all registered datasets. GEO SuperSeries sample totals were never used as</w:t>
      </w:r>
      <w:r>
        <w:t xml:space="preserve"> </w:t>
      </w:r>
      <w:r>
        <w:t xml:space="preserve">replicate counts. Inference used the independent donor, animal, culture or independently prepared</w:t>
      </w:r>
      <w:r>
        <w:t xml:space="preserve"> </w:t>
      </w:r>
      <w:r>
        <w:t xml:space="preserve">experimental pool. Single cells and technical/culture replicates nested within the same source unit</w:t>
      </w:r>
      <w:r>
        <w:t xml:space="preserve"> </w:t>
      </w:r>
      <w:r>
        <w:t xml:space="preserve">were not counted as independent observations.</w:t>
      </w:r>
    </w:p>
    <w:p>
      <w:pPr>
        <w:pStyle w:val="BodyText"/>
      </w:pPr>
      <w:r>
        <w:t xml:space="preserve">The two chronological-age references contain 133 and 82 healthy human donors. Ten Hutchinson–Gilford</w:t>
      </w:r>
      <w:r>
        <w:t xml:space="preserve"> </w:t>
      </w:r>
      <w:r>
        <w:t xml:space="preserve">progeria samples in GSE113957 were excluded from the normal-age reference. GSE297984 contains 24</w:t>
      </w:r>
      <w:r>
        <w:t xml:space="preserve"> </w:t>
      </w:r>
      <w:r>
        <w:t xml:space="preserve">RNA-seq profiles but only two aged donor lines (56 and 83 years); repeated cultures are nested within</w:t>
      </w:r>
      <w:r>
        <w:t xml:space="preserve"> </w:t>
      </w:r>
      <w:r>
        <w:t xml:space="preserve">donor, day and treatment. GSE297234 contains one 22-year and one 96-year donor in the analysed</w:t>
      </w:r>
      <w:r>
        <w:t xml:space="preserve"> </w:t>
      </w:r>
      <w:r>
        <w:t xml:space="preserve">trajectory and is descriptive. GSE300625 contains 20 mouse tissue profiles split between liver and</w:t>
      </w:r>
      <w:r>
        <w:t xml:space="preserve"> </w:t>
      </w:r>
      <w:r>
        <w:t xml:space="preserve">kidney. Exact sample-to-unit mappings are retained in</w:t>
      </w:r>
      <w:r>
        <w:t xml:space="preserve"> </w:t>
      </w:r>
      <w:r>
        <w:rPr>
          <w:rStyle w:val="VerbatimChar"/>
        </w:rPr>
        <w:t xml:space="preserve">receipts/sample-metadata.tsv</w:t>
      </w:r>
      <w:r>
        <w:t xml:space="preserve"> </w:t>
      </w:r>
      <w:r>
        <w:t xml:space="preserve">and the analysis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GSE276656 was preregistered as a secondary sensitivity but was not needed to adjudicate any primary</w:t>
      </w:r>
      <w:r>
        <w:t xml:space="preserve"> </w:t>
      </w:r>
      <w:r>
        <w:t xml:space="preserve">gate once the positive framework had failed. It was not added selectively to improve the benchmark.</w:t>
      </w:r>
      <w:r>
        <w:t xml:space="preserve"> </w:t>
      </w:r>
      <w:r>
        <w:t xml:space="preserve">Its omission is explicit rather than being presented as a missing result.</w:t>
      </w:r>
    </w:p>
    <w:bookmarkEnd w:id="22"/>
    <w:bookmarkStart w:id="27" w:name="frozen-framework-and-deviations"/>
    <w:p>
      <w:pPr>
        <w:pStyle w:val="Heading1"/>
      </w:pPr>
      <w:r>
        <w:t xml:space="preserve">3. Frozen framework and deviations</w:t>
      </w:r>
    </w:p>
    <w:bookmarkStart w:id="23" w:name="protocol-v1-failure"/>
    <w:p>
      <w:pPr>
        <w:pStyle w:val="Heading2"/>
      </w:pPr>
      <w:r>
        <w:t xml:space="preserve">3.1 Protocol-v1 failure</w:t>
      </w:r>
    </w:p>
    <w:p>
      <w:pPr>
        <w:pStyle w:val="FirstParagraph"/>
      </w:pPr>
      <w:r>
        <w:t xml:space="preserve">Protocol-v1 required concordant age-effect signs and Benjamini–Hochberg</w:t>
      </w:r>
      <w:r>
        <w:t xml:space="preserve"> </w:t>
      </w:r>
      <w:r>
        <w:rPr>
          <w:rStyle w:val="VerbatimChar"/>
        </w:rPr>
        <w:t xml:space="preserve">q&lt;=0.10</w:t>
      </w:r>
      <w:r>
        <w:t xml:space="preserve"> </w:t>
      </w:r>
      <w:r>
        <w:t xml:space="preserve">in each human age</w:t>
      </w:r>
      <w:r>
        <w:t xml:space="preserve"> </w:t>
      </w:r>
      <w:r>
        <w:t xml:space="preserve">reference. It selected zero genes. GSE226189’s minimum adjusted value was approximately 0.132. The</w:t>
      </w:r>
      <w:r>
        <w:t xml:space="preserve"> </w:t>
      </w:r>
      <w:r>
        <w:t xml:space="preserve">rule and zero-gene output were preserved.</w:t>
      </w:r>
    </w:p>
    <w:bookmarkEnd w:id="23"/>
    <w:bookmarkStart w:id="24" w:name="adaptive-amendment-a1"/>
    <w:p>
      <w:pPr>
        <w:pStyle w:val="Heading2"/>
      </w:pPr>
      <w:r>
        <w:t xml:space="preserve">3.2 Adaptive Amendment A1</w:t>
      </w:r>
    </w:p>
    <w:p>
      <w:pPr>
        <w:pStyle w:val="FirstParagraph"/>
      </w:pPr>
      <w:r>
        <w:t xml:space="preserve">A1 used 10,532 common protein-coding genes, within-sample percentile ranks, and ridge regression on</w:t>
      </w:r>
      <w:r>
        <w:t xml:space="preserve"> </w:t>
      </w:r>
      <w:r>
        <w:t xml:space="preserve">within-cohort standardized age. The final penalty was 3.1622776601683795. Corrected outer-CV</w:t>
      </w:r>
      <w:r>
        <w:t xml:space="preserve"> </w:t>
      </w:r>
      <w:r>
        <w:t xml:space="preserve">Spearman correlations were −0.846594 in GSE113957, −0.457697 in GSE226189 and −0.730162 pooled.</w:t>
      </w:r>
      <w:r>
        <w:t xml:space="preserve"> </w:t>
      </w:r>
      <w:r>
        <w:t xml:space="preserve">Higher</w:t>
      </w:r>
      <w:r>
        <w:t xml:space="preserve"> </w:t>
      </w:r>
      <w:r>
        <w:rPr>
          <w:rStyle w:val="VerbatimChar"/>
        </w:rPr>
        <w:t xml:space="preserve">Y_A1</w:t>
      </w:r>
      <w:r>
        <w:t xml:space="preserve"> </w:t>
      </w:r>
      <w:r>
        <w:t xml:space="preserve">was defined as more youth-associated by negating predicted standardized age. The score</w:t>
      </w:r>
      <w:r>
        <w:t xml:space="preserve"> </w:t>
      </w:r>
      <w:r>
        <w:t xml:space="preserve">has no unit and was not converted to years.</w:t>
      </w:r>
    </w:p>
    <w:bookmarkEnd w:id="24"/>
    <w:bookmarkStart w:id="25" w:name="state-axes"/>
    <w:p>
      <w:pPr>
        <w:pStyle w:val="Heading2"/>
      </w:pPr>
      <w:r>
        <w:t xml:space="preserve">3.3 State axes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</w:t>
      </w:r>
      <w:r>
        <w:t xml:space="preserve"> </w:t>
      </w:r>
      <w:r>
        <w:t xml:space="preserve">measures expression of a frozen somatic-identity programme, not complete cell function.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</w:t>
      </w:r>
      <w:r>
        <w:t xml:space="preserve"> </w:t>
      </w:r>
      <w:r>
        <w:t xml:space="preserve">measures an endogenous late-pluripotency programme after removing the introduced Yamanaka</w:t>
      </w:r>
      <w:r>
        <w:t xml:space="preserve"> </w:t>
      </w:r>
      <w:r>
        <w:t xml:space="preserve">symbols and vector features; it is not a tumorigenicity score.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</w:t>
      </w:r>
      <w:r>
        <w:t xml:space="preserve"> </w:t>
      </w:r>
      <w:r>
        <w:t xml:space="preserve">averages response to oxidative stress, cellular response to DNA damage, endoplasmic-reticulum</w:t>
      </w:r>
      <w:r>
        <w:t xml:space="preserve"> </w:t>
      </w:r>
      <w:r>
        <w:t xml:space="preserve">stress and cellular senescence programmes. It does not measure every form of damage.</w:t>
      </w:r>
    </w:p>
    <w:p>
      <w:pPr>
        <w:pStyle w:val="FirstParagraph"/>
      </w:pPr>
      <w:r>
        <w:t xml:space="preserve">The guarded-youthward call required all four axes to be available and their bootstrap intervals to</w:t>
      </w:r>
      <w:r>
        <w:t xml:space="preserve"> </w:t>
      </w:r>
      <w:r>
        <w:t xml:space="preserve">pass the frozen margins. An unavailable axis forced</w:t>
      </w:r>
      <w:r>
        <w:t xml:space="preserve"> </w:t>
      </w:r>
      <w:r>
        <w:t xml:space="preserve">“</w:t>
      </w:r>
      <w:r>
        <w:t xml:space="preserve">not evaluable,</w:t>
      </w:r>
      <w:r>
        <w:t xml:space="preserve">”</w:t>
      </w:r>
      <w:r>
        <w:t xml:space="preserve"> </w:t>
      </w:r>
      <w:r>
        <w:t xml:space="preserve">never</w:t>
      </w:r>
      <w:r>
        <w:t xml:space="preserve"> </w:t>
      </w:r>
      <w:r>
        <w:t xml:space="preserve">“</w:t>
      </w:r>
      <w:r>
        <w:t xml:space="preserve">pass.</w:t>
      </w:r>
      <w:r>
        <w:t xml:space="preserve">”</w:t>
      </w:r>
    </w:p>
    <w:bookmarkEnd w:id="25"/>
    <w:bookmarkStart w:id="26" w:name="X217f66a894a64d8508e83c8a08940df44ed32b6"/>
    <w:p>
      <w:pPr>
        <w:pStyle w:val="Heading2"/>
      </w:pPr>
      <w:r>
        <w:t xml:space="preserve">3.4 Complete deviation register relevant to the manuscript</w:t>
      </w:r>
    </w:p>
    <w:p>
      <w:pPr>
        <w:numPr>
          <w:ilvl w:val="0"/>
          <w:numId w:val="1003"/>
        </w:numPr>
        <w:pStyle w:val="Compact"/>
      </w:pPr>
      <w:r>
        <w:t xml:space="preserve">Protocol-v1 Y failed with zero genes. A1 was defined before intervention scores were viewed.</w:t>
      </w:r>
    </w:p>
    <w:p>
      <w:pPr>
        <w:numPr>
          <w:ilvl w:val="0"/>
          <w:numId w:val="1003"/>
        </w:numPr>
        <w:pStyle w:val="Compact"/>
      </w:pPr>
      <w:r>
        <w:t xml:space="preserve">An early GSE176206 identity implementation admitted genes not detected across every control pool.</w:t>
      </w:r>
      <w:r>
        <w:t xml:space="preserve"> </w:t>
      </w:r>
      <w:r>
        <w:t xml:space="preserve">It was repaired before the discovery release. All released discovery results use the corrected</w:t>
      </w:r>
      <w:r>
        <w:t xml:space="preserve"> </w:t>
      </w:r>
      <w:r>
        <w:t xml:space="preserve">rule.</w:t>
      </w:r>
    </w:p>
    <w:p>
      <w:pPr>
        <w:numPr>
          <w:ilvl w:val="0"/>
          <w:numId w:val="1003"/>
        </w:numPr>
        <w:pStyle w:val="Compact"/>
      </w:pPr>
      <w:r>
        <w:t xml:space="preserve">Two of five known targets were outside the immutable candidate universe. They were left missing,</w:t>
      </w:r>
      <w:r>
        <w:t xml:space="preserve"> </w:t>
      </w:r>
      <w:r>
        <w:t xml:space="preserve">not replaced.</w:t>
      </w:r>
    </w:p>
    <w:p>
      <w:pPr>
        <w:numPr>
          <w:ilvl w:val="0"/>
          <w:numId w:val="1003"/>
        </w:numPr>
        <w:pStyle w:val="Compact"/>
      </w:pPr>
      <w:r>
        <w:t xml:space="preserve">Frozen positive validation failed. No threshold, endpoint or model was changed to restore it.</w:t>
      </w:r>
    </w:p>
    <w:p>
      <w:pPr>
        <w:numPr>
          <w:ilvl w:val="0"/>
          <w:numId w:val="1003"/>
        </w:numPr>
        <w:pStyle w:val="Compact"/>
      </w:pPr>
      <w:r>
        <w:t xml:space="preserve">B1 was defined after the primary outcomes were visible; it is adaptive and cannot rescue the</w:t>
      </w:r>
      <w:r>
        <w:t xml:space="preserve"> </w:t>
      </w:r>
      <w:r>
        <w:t xml:space="preserve">original claim.</w:t>
      </w:r>
    </w:p>
    <w:p>
      <w:pPr>
        <w:numPr>
          <w:ilvl w:val="0"/>
          <w:numId w:val="1003"/>
        </w:numPr>
        <w:pStyle w:val="Compact"/>
      </w:pPr>
      <w:r>
        <w:t xml:space="preserve">B1 r1 outer CV used full-cohort age-standardization moments. r1 was preserved, and r2 recomputed</w:t>
      </w:r>
      <w:r>
        <w:t xml:space="preserve"> </w:t>
      </w:r>
      <w:r>
        <w:t xml:space="preserve">developmental CV using training-fold moments. Final models, intervention scores, contrasts,</w:t>
      </w:r>
      <w:r>
        <w:t xml:space="preserve"> </w:t>
      </w:r>
      <w:r>
        <w:t xml:space="preserve">family summaries, gene-effect vectors and gates were unaffected.</w:t>
      </w:r>
    </w:p>
    <w:p>
      <w:pPr>
        <w:numPr>
          <w:ilvl w:val="0"/>
          <w:numId w:val="1003"/>
        </w:numPr>
        <w:pStyle w:val="Compact"/>
      </w:pPr>
      <w:r>
        <w:t xml:space="preserve">B1’s selected elastic-net model had zero non-zero coefficients and constant outputs. It was</w:t>
      </w:r>
      <w:r>
        <w:t xml:space="preserve"> </w:t>
      </w:r>
      <w:r>
        <w:t xml:space="preserve">retained as an implementation failure and not replaced after results were visible.</w:t>
      </w:r>
    </w:p>
    <w:p>
      <w:pPr>
        <w:pStyle w:val="FirstParagraph"/>
      </w:pPr>
      <w:r>
        <w:t xml:space="preserve">The full dated register is</w:t>
      </w:r>
      <w:r>
        <w:t xml:space="preserve"> </w:t>
      </w:r>
      <w:r>
        <w:rPr>
          <w:rStyle w:val="VerbatimChar"/>
        </w:rPr>
        <w:t xml:space="preserve">results-and-deviations.md</w:t>
      </w:r>
      <w:r>
        <w:t xml:space="preserve">.</w:t>
      </w:r>
    </w:p>
    <w:bookmarkEnd w:id="26"/>
    <w:bookmarkEnd w:id="27"/>
    <w:bookmarkStart w:id="38" w:name="primary-and-secondary-results"/>
    <w:p>
      <w:pPr>
        <w:pStyle w:val="Heading1"/>
      </w:pPr>
      <w:r>
        <w:t xml:space="preserve">4. Primary and secondary results</w:t>
      </w:r>
    </w:p>
    <w:bookmarkStart w:id="31" w:name="discovery-stage-mptr-separation"/>
    <w:p>
      <w:pPr>
        <w:pStyle w:val="Heading2"/>
      </w:pPr>
      <w:r>
        <w:t xml:space="preserve">4.1 Discovery-stage MPTR separation</w:t>
      </w:r>
    </w:p>
    <w:p>
      <w:pPr>
        <w:pStyle w:val="FirstParagraph"/>
      </w:pPr>
      <w:r>
        <w:t xml:space="preserve">Thirteen matched successful MPTR contrasts spanned three donors. Donor-level mean changes and</w:t>
      </w:r>
      <w:r>
        <w:t xml:space="preserve"> </w:t>
      </w:r>
      <w:r>
        <w:t xml:space="preserve">percentile-bootstrap intervals were: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Y_A1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0.16285 to 0.61004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-0.00815 to 0.00017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Endogenous pluripotency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-0.00130 to 0.00507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Aggregate measured damage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-0.00392 to -0.00263</w:t>
            </w:r>
          </w:p>
        </w:tc>
      </w:tr>
    </w:tbl>
    <w:p>
      <w:pPr>
        <w:pStyle w:val="BodyText"/>
      </w:pPr>
      <w:r>
        <w:t xml:space="preserve">Twenty-one failed-to-reprogram matched contrasts were retained as a negative comparator, but they do</w:t>
      </w:r>
      <w:r>
        <w:t xml:space="preserve"> </w:t>
      </w:r>
      <w:r>
        <w:t xml:space="preserve">not constitute 21 independent donors. Their mean</w:t>
      </w:r>
      <w:r>
        <w:t xml:space="preserve"> </w:t>
      </w:r>
      <w:r>
        <w:rPr>
          <w:rStyle w:val="VerbatimChar"/>
        </w:rPr>
        <w:t xml:space="preserve">ΔY_A1</w:t>
      </w:r>
      <w:r>
        <w:t xml:space="preserve"> </w:t>
      </w:r>
      <w:r>
        <w:t xml:space="preserve">was 0.06866.</w:t>
      </w:r>
    </w:p>
    <w:p>
      <w:pPr>
        <w:pStyle w:val="CaptionedFigure"/>
      </w:pPr>
      <w:r>
        <w:drawing>
          <wp:inline>
            <wp:extent cx="4000500" cy="2739145"/>
            <wp:effectExtent b="0" l="0" r="0" t="0"/>
            <wp:docPr descr="Discovery-stage donor-level changes for all four state axes. Dashed lines show the fixed ±0.05 identity/pluripotency margins." title="" id="29" name="Picture"/>
            <a:graphic>
              <a:graphicData uri="http://schemas.openxmlformats.org/drawingml/2006/picture">
                <pic:pic>
                  <pic:nvPicPr>
                    <pic:cNvPr descr="figures/supplementary-figure-3-discovery-state-ax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39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Discovery-stage donor-level changes for all four state axes. Dashed lines show the fixed ±0.05</w:t>
      </w:r>
      <w:r>
        <w:t xml:space="preserve"> </w:t>
      </w:r>
      <w:r>
        <w:t xml:space="preserve">identity/pluripotency margins.</w:t>
      </w:r>
    </w:p>
    <w:bookmarkEnd w:id="31"/>
    <w:bookmarkStart w:id="32" w:name="chemical-discovery-study"/>
    <w:p>
      <w:pPr>
        <w:pStyle w:val="Heading2"/>
      </w:pPr>
      <w:r>
        <w:t xml:space="preserve">4.2 Chemical discovery study</w:t>
      </w:r>
    </w:p>
    <w:p>
      <w:pPr>
        <w:pStyle w:val="FirstParagraph"/>
      </w:pPr>
      <w:r>
        <w:t xml:space="preserve">The untreated young-minus-old contrast in GSE246954 was positive (</w:t>
      </w:r>
      <w:r>
        <w:rPr>
          <w:rStyle w:val="VerbatimChar"/>
        </w:rPr>
        <w:t xml:space="preserve">ΔY_A1=0.24545</w:t>
      </w:r>
      <w:r>
        <w:t xml:space="preserve">, interval 0.20114</w:t>
      </w:r>
      <w:r>
        <w:t xml:space="preserve"> </w:t>
      </w:r>
      <w:r>
        <w:t xml:space="preserve">to 0.29638). In contrast, old-cell 2c and 7c changes were −0.39583 and −0.46266; all four matched</w:t>
      </w:r>
      <w:r>
        <w:t xml:space="preserve"> </w:t>
      </w:r>
      <w:r>
        <w:t xml:space="preserve">replicates were negative for both cocktails. This discordance was visible before the temporal</w:t>
      </w:r>
      <w:r>
        <w:t xml:space="preserve"> </w:t>
      </w:r>
      <w:r>
        <w:t xml:space="preserve">validation release and already limited a universal interpretation.</w:t>
      </w:r>
    </w:p>
    <w:bookmarkEnd w:id="32"/>
    <w:bookmarkStart w:id="33" w:name="frozen-temporal-endpoints"/>
    <w:p>
      <w:pPr>
        <w:pStyle w:val="Heading2"/>
      </w:pPr>
      <w:r>
        <w:t xml:space="preserve">4.3 Frozen temporal endpoints</w:t>
      </w:r>
    </w:p>
    <w:p>
      <w:pPr>
        <w:pStyle w:val="FirstParagraph"/>
      </w:pPr>
      <w:r>
        <w:t xml:space="preserve">In GSE297984, the eight donor-line/day/cocktail effects were: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Donor 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2c ΔY_A1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7c ΔY_A1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-0.2202</w:t>
            </w:r>
          </w:p>
        </w:tc>
      </w:tr>
    </w:tbl>
    <w:p>
      <w:pPr>
        <w:pStyle w:val="BodyText"/>
      </w:pPr>
      <w:r>
        <w:t xml:space="preserve">Neither cocktail was positive across both donor lines with consistent day-level aggregate direction.</w:t>
      </w:r>
      <w:r>
        <w:t xml:space="preserve"> </w:t>
      </w:r>
      <w:r>
        <w:t xml:space="preserve">No population p-value was computed from the two donor lines.</w:t>
      </w:r>
    </w:p>
    <w:p>
      <w:pPr>
        <w:pStyle w:val="BodyText"/>
      </w:pPr>
      <w:r>
        <w:t xml:space="preserve">In GSE297234, the young-minus-old day-0 control was</w:t>
      </w:r>
      <w:r>
        <w:t xml:space="preserve"> </w:t>
      </w:r>
      <w:r>
        <w:rPr>
          <w:rStyle w:val="VerbatimChar"/>
        </w:rPr>
        <w:t xml:space="preserve">+0.85559</w:t>
      </w:r>
      <w:r>
        <w:t xml:space="preserve">. Old-donor day changes relative to day</w:t>
      </w:r>
      <w:r>
        <w:t xml:space="preserve"> </w:t>
      </w:r>
      <w:r>
        <w:t xml:space="preserve">0 were: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ΔY_A1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0.00368</w:t>
            </w:r>
          </w:p>
        </w:tc>
      </w:tr>
    </w:tbl>
    <w:p>
      <w:pPr>
        <w:pStyle w:val="BodyText"/>
      </w:pPr>
      <w:r>
        <w:t xml:space="preserve">Day 3 was simultaneously the first youthward point and the first point at which both fixed risk</w:t>
      </w:r>
      <w:r>
        <w:t xml:space="preserve"> </w:t>
      </w:r>
      <w:r>
        <w:t xml:space="preserve">margins were exceeded.</w:t>
      </w:r>
    </w:p>
    <w:p>
      <w:pPr>
        <w:pStyle w:val="BodyText"/>
      </w:pPr>
      <w:r>
        <w:t xml:space="preserve">GSE300625 liver and kidney</w:t>
      </w:r>
      <w:r>
        <w:t xml:space="preserve"> </w:t>
      </w:r>
      <w:r>
        <w:rPr>
          <w:rStyle w:val="VerbatimChar"/>
        </w:rPr>
        <w:t xml:space="preserve">ΔY_A1</w:t>
      </w:r>
      <w:r>
        <w:t xml:space="preserve"> </w:t>
      </w:r>
      <w:r>
        <w:t xml:space="preserve">values were −0.11742 (interval −0.19121 to −0.04130) and −0.07520</w:t>
      </w:r>
      <w:r>
        <w:t xml:space="preserve"> </w:t>
      </w:r>
      <w:r>
        <w:t xml:space="preserve">(−0.17313 to 0.02494). Tissue identity was not available, making the guarded-state endpoint</w:t>
      </w:r>
      <w:r>
        <w:t xml:space="preserve"> </w:t>
      </w:r>
      <w:r>
        <w:t xml:space="preserve">structurally non-evaluable. For GSE304043, GSTA4</w:t>
      </w:r>
      <w:r>
        <w:t xml:space="preserve"> </w:t>
      </w:r>
      <w:r>
        <w:rPr>
          <w:rStyle w:val="VerbatimChar"/>
        </w:rPr>
        <w:t xml:space="preserve">ΔY_A1</w:t>
      </w:r>
      <w:r>
        <w:t xml:space="preserve"> </w:t>
      </w:r>
      <w:r>
        <w:t xml:space="preserve">was 0.03244 (−0.63759 to 0.55661) and</w:t>
      </w:r>
      <w:r>
        <w:t xml:space="preserve"> </w:t>
      </w:r>
      <w:r>
        <w:t xml:space="preserve">aggregate</w:t>
      </w:r>
      <w:r>
        <w:t xml:space="preserve"> </w:t>
      </w:r>
      <w:r>
        <w:rPr>
          <w:rStyle w:val="VerbatimChar"/>
        </w:rPr>
        <w:t xml:space="preserve">ΔD</w:t>
      </w:r>
      <w:r>
        <w:t xml:space="preserve"> </w:t>
      </w:r>
      <w:r>
        <w:t xml:space="preserve">was 0.00419 (−0.00089 to 0.00859).</w:t>
      </w:r>
    </w:p>
    <w:bookmarkEnd w:id="33"/>
    <w:bookmarkStart w:id="37" w:name="known-target-rank"/>
    <w:p>
      <w:pPr>
        <w:pStyle w:val="Heading2"/>
      </w:pPr>
      <w:r>
        <w:t xml:space="preserve">4.4 Known-target rank</w:t>
      </w:r>
    </w:p>
    <w:p>
      <w:pPr>
        <w:pStyle w:val="CaptionedFigure"/>
      </w:pPr>
      <w:r>
        <w:drawing>
          <wp:inline>
            <wp:extent cx="3733800" cy="1671617"/>
            <wp:effectExtent b="0" l="0" r="0" t="0"/>
            <wp:docPr descr="Frozen percentile ranks for the five known later targets. Missing genes were not assigned a replacement or artificial low rank." title="" id="35" name="Picture"/>
            <a:graphic>
              <a:graphicData uri="http://schemas.openxmlformats.org/drawingml/2006/picture">
                <pic:pic>
                  <pic:nvPicPr>
                    <pic:cNvPr descr="figures/supplementary-figure-2-target-recover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Frozen percentile ranks for the five known later targets. Missing genes were not assigned a</w:t>
      </w:r>
      <w:r>
        <w:t xml:space="preserve"> </w:t>
      </w:r>
      <w:r>
        <w:t xml:space="preserve">replacement or artificial low rank.</w:t>
      </w:r>
    </w:p>
    <w:p>
      <w:pPr>
        <w:pStyle w:val="BodyText"/>
      </w:pPr>
      <w:r>
        <w:t xml:space="preserve">The evaluable-target mean percentile was 0.56091. In 100,000 expression-decile-matched three-gene</w:t>
      </w:r>
      <w:r>
        <w:t xml:space="preserve"> </w:t>
      </w:r>
      <w:r>
        <w:t xml:space="preserve">sets, the null mean was 0.48699 and its 95% interval was 0.17238 to 0.80345. The one-sided empirical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value was 0.33237. This analysis is evaluable-only because two targets were missing; the complete</w:t>
      </w:r>
      <w:r>
        <w:t xml:space="preserve"> </w:t>
      </w:r>
      <w:r>
        <w:t xml:space="preserve">five-target endpoint failed by construction.</w:t>
      </w:r>
    </w:p>
    <w:bookmarkEnd w:id="37"/>
    <w:bookmarkEnd w:id="38"/>
    <w:bookmarkStart w:id="46" w:name="adaptive-benchmark-b1"/>
    <w:p>
      <w:pPr>
        <w:pStyle w:val="Heading1"/>
      </w:pPr>
      <w:r>
        <w:t xml:space="preserve">5. Adaptive Benchmark B1</w:t>
      </w:r>
    </w:p>
    <w:bookmarkStart w:id="39" w:name="X42b25183f8b4d2bff8a696890b8fc73311b4a54"/>
    <w:p>
      <w:pPr>
        <w:pStyle w:val="Heading2"/>
      </w:pPr>
      <w:r>
        <w:t xml:space="preserve">5.1 Model panel and developmental performance</w:t>
      </w:r>
    </w:p>
    <w:p>
      <w:pPr>
        <w:pStyle w:val="FirstParagraph"/>
      </w:pPr>
      <w:r>
        <w:t xml:space="preserve">The five evaluable methods and pooled corrected outer-CV correlations were ridge-rank (−0.73016),</w:t>
      </w:r>
      <w:r>
        <w:t xml:space="preserve"> </w:t>
      </w:r>
      <w:r>
        <w:t xml:space="preserve">PCA50-ridge (−0.71304), meta-effect projection (−0.31406), GSE113957-only ridge (−0.61047), and</w:t>
      </w:r>
      <w:r>
        <w:t xml:space="preserve"> </w:t>
      </w:r>
      <w:r>
        <w:t xml:space="preserve">GSE226189-only ridge (−0.36476). All five correctly oriented both independent age controls. Final</w:t>
      </w:r>
      <w:r>
        <w:t xml:space="preserve"> </w:t>
      </w:r>
      <w:r>
        <w:t xml:space="preserve">hyperparameters and cohort-specific correlations are in Supplementary Table 3.</w:t>
      </w:r>
    </w:p>
    <w:p>
      <w:pPr>
        <w:pStyle w:val="BodyText"/>
      </w:pPr>
      <w:r>
        <w:t xml:space="preserve">The corrected A1 predictions reproduce the independently generated A1 outer predictions to maximum</w:t>
      </w:r>
      <w:r>
        <w:t xml:space="preserve"> </w:t>
      </w:r>
      <w:r>
        <w:t xml:space="preserve">absolute difference</w:t>
      </w:r>
      <w:r>
        <w:t xml:space="preserve"> </w:t>
      </w:r>
      <w:r>
        <w:rPr>
          <w:rStyle w:val="VerbatimChar"/>
        </w:rPr>
        <w:t xml:space="preserve">1.56e-15</w:t>
      </w:r>
      <w:r>
        <w:t xml:space="preserve">. Fifteen repository tests passed at the B1-r2 checkpoint.</w:t>
      </w:r>
    </w:p>
    <w:bookmarkEnd w:id="39"/>
    <w:bookmarkStart w:id="43" w:name="complete-contrast-set"/>
    <w:p>
      <w:pPr>
        <w:pStyle w:val="Heading2"/>
      </w:pPr>
      <w:r>
        <w:t xml:space="preserve">5.2 Complete contrast set</w:t>
      </w:r>
    </w:p>
    <w:p>
      <w:pPr>
        <w:pStyle w:val="FirstParagraph"/>
      </w:pPr>
      <w:r>
        <w:t xml:space="preserve">The complete method-by-contrast table is distributed as</w:t>
      </w:r>
      <w:r>
        <w:t xml:space="preserve"> </w:t>
      </w:r>
      <w:r>
        <w:rPr>
          <w:rStyle w:val="VerbatimChar"/>
        </w:rPr>
        <w:t xml:space="preserve">tables/supplementary-table-5-contrast-matrix.csv</w:t>
      </w:r>
      <w:r>
        <w:t xml:space="preserve">. It contains all 184 declared contrasts,</w:t>
      </w:r>
      <w:r>
        <w:t xml:space="preserve"> </w:t>
      </w:r>
      <w:r>
        <w:t xml:space="preserve">including favourable-labelled, negative, trajectory, exploratory, adverse and age-control</w:t>
      </w:r>
      <w:r>
        <w:t xml:space="preserve"> </w:t>
      </w:r>
      <w:r>
        <w:t xml:space="preserve">categories. Source-unit labels are replaced by stable contrast codes in the redistribution-safe</w:t>
      </w:r>
      <w:r>
        <w:t xml:space="preserve"> </w:t>
      </w:r>
      <w:r>
        <w:t xml:space="preserve">table. No contrast was removed because its sign was unexpected.</w:t>
      </w:r>
    </w:p>
    <w:p>
      <w:pPr>
        <w:pStyle w:val="CaptionedFigure"/>
      </w:pPr>
      <w:r>
        <w:drawing>
          <wp:inline>
            <wp:extent cx="4267200" cy="5735718"/>
            <wp:effectExtent b="0" l="0" r="0" t="0"/>
            <wp:docPr descr="All 184 contrasts. Each method is divided by its own median absolute effect for visualization; values are clipped to ±4. This scaling is visual only and is not used by any endpoint." title="" id="41" name="Picture"/>
            <a:graphic>
              <a:graphicData uri="http://schemas.openxmlformats.org/drawingml/2006/picture">
                <pic:pic>
                  <pic:nvPicPr>
                    <pic:cNvPr descr="figures/supplementary-figure-1-full-contrast-matrix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735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184 contrasts. Each method is divided by its own median absolute effect for visualization;</w:t>
      </w:r>
      <w:r>
        <w:t xml:space="preserve"> </w:t>
      </w:r>
      <w:r>
        <w:t xml:space="preserve">values are clipped to ±4. This scaling is visual only and is not used by any endpoint.</w:t>
      </w:r>
    </w:p>
    <w:p>
      <w:pPr>
        <w:pStyle w:val="BodyText"/>
      </w:pPr>
      <w:r>
        <w:t xml:space="preserve">Across the five evaluable methods, the pairwise sign-agreement values were: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Ridge-rank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PCA50-ridge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Meta-effect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Cohort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Cohort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Ridge-rank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PCA50-ridge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The upper-triangle median was 0.744565. Thus, the broad transportability gate failed despite all age</w:t>
      </w:r>
      <w:r>
        <w:t xml:space="preserve"> </w:t>
      </w:r>
      <w:r>
        <w:t xml:space="preserve">controls being oriented correctly.</w:t>
      </w:r>
    </w:p>
    <w:bookmarkEnd w:id="43"/>
    <w:bookmarkStart w:id="44" w:name="family-level-direction"/>
    <w:p>
      <w:pPr>
        <w:pStyle w:val="Heading2"/>
      </w:pPr>
      <w:r>
        <w:t xml:space="preserve">5.3 Family-level direction</w:t>
      </w:r>
    </w:p>
    <w:p>
      <w:pPr>
        <w:pStyle w:val="FirstParagraph"/>
      </w:pPr>
      <w:r>
        <w:t xml:space="preserve">Family-mean directions were positive in 3/8 families for ridge-rank, 3/8 for PCA50-ridge, 5/8 for</w:t>
      </w:r>
      <w:r>
        <w:t xml:space="preserve"> </w:t>
      </w:r>
      <w:r>
        <w:t xml:space="preserve">meta-effect projection, 2/8 for cohort-A ridge and 3/8 for cohort-B ridge. Zero methods reached the</w:t>
      </w:r>
      <w:r>
        <w:t xml:space="preserve"> </w:t>
      </w:r>
      <w:r>
        <w:t xml:space="preserve">locked 80% threshold. The source-labelled family set is a concordance audit, not a sensitivity and</w:t>
      </w:r>
      <w:r>
        <w:t xml:space="preserve"> </w:t>
      </w:r>
      <w:r>
        <w:t xml:space="preserve">specificity analysis, because the source conclusions are heterogeneous and not a gold standard.</w:t>
      </w:r>
    </w:p>
    <w:bookmarkEnd w:id="44"/>
    <w:bookmarkStart w:id="45" w:name="gene-level-effect-concordance"/>
    <w:p>
      <w:pPr>
        <w:pStyle w:val="Heading2"/>
      </w:pPr>
      <w:r>
        <w:t xml:space="preserve">5.4 Gene-level effect concordance</w:t>
      </w:r>
    </w:p>
    <w:p>
      <w:pPr>
        <w:pStyle w:val="FirstParagraph"/>
      </w:pPr>
      <w:r>
        <w:t xml:space="preserve">There were 9,543 common genes in the complete family-effect matrix. The 28 off-diagonal family</w:t>
      </w:r>
      <w:r>
        <w:t xml:space="preserve"> </w:t>
      </w:r>
      <w:r>
        <w:t xml:space="preserve">correlations had median 0.053812. Leave-one-family-out correlations were: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Held 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 with seven-family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Mouse 2c/7c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SOKM screen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2c/7c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OSK/O4YRSK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early OSKM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RPE OSK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RPE GSTA4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0.06008</w:t>
            </w:r>
          </w:p>
        </w:tc>
      </w:tr>
    </w:tbl>
    <w:p>
      <w:pPr>
        <w:pStyle w:val="BodyText"/>
      </w:pPr>
      <w:r>
        <w:t xml:space="preserve">The median was 0.196995. These are descriptive correlations over a fixed gene universe. Gene counts</w:t>
      </w:r>
      <w:r>
        <w:t xml:space="preserve"> </w:t>
      </w:r>
      <w:r>
        <w:t xml:space="preserve">were not used as biological-replicate sample sizes.</w:t>
      </w:r>
    </w:p>
    <w:bookmarkEnd w:id="45"/>
    <w:bookmarkEnd w:id="46"/>
    <w:bookmarkStart w:id="52" w:name="post-review-extension-c1"/>
    <w:p>
      <w:pPr>
        <w:pStyle w:val="Heading1"/>
      </w:pPr>
      <w:r>
        <w:t xml:space="preserve">6. Post-review Extension C1</w:t>
      </w:r>
    </w:p>
    <w:p>
      <w:pPr>
        <w:pStyle w:val="FirstParagraph"/>
      </w:pPr>
      <w:r>
        <w:t xml:space="preserve">C1 was frozen at commit</w:t>
      </w:r>
      <w:r>
        <w:t xml:space="preserve"> </w:t>
      </w:r>
      <w:r>
        <w:rPr>
          <w:rStyle w:val="VerbatimChar"/>
        </w:rPr>
        <w:t xml:space="preserve">93c04d7</w:t>
      </w:r>
      <w:r>
        <w:t xml:space="preserve"> </w:t>
      </w:r>
      <w:r>
        <w:t xml:space="preserve">before its outcomes were calculated. Its Markdown and JSON lock</w:t>
      </w:r>
      <w:r>
        <w:t xml:space="preserve"> </w:t>
      </w:r>
      <w:r>
        <w:t xml:space="preserve">files have SHA-256 values</w:t>
      </w:r>
      <w:r>
        <w:t xml:space="preserve"> </w:t>
      </w:r>
      <w:r>
        <w:rPr>
          <w:rStyle w:val="VerbatimChar"/>
        </w:rPr>
        <w:t xml:space="preserve">7fdf1b4e27b0d16af3b0613cc011b0a91d8f5b80f9b9013430278b9a0166a9dd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01420f7ebf81df459e022c7c87c49f300600da4f2ef1eabfaaae4bee1ec72ca0</w:t>
      </w:r>
      <w:r>
        <w:t xml:space="preserve">. It was requested after</w:t>
      </w:r>
      <w:r>
        <w:t xml:space="preserve"> </w:t>
      </w:r>
      <w:r>
        <w:t xml:space="preserve">review of the complete manuscript, so every C1 result is explicitly outcome-aware and does not alter</w:t>
      </w:r>
      <w:r>
        <w:t xml:space="preserve"> </w:t>
      </w:r>
      <w:r>
        <w:t xml:space="preserve">the historical locks.</w:t>
      </w:r>
    </w:p>
    <w:bookmarkStart w:id="47" w:name="Xe23171e15a821c8ed86ca3b2bea31cb2b75f8c8"/>
    <w:p>
      <w:pPr>
        <w:pStyle w:val="Heading2"/>
      </w:pPr>
      <w:r>
        <w:t xml:space="preserve">6.1 Hierarchical agreement and gate sensitivity</w:t>
      </w:r>
    </w:p>
    <w:p>
      <w:pPr>
        <w:pStyle w:val="FirstParagraph"/>
      </w:pPr>
      <w:r>
        <w:t xml:space="preserve">The contrast-weighted median pairwise agreement of 0.744565 was reproduced. Giving each of 14</w:t>
      </w:r>
      <w:r>
        <w:t xml:space="preserve"> </w:t>
      </w:r>
      <w:r>
        <w:t xml:space="preserve">families equal weight yielded 0.622514. The family-cluster bootstrap estimate had median 0.630315 and</w:t>
      </w:r>
      <w:r>
        <w:t xml:space="preserve"> </w:t>
      </w:r>
      <w:r>
        <w:t xml:space="preserve">95% percentile interval 0.515200–0.737703. Leaving out one family at a time produced estimates from</w:t>
      </w:r>
      <w:r>
        <w:t xml:space="preserve"> </w:t>
      </w:r>
      <w:r>
        <w:t xml:space="preserve">0.593477 to 0.652182. Thus no single family or contrast-rich study accounts for the below-gate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The five model counts across the eight favourable-labelled families were 3, 3, 5, 2 and 3. One model</w:t>
      </w:r>
      <w:r>
        <w:t xml:space="preserve"> </w:t>
      </w:r>
      <w:r>
        <w:t xml:space="preserve">met a four-of-eight threshold and one met five-of-eight; none met six-, seven- or eight-of-eight.</w:t>
      </w:r>
      <w:r>
        <w:t xml:space="preserve"> </w:t>
      </w:r>
      <w:r>
        <w:t xml:space="preserve">Across agreement thresholds from 0.50 to 1.00, the observed contrast-weighted result passes only at</w:t>
      </w:r>
      <w:r>
        <w:t xml:space="preserve"> </w:t>
      </w:r>
      <w:r>
        <w:t xml:space="preserve">thresholds up to 0.725 and the equal-family result only up to 0.600. These curves are descriptive and</w:t>
      </w:r>
      <w:r>
        <w:t xml:space="preserve"> </w:t>
      </w:r>
      <w:r>
        <w:t xml:space="preserve">do not make any threshold biologically privileged.</w:t>
      </w:r>
    </w:p>
    <w:bookmarkEnd w:id="47"/>
    <w:bookmarkStart w:id="48" w:name="stratified-summaries"/>
    <w:p>
      <w:pPr>
        <w:pStyle w:val="Heading2"/>
      </w:pPr>
      <w:r>
        <w:t xml:space="preserve">6.2 Stratified summaries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Families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Pairwise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0.600–1.000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0.333–1.000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0.500–1.000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0.500–0.833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Fibroblast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0.400–1.000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Retinal pigment epithelium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0.000–1.000</w:t>
            </w:r>
          </w:p>
        </w:tc>
      </w:tr>
    </w:tbl>
    <w:p>
      <w:pPr>
        <w:pStyle w:val="BodyText"/>
      </w:pPr>
      <w:r>
        <w:t xml:space="preserve">Small strata and wide method-pair ranges preclude attribution of heterogeneity to one biological or</w:t>
      </w:r>
      <w:r>
        <w:t xml:space="preserve"> </w:t>
      </w:r>
      <w:r>
        <w:t xml:space="preserve">technical factor.</w:t>
      </w:r>
    </w:p>
    <w:bookmarkEnd w:id="48"/>
    <w:bookmarkStart w:id="49" w:name="gene-effect-reliability"/>
    <w:p>
      <w:pPr>
        <w:pStyle w:val="Heading2"/>
      </w:pPr>
      <w:r>
        <w:t xml:space="preserve">6.3 Gene-effect reliability</w:t>
      </w:r>
    </w:p>
    <w:p>
      <w:pPr>
        <w:pStyle w:val="FirstParagraph"/>
      </w:pPr>
      <w:r>
        <w:t xml:space="preserve">Only four favourable families had at least four contrast units. Their raw median split-half</w:t>
      </w:r>
      <w:r>
        <w:t xml:space="preserve"> </w:t>
      </w:r>
      <w:r>
        <w:t xml:space="preserve">Spearman correlations were 0.558 (MPTR), 0.840 (mouse chemical), 0.323 (SOKM) and 0.678 (human</w:t>
      </w:r>
      <w:r>
        <w:t xml:space="preserve"> </w:t>
      </w:r>
      <w:r>
        <w:t xml:space="preserve">chemical). Eight individual contrasts also supported independent arm splitting; raw correlations</w:t>
      </w:r>
      <w:r>
        <w:t xml:space="preserve"> </w:t>
      </w:r>
      <w:r>
        <w:t xml:space="preserve">ranged from 0.188 to 0.912. These values establish a partial, heterogeneous noise ceiling. They do</w:t>
      </w:r>
      <w:r>
        <w:t xml:space="preserve"> </w:t>
      </w:r>
      <w:r>
        <w:t xml:space="preserve">not support reliability correction for the four ineligible families, but show that the observed</w:t>
      </w:r>
      <w:r>
        <w:t xml:space="preserve"> </w:t>
      </w:r>
      <w:r>
        <w:t xml:space="preserve">cross-family median of 0.054 is well below within-context reproducibility in several estimable</w:t>
      </w:r>
      <w:r>
        <w:t xml:space="preserve"> </w:t>
      </w:r>
      <w:r>
        <w:t xml:space="preserve">settings.</w:t>
      </w:r>
    </w:p>
    <w:bookmarkEnd w:id="49"/>
    <w:bookmarkStart w:id="50" w:name="feature-coverage"/>
    <w:p>
      <w:pPr>
        <w:pStyle w:val="Heading2"/>
      </w:pPr>
      <w:r>
        <w:t xml:space="preserve">6.4 Feature coverage</w:t>
      </w:r>
    </w:p>
    <w:p>
      <w:pPr>
        <w:pStyle w:val="FirstParagraph"/>
      </w:pPr>
      <w:r>
        <w:t xml:space="preserve">Historical-model coverage across ten expression matrices ranged from 0.8513 to 0.9999. Thresholds of</w:t>
      </w:r>
      <w:r>
        <w:t xml:space="preserve"> </w:t>
      </w:r>
      <w:r>
        <w:t xml:space="preserve">0.60, 0.70 and 0.80 retained all ten matrices, 184 contrasts and the same agreement statistics. A</w:t>
      </w:r>
      <w:r>
        <w:t xml:space="preserve"> </w:t>
      </w:r>
      <w:r>
        <w:t xml:space="preserve">0.90 threshold retained five matrices, 49 contrasts and eight total families; contrast-weighted and</w:t>
      </w:r>
      <w:r>
        <w:t xml:space="preserve"> </w:t>
      </w:r>
      <w:r>
        <w:t xml:space="preserve">equal-family median agreement remained 0.734694 and 0.666123. A separate refit on the 8,427 features</w:t>
      </w:r>
      <w:r>
        <w:t xml:space="preserve"> </w:t>
      </w:r>
      <w:r>
        <w:t xml:space="preserve">present in every matrix yielded 0.779891 and 0.648621.</w:t>
      </w:r>
    </w:p>
    <w:bookmarkEnd w:id="50"/>
    <w:bookmarkStart w:id="51" w:name="contemporary-exploratory-comparator"/>
    <w:p>
      <w:pPr>
        <w:pStyle w:val="Heading2"/>
      </w:pPr>
      <w:r>
        <w:t xml:space="preserve">6.5 Contemporary exploratory comparator</w:t>
      </w:r>
    </w:p>
    <w:p>
      <w:pPr>
        <w:pStyle w:val="FirstParagraph"/>
      </w:pPr>
      <w:r>
        <w:t xml:space="preserve">Pasta was pinned to official repository commit</w:t>
      </w:r>
      <w:r>
        <w:t xml:space="preserve"> </w:t>
      </w:r>
      <w:r>
        <w:rPr>
          <w:rStyle w:val="VerbatimChar"/>
        </w:rPr>
        <w:t xml:space="preserve">58bcc7a69ee97f2dc9e3623ac86538c251ddd498</w:t>
      </w:r>
      <w:r>
        <w:t xml:space="preserve">. The three required model files had SHA-256 values: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v_genes_model.rda</w:t>
      </w:r>
      <w:r>
        <w:t xml:space="preserve">:</w:t>
      </w:r>
      <w:r>
        <w:t xml:space="preserve"> </w:t>
      </w:r>
      <w:r>
        <w:rPr>
          <w:rStyle w:val="VerbatimChar"/>
        </w:rPr>
        <w:t xml:space="preserve">42289278a0a0d5171af23b108b086deea7b413d287559a9ec39cf7c76269cb5f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beta_Pasta.rda</w:t>
      </w:r>
      <w:r>
        <w:t xml:space="preserve">:</w:t>
      </w:r>
      <w:r>
        <w:t xml:space="preserve"> </w:t>
      </w:r>
      <w:r>
        <w:rPr>
          <w:rStyle w:val="VerbatimChar"/>
        </w:rPr>
        <w:t xml:space="preserve">b4a1891b7ed0737fbb784a89f6e00a9dfa07a15fa53359975f78f42fe92722e8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cvfit_Pasta.rda</w:t>
      </w:r>
      <w:r>
        <w:t xml:space="preserve">:</w:t>
      </w:r>
      <w:r>
        <w:t xml:space="preserve"> </w:t>
      </w:r>
      <w:r>
        <w:rPr>
          <w:rStyle w:val="VerbatimChar"/>
        </w:rPr>
        <w:t xml:space="preserve">158a9ec9d9e53786c85bfc8af3593bfa99ae4bc949c4ad3f2afb767c14befa56</w:t>
      </w:r>
    </w:p>
    <w:p>
      <w:pPr>
        <w:pStyle w:val="FirstParagraph"/>
      </w:pPr>
      <w:r>
        <w:t xml:space="preserve">The Python reconstruction reproduced the official three-sample example with maximum absolute error</w:t>
      </w:r>
      <w:r>
        <w:t xml:space="preserve"> </w:t>
      </w:r>
      <w:r>
        <w:rPr>
          <w:rStyle w:val="VerbatimChar"/>
        </w:rPr>
        <w:t xml:space="preserve">4.73×10^-11</w:t>
      </w:r>
      <w:r>
        <w:t xml:space="preserve">. Pasta oriented the mouse and human age controls youthward by 18.195 and 52.184 units.</w:t>
      </w:r>
      <w:r>
        <w:t xml:space="preserve"> </w:t>
      </w:r>
      <w:r>
        <w:t xml:space="preserve">Its favourable-family effects were negative for MPTR, SOKM, RPE OSK and RPE GSTA4 and positive for</w:t>
      </w:r>
      <w:r>
        <w:t xml:space="preserve"> </w:t>
      </w:r>
      <w:r>
        <w:t xml:space="preserve">mouse chemical, human OSK/O4YRSK, early human OSKM and human chemical: four of eight positive. This</w:t>
      </w:r>
      <w:r>
        <w:t xml:space="preserve"> </w:t>
      </w:r>
      <w:r>
        <w:t xml:space="preserve">result is exploratory, post-review and outcome-aware. No exact benchmark accession was found in the</w:t>
      </w:r>
      <w:r>
        <w:t xml:space="preserve"> </w:t>
      </w:r>
      <w:r>
        <w:t xml:space="preserve">public article or packaged files, but the complete training sample list could not be audited.</w:t>
      </w:r>
    </w:p>
    <w:p>
      <w:pPr>
        <w:pStyle w:val="BodyText"/>
      </w:pPr>
      <w:r>
        <w:t xml:space="preserve">The 2026 tAge model was not run. Its official public repository uses the MGB Open Access License 1.0</w:t>
      </w:r>
      <w:r>
        <w:t xml:space="preserve"> </w:t>
      </w:r>
      <w:r>
        <w:t xml:space="preserve">for non-commercial academic use and directs commercial users to obtain a separate agreement. The</w:t>
      </w:r>
      <w:r>
        <w:t xml:space="preserve"> </w:t>
      </w:r>
      <w:r>
        <w:t xml:space="preserve">author’s commercial affiliation made exclusion the conservative rights-compliant choice.</w:t>
      </w:r>
    </w:p>
    <w:bookmarkEnd w:id="51"/>
    <w:bookmarkEnd w:id="52"/>
    <w:bookmarkStart w:id="53" w:name="supplementary-tables"/>
    <w:p>
      <w:pPr>
        <w:pStyle w:val="Heading1"/>
      </w:pPr>
      <w:r>
        <w:t xml:space="preserve">7. Supplementary tables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 1:</w:t>
      </w:r>
      <w:r>
        <w:t xml:space="preserve"> </w:t>
      </w:r>
      <w:r>
        <w:rPr>
          <w:rStyle w:val="VerbatimChar"/>
        </w:rPr>
        <w:t xml:space="preserve">tables/supplementary-table-1-datasets.csv</w:t>
      </w:r>
      <w:r>
        <w:t xml:space="preserve"> </w:t>
      </w:r>
      <w:r>
        <w:t xml:space="preserve">— dataset roles, species,</w:t>
      </w:r>
      <w:r>
        <w:t xml:space="preserve"> </w:t>
      </w:r>
      <w:r>
        <w:t xml:space="preserve">modality, biological unit and public date.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 2:</w:t>
      </w:r>
      <w:r>
        <w:t xml:space="preserve"> </w:t>
      </w:r>
      <w:r>
        <w:rPr>
          <w:rStyle w:val="VerbatimChar"/>
        </w:rPr>
        <w:t xml:space="preserve">tables/supplementary-table-2-primary-scorecard.csv</w:t>
      </w:r>
      <w:r>
        <w:t xml:space="preserve"> </w:t>
      </w:r>
      <w:r>
        <w:t xml:space="preserve">— complete frozen</w:t>
      </w:r>
      <w:r>
        <w:t xml:space="preserve"> </w:t>
      </w:r>
      <w:r>
        <w:t xml:space="preserve">endpoint scorecard.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 3:</w:t>
      </w:r>
      <w:r>
        <w:t xml:space="preserve"> </w:t>
      </w:r>
      <w:r>
        <w:rPr>
          <w:rStyle w:val="VerbatimChar"/>
        </w:rPr>
        <w:t xml:space="preserve">tables/supplementary-table-3-benchmark-summary.csv</w:t>
      </w:r>
      <w:r>
        <w:t xml:space="preserve"> </w:t>
      </w:r>
      <w:r>
        <w:t xml:space="preserve">— model</w:t>
      </w:r>
      <w:r>
        <w:t xml:space="preserve"> </w:t>
      </w:r>
      <w:r>
        <w:t xml:space="preserve">hyperparameters, CV correlations, control orientation and family fractions.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 4:</w:t>
      </w:r>
      <w:r>
        <w:t xml:space="preserve"> </w:t>
      </w:r>
      <w:r>
        <w:rPr>
          <w:rStyle w:val="VerbatimChar"/>
        </w:rPr>
        <w:t xml:space="preserve">tables/supplementary-table-4-known-targets.csv</w:t>
      </w:r>
      <w:r>
        <w:t xml:space="preserve"> </w:t>
      </w:r>
      <w:r>
        <w:t xml:space="preserve">— target</w:t>
      </w:r>
      <w:r>
        <w:t xml:space="preserve"> </w:t>
      </w:r>
      <w:r>
        <w:t xml:space="preserve">evaluability and ranks.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 5:</w:t>
      </w:r>
      <w:r>
        <w:t xml:space="preserve"> </w:t>
      </w:r>
      <w:r>
        <w:rPr>
          <w:rStyle w:val="VerbatimChar"/>
        </w:rPr>
        <w:t xml:space="preserve">tables/supplementary-table-5-contrast-matrix.csv</w:t>
      </w:r>
      <w:r>
        <w:t xml:space="preserve"> </w:t>
      </w:r>
      <w:r>
        <w:t xml:space="preserve">— all 184</w:t>
      </w:r>
      <w:r>
        <w:t xml:space="preserve"> </w:t>
      </w:r>
      <w:r>
        <w:t xml:space="preserve">contrasts and model effects, with source-unit labels replaced by stable codes.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 6:</w:t>
      </w:r>
      <w:r>
        <w:t xml:space="preserve"> </w:t>
      </w:r>
      <w:r>
        <w:rPr>
          <w:rStyle w:val="VerbatimChar"/>
        </w:rPr>
        <w:t xml:space="preserve">results/benchmark-b1/favourable-family-means.csv</w:t>
      </w:r>
      <w:r>
        <w:t xml:space="preserve"> </w:t>
      </w:r>
      <w:r>
        <w:t xml:space="preserve">— family means.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 7:</w:t>
      </w:r>
      <w:r>
        <w:t xml:space="preserve"> </w:t>
      </w:r>
      <w:r>
        <w:rPr>
          <w:rStyle w:val="VerbatimChar"/>
        </w:rPr>
        <w:t xml:space="preserve">results/benchmark-b1/family-gene-effect-spearman.csv</w:t>
      </w:r>
      <w:r>
        <w:t xml:space="preserve"> </w:t>
      </w:r>
      <w:r>
        <w:t xml:space="preserve">— complete</w:t>
      </w:r>
      <w:r>
        <w:t xml:space="preserve"> </w:t>
      </w:r>
      <w:r>
        <w:t xml:space="preserve">gene-effect correlation matrix.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 8:</w:t>
      </w:r>
      <w:r>
        <w:t xml:space="preserve"> </w:t>
      </w:r>
      <w:r>
        <w:rPr>
          <w:rStyle w:val="VerbatimChar"/>
        </w:rPr>
        <w:t xml:space="preserve">results/benchmark-b1/leave-one-family-out-gene-consensus.csv</w:t>
      </w:r>
      <w:r>
        <w:t xml:space="preserve"> </w:t>
      </w:r>
      <w:r>
        <w:t xml:space="preserve">—</w:t>
      </w:r>
      <w:r>
        <w:t xml:space="preserve"> </w:t>
      </w:r>
      <w:r>
        <w:t xml:space="preserve">consensus transfer results.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Supplementary Tables 9–22:</w:t>
      </w:r>
      <w:r>
        <w:t xml:space="preserve"> </w:t>
      </w:r>
      <w:r>
        <w:rPr>
          <w:rStyle w:val="VerbatimChar"/>
        </w:rPr>
        <w:t xml:space="preserve">results/post-review-c1/</w:t>
      </w:r>
      <w:r>
        <w:t xml:space="preserve"> </w:t>
      </w:r>
      <w:r>
        <w:t xml:space="preserve">— hierarchical agreement, cluster</w:t>
      </w:r>
      <w:r>
        <w:t xml:space="preserve"> </w:t>
      </w:r>
      <w:r>
        <w:t xml:space="preserve">bootstrap, threshold sensitivity, strata, reliability, feature coverage, common-feature refit and</w:t>
      </w:r>
      <w:r>
        <w:t xml:space="preserve"> </w:t>
      </w:r>
      <w:r>
        <w:t xml:space="preserve">Pasta outputs.</w:t>
      </w:r>
    </w:p>
    <w:bookmarkEnd w:id="53"/>
    <w:bookmarkStart w:id="54" w:name="reproducibility-and-rights-boundary"/>
    <w:p>
      <w:pPr>
        <w:pStyle w:val="Heading1"/>
      </w:pPr>
      <w:r>
        <w:t xml:space="preserve">8. Reproducibility and rights boundary</w:t>
      </w:r>
    </w:p>
    <w:p>
      <w:pPr>
        <w:pStyle w:val="FirstParagraph"/>
      </w:pPr>
      <w:r>
        <w:t xml:space="preserve">The reproducibility package includes analysis and figure source code, configurations, exact input</w:t>
      </w:r>
      <w:r>
        <w:t xml:space="preserve"> </w:t>
      </w:r>
      <w:r>
        <w:t xml:space="preserve">manifests, tests, aggregate result tables and audit receipts. It excludes raw public expression</w:t>
      </w:r>
      <w:r>
        <w:t xml:space="preserve"> </w:t>
      </w:r>
      <w:r>
        <w:t xml:space="preserve">matrices, source H5AD/H5 files, participant-linked records and source content not licensed for</w:t>
      </w:r>
      <w:r>
        <w:t xml:space="preserve"> </w:t>
      </w:r>
      <w:r>
        <w:t xml:space="preserve">redistribution. Users obtain raw data from the original repositories and verify them against the</w:t>
      </w:r>
      <w:r>
        <w:t xml:space="preserve"> </w:t>
      </w:r>
      <w:r>
        <w:t xml:space="preserve">provided hashes.</w:t>
      </w:r>
    </w:p>
    <w:p>
      <w:pPr>
        <w:pStyle w:val="BodyText"/>
      </w:pPr>
      <w:r>
        <w:t xml:space="preserve">The first B1 run and its corrected CV revision remain separately available. Historical outputs are</w:t>
      </w:r>
      <w:r>
        <w:t xml:space="preserve"> </w:t>
      </w:r>
      <w:r>
        <w:t xml:space="preserve">never overwritten. The main manuscript uses</w:t>
      </w:r>
      <w:r>
        <w:t xml:space="preserve"> </w:t>
      </w:r>
      <w:r>
        <w:rPr>
          <w:rStyle w:val="VerbatimChar"/>
        </w:rPr>
        <w:t xml:space="preserve">outer-cv-correlations-r2.csv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summary-r2.json</w:t>
      </w:r>
      <w:r>
        <w:t xml:space="preserve">.</w:t>
      </w:r>
      <w:r>
        <w:t xml:space="preserve"> </w:t>
      </w:r>
      <w:r>
        <w:t xml:space="preserve">Intervention results are the original B1 results because the repaired target scaling did not enter</w:t>
      </w:r>
      <w:r>
        <w:t xml:space="preserve"> </w:t>
      </w:r>
      <w:r>
        <w:t xml:space="preserve">final model fitting or application.</w:t>
      </w:r>
    </w:p>
    <w:p>
      <w:pPr>
        <w:pStyle w:val="BodyText"/>
      </w:pPr>
      <w:r>
        <w:t xml:space="preserve">The analysis package makes no claim of causal rejuvenation, direct biological age, clinical</w:t>
      </w:r>
      <w:r>
        <w:t xml:space="preserve"> </w:t>
      </w:r>
      <w:r>
        <w:t xml:space="preserve">validity, therapeutic efficacy, safety, peptide efficacy or target causality. It also does not imply</w:t>
      </w:r>
      <w:r>
        <w:t xml:space="preserve"> </w:t>
      </w:r>
      <w:r>
        <w:t xml:space="preserve">that transcriptomic non-concordance invalidates orthogonal functional or epigenetic findings in the</w:t>
      </w:r>
      <w:r>
        <w:t xml:space="preserve"> </w:t>
      </w:r>
      <w:r>
        <w:t xml:space="preserve">source studies.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information: Five chronological-age transcriptomic directions fail a locked portability benchmark across partial-reprogramming interventions</dc:title>
  <dc:creator>Oğuzcan Ünver</dc:creator>
  <cp:keywords/>
  <dcterms:created xsi:type="dcterms:W3CDTF">2026-09-30T21:17:46Z</dcterms:created>
  <dcterms:modified xsi:type="dcterms:W3CDTF">2026-09-30T21:17:46Z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30 September 2026</vt:lpwstr>
  </property>
  <property fmtid="{D5CDD505-2E9C-101B-9397-08002B2CF9AE}" pid="4" name="fontsize">
    <vt:lpwstr>9pt</vt:lpwstr>
  </property>
  <property fmtid="{D5CDD505-2E9C-101B-9397-08002B2CF9AE}" pid="5" name="geometry">
    <vt:lpwstr>margin=1in</vt:lpwstr>
  </property>
  <property fmtid="{D5CDD505-2E9C-101B-9397-08002B2CF9AE}" pid="6" name="linkcolor">
    <vt:lpwstr>blue</vt:lpwstr>
  </property>
  <property fmtid="{D5CDD505-2E9C-101B-9397-08002B2CF9AE}" pid="7" name="urlcolor">
    <vt:lpwstr>blue</vt:lpwstr>
  </property>
</Properties>
</file>