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Five</w:t>
      </w:r>
      <w:r>
        <w:t xml:space="preserve"> </w:t>
      </w:r>
      <w:r>
        <w:t xml:space="preserve">chronological-age</w:t>
      </w:r>
      <w:r>
        <w:t xml:space="preserve"> </w:t>
      </w:r>
      <w:r>
        <w:t xml:space="preserve">transcriptomic</w:t>
      </w:r>
      <w:r>
        <w:t xml:space="preserve"> </w:t>
      </w:r>
      <w:r>
        <w:t xml:space="preserve">directions</w:t>
      </w:r>
      <w:r>
        <w:t xml:space="preserve"> </w:t>
      </w:r>
      <w:r>
        <w:t xml:space="preserve">fail</w:t>
      </w:r>
      <w:r>
        <w:t xml:space="preserve"> </w:t>
      </w:r>
      <w:r>
        <w:t xml:space="preserve">a</w:t>
      </w:r>
      <w:r>
        <w:t xml:space="preserve"> </w:t>
      </w:r>
      <w:r>
        <w:t xml:space="preserve">locked</w:t>
      </w:r>
      <w:r>
        <w:t xml:space="preserve"> </w:t>
      </w:r>
      <w:r>
        <w:t xml:space="preserve">portability</w:t>
      </w:r>
      <w:r>
        <w:t xml:space="preserve"> </w:t>
      </w:r>
      <w:r>
        <w:t xml:space="preserve">benchmark</w:t>
      </w:r>
      <w:r>
        <w:t xml:space="preserve"> </w:t>
      </w:r>
      <w:r>
        <w:t xml:space="preserve">across</w:t>
      </w:r>
      <w:r>
        <w:t xml:space="preserve"> </w:t>
      </w:r>
      <w:r>
        <w:t xml:space="preserve">partial-reprogramming</w:t>
      </w:r>
      <w:r>
        <w:t xml:space="preserve"> </w:t>
      </w:r>
      <w:r>
        <w:t xml:space="preserve">interventions</w:t>
      </w:r>
    </w:p>
    <w:p>
      <w:pPr>
        <w:pStyle w:val="Author"/>
      </w:pPr>
      <w:r>
        <w:t xml:space="preserve">Oğuzcan</w:t>
      </w:r>
      <w:r>
        <w:t xml:space="preserve"> </w:t>
      </w:r>
      <w:r>
        <w:t xml:space="preserve">Ünver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Cs/>
          <w:b/>
        </w:rPr>
        <w:t xml:space="preserve">Article type:</w:t>
      </w:r>
      <w:r>
        <w:t xml:space="preserve"> </w:t>
      </w:r>
      <w:r>
        <w:t xml:space="preserve">Analysis</w:t>
      </w:r>
      <w:r>
        <w:t xml:space="preserve"> </w:t>
      </w:r>
      <w:r>
        <w:rPr>
          <w:bCs/>
          <w:b/>
        </w:rPr>
        <w:t xml:space="preserve">Target journal:</w:t>
      </w:r>
      <w:r>
        <w:t xml:space="preserve"> </w:t>
      </w:r>
      <w:r>
        <w:rPr>
          <w:iCs/>
          <w:i/>
        </w:rPr>
        <w:t xml:space="preserve">Nature Aging</w:t>
      </w:r>
      <w:r>
        <w:t xml:space="preserve"> </w:t>
      </w:r>
      <w:r>
        <w:rPr>
          <w:bCs/>
          <w:b/>
        </w:rPr>
        <w:t xml:space="preserve">Affiliation:</w:t>
      </w:r>
      <w:r>
        <w:t xml:space="preserve"> </w:t>
      </w:r>
      <w:r>
        <w:t xml:space="preserve">Metastate Bio Inc, Wilmington, Delaware, USA</w:t>
      </w:r>
      <w:r>
        <w:t xml:space="preserve"> </w:t>
      </w:r>
      <w:r>
        <w:rPr>
          <w:bCs/>
          <w:b/>
        </w:rPr>
        <w:t xml:space="preserve">Corresponding author:</w:t>
      </w:r>
      <w:r>
        <w:t xml:space="preserve"> </w:t>
      </w:r>
      <w:r>
        <w:t xml:space="preserve">Oğuzcan Ünver; can@metastate.bio; ORCID:</w:t>
      </w:r>
      <w:r>
        <w:t xml:space="preserve"> </w:t>
      </w:r>
      <w:r>
        <w:t xml:space="preserve">0009-0007-2023-5084</w:t>
      </w:r>
    </w:p>
    <w:bookmarkStart w:id="3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Chronological-age models are used as scalar measures of cellular rejuvenation, although age</w:t>
      </w:r>
      <w:r>
        <w:t xml:space="preserve"> </w:t>
      </w:r>
      <w:r>
        <w:t xml:space="preserve">prediction does not establish sensitivity to beneficial intervention. We constructed a temporally</w:t>
      </w:r>
      <w:r>
        <w:t xml:space="preserve"> </w:t>
      </w:r>
      <w:r>
        <w:t xml:space="preserve">locked four-axis framework from public data available by 2024, challenged it against later studies</w:t>
      </w:r>
      <w:r>
        <w:t xml:space="preserve"> </w:t>
      </w:r>
      <w:r>
        <w:t xml:space="preserve">without refitting, and compared five evaluable age directions across 184 partial-reprogramming</w:t>
      </w:r>
      <w:r>
        <w:t xml:space="preserve"> </w:t>
      </w:r>
      <w:r>
        <w:t xml:space="preserve">contrasts. The frozen positive framework failed its human chemical and trajectory-order endpoints.</w:t>
      </w:r>
      <w:r>
        <w:t xml:space="preserve"> </w:t>
      </w:r>
      <w:r>
        <w:t xml:space="preserve">All five benchmark models oriented two independent young–old controls correctly, but their median</w:t>
      </w:r>
      <w:r>
        <w:t xml:space="preserve"> </w:t>
      </w:r>
      <w:r>
        <w:t xml:space="preserve">pairwise agreement on intervention direction was 0.745. Equal weighting across 14 study families</w:t>
      </w:r>
      <w:r>
        <w:t xml:space="preserve"> </w:t>
      </w:r>
      <w:r>
        <w:t xml:space="preserve">reduced agreement to 0.623 (family-cluster bootstrap 95% interval 0.515–0.738). No model was</w:t>
      </w:r>
      <w:r>
        <w:t xml:space="preserve"> </w:t>
      </w:r>
      <w:r>
        <w:t xml:space="preserve">youthward in more than five of eight source-labelled favourable families. Cross-family gene effects</w:t>
      </w:r>
      <w:r>
        <w:t xml:space="preserve"> </w:t>
      </w:r>
      <w:r>
        <w:t xml:space="preserve">were weakly concordant relative to the within-family reproducibility estimable in four families. A</w:t>
      </w:r>
      <w:r>
        <w:t xml:space="preserve"> </w:t>
      </w:r>
      <w:r>
        <w:t xml:space="preserve">post-review exploratory application of the contemporary Pasta model oriented both age controls but</w:t>
      </w:r>
      <w:r>
        <w:t xml:space="preserve"> </w:t>
      </w:r>
      <w:r>
        <w:t xml:space="preserve">was positive in only four of eight favourable families. These results show that age prediction did</w:t>
      </w:r>
      <w:r>
        <w:t xml:space="preserve"> </w:t>
      </w:r>
      <w:r>
        <w:t xml:space="preserve">not establish intervention portability for the evaluated directions. Rejuvenation claims require</w:t>
      </w:r>
      <w:r>
        <w:t xml:space="preserve"> </w:t>
      </w:r>
      <w:r>
        <w:t xml:space="preserve">intervention-specific and orthogonal qualification.</w:t>
      </w:r>
    </w:p>
    <w:p>
      <w:pPr>
        <w:pStyle w:val="BodyText"/>
      </w:pPr>
      <w:r>
        <w:t xml:space="preserve">Molecular clocks compress high-dimensional measurements into quantities associated with age,</w:t>
      </w:r>
      <w:r>
        <w:t xml:space="preserve"> </w:t>
      </w:r>
      <w:r>
        <w:t xml:space="preserve">morbidity, mortality or the pace of ageing [1–3]. This compression is attractive for partial</w:t>
      </w:r>
      <w:r>
        <w:t xml:space="preserve"> </w:t>
      </w:r>
      <w:r>
        <w:t xml:space="preserve">reprogramming, where transcription-factor or chemical interventions can induce broad and rapid state</w:t>
      </w:r>
      <w:r>
        <w:t xml:space="preserve"> </w:t>
      </w:r>
      <w:r>
        <w:t xml:space="preserve">changes. A single scalar appears to offer a direct answer to a difficult question: did an old cell</w:t>
      </w:r>
      <w:r>
        <w:t xml:space="preserve"> </w:t>
      </w:r>
      <w:r>
        <w:t xml:space="preserve">become younger? Yet chronological age is a training label, not an intervention outcome. A predictor</w:t>
      </w:r>
      <w:r>
        <w:t xml:space="preserve"> </w:t>
      </w:r>
      <w:r>
        <w:t xml:space="preserve">can discriminate young from old samples while responding to perturbation-specific expression,</w:t>
      </w:r>
      <w:r>
        <w:t xml:space="preserve"> </w:t>
      </w:r>
      <w:r>
        <w:t xml:space="preserve">changes in composition, stress, proliferation or loss of identity in ways that do not generalize</w:t>
      </w:r>
      <w:r>
        <w:t xml:space="preserve"> </w:t>
      </w:r>
      <w:r>
        <w:t xml:space="preserve">across experiments.</w:t>
      </w:r>
    </w:p>
    <w:p>
      <w:pPr>
        <w:pStyle w:val="BodyText"/>
      </w:pPr>
      <w:r>
        <w:t xml:space="preserve">This distinction is especially important for partial reprogramming. Transient expression of</w:t>
      </w:r>
      <w:r>
        <w:t xml:space="preserve"> </w:t>
      </w:r>
      <w:r>
        <w:t xml:space="preserve">pluripotency factors has been reported to shift transcriptomic and epigenetic features towards</w:t>
      </w:r>
      <w:r>
        <w:t xml:space="preserve"> </w:t>
      </w:r>
      <w:r>
        <w:t xml:space="preserve">younger states while retaining or reacquiring somatic identity [4–6]. Single-cell analyses also show</w:t>
      </w:r>
      <w:r>
        <w:t xml:space="preserve"> </w:t>
      </w:r>
      <w:r>
        <w:t xml:space="preserve">that youthful expression can coincide with transient suppression of identity and activation of</w:t>
      </w:r>
      <w:r>
        <w:t xml:space="preserve"> </w:t>
      </w:r>
      <w:r>
        <w:t xml:space="preserve">pluripotency programmes [7]. Chemical approaches produce extensive metabolic and transcriptional</w:t>
      </w:r>
      <w:r>
        <w:t xml:space="preserve"> </w:t>
      </w:r>
      <w:r>
        <w:t xml:space="preserve">changes and clock responses [8,9], whereas later in-vivo work has exposed toxicity and an absence of</w:t>
      </w:r>
      <w:r>
        <w:t xml:space="preserve"> </w:t>
      </w:r>
      <w:r>
        <w:t xml:space="preserve">detectable transcriptomic-age improvement in liver and kidney [10]. Later human trajectories and</w:t>
      </w:r>
      <w:r>
        <w:t xml:space="preserve"> </w:t>
      </w:r>
      <w:r>
        <w:t xml:space="preserve">retinal studies add further experimental contexts [11,12]. These studies need not be mutually</w:t>
      </w:r>
      <w:r>
        <w:t xml:space="preserve"> </w:t>
      </w:r>
      <w:r>
        <w:t xml:space="preserve">inconsistent: they interrogate different species, cell types, interventions, schedules, modalities</w:t>
      </w:r>
      <w:r>
        <w:t xml:space="preserve"> </w:t>
      </w:r>
      <w:r>
        <w:t xml:space="preserve">and functional endpoints. They do, however, create a stringent test of whether a transcriptomic</w:t>
      </w:r>
      <w:r>
        <w:t xml:space="preserve"> </w:t>
      </w:r>
      <w:r>
        <w:t xml:space="preserve">age-associated direction is a portable scalar measure of intervention-induced rejuvenation.</w:t>
      </w:r>
    </w:p>
    <w:p>
      <w:pPr>
        <w:pStyle w:val="BodyText"/>
      </w:pPr>
      <w:r>
        <w:t xml:space="preserve">We therefore ran a failure-preserving computational study. First, we specified a four-axis state</w:t>
      </w:r>
      <w:r>
        <w:t xml:space="preserve"> </w:t>
      </w:r>
      <w:r>
        <w:t xml:space="preserve">vector before opening the later expression matrices: a youth-associated chronological-age direction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Y</w:t>
      </w:r>
      <w:r>
        <w:t xml:space="preserve">), retained somatic identity (</w:t>
      </w:r>
      <w:r>
        <w:rPr>
          <w:rStyle w:val="VerbatimChar"/>
        </w:rPr>
        <w:t xml:space="preserve">I</w:t>
      </w:r>
      <w:r>
        <w:t xml:space="preserve">), endogenous pluripotency or dedifferentiation (</w:t>
      </w:r>
      <w:r>
        <w:rPr>
          <w:rStyle w:val="VerbatimChar"/>
        </w:rPr>
        <w:t xml:space="preserve">P</w:t>
      </w:r>
      <w:r>
        <w:t xml:space="preserve">), and four</w:t>
      </w:r>
      <w:r>
        <w:t xml:space="preserve"> </w:t>
      </w:r>
      <w:r>
        <w:t xml:space="preserve">measured stress/damage programmes (</w:t>
      </w:r>
      <w:r>
        <w:rPr>
          <w:rStyle w:val="VerbatimChar"/>
        </w:rPr>
        <w:t xml:space="preserve">D</w:t>
      </w:r>
      <w:r>
        <w:t xml:space="preserve">). Second, we froze discovery outputs before application to</w:t>
      </w:r>
      <w:r>
        <w:t xml:space="preserve"> </w:t>
      </w:r>
      <w:r>
        <w:t xml:space="preserve">datasets released in 2025–2026. Publication conclusions were known, so the exercise was temporally</w:t>
      </w:r>
      <w:r>
        <w:t xml:space="preserve"> </w:t>
      </w:r>
      <w:r>
        <w:t xml:space="preserve">external and outcome-informed rather than blinded or prospective. Third, after the positive framework</w:t>
      </w:r>
      <w:r>
        <w:t xml:space="preserve"> </w:t>
      </w:r>
      <w:r>
        <w:t xml:space="preserve">failed, we locked an explicitly adaptive multi-model benchmark before computing comparator outputs.</w:t>
      </w:r>
      <w:r>
        <w:t xml:space="preserve"> </w:t>
      </w:r>
      <w:r>
        <w:t xml:space="preserve">This design distinguishes prespecified failures from post-failure characterization and retains every</w:t>
      </w:r>
      <w:r>
        <w:t xml:space="preserve"> </w:t>
      </w:r>
      <w:r>
        <w:t xml:space="preserve">unfavourable result (Fig. 1).</w:t>
      </w:r>
    </w:p>
    <w:p>
      <w:pPr>
        <w:pStyle w:val="CaptionedFigure"/>
      </w:pPr>
      <w:r>
        <w:drawing>
          <wp:inline>
            <wp:extent cx="5334000" cy="4424292"/>
            <wp:effectExtent b="0" l="0" r="0" t="0"/>
            <wp:docPr descr="Study design and qualification logic. a, Discovery, locking, temporal validation and the post-primary benchmark. b, The four frozen state axes. c, The qualification ladder used for interpretation." title="" id="21" name="Picture"/>
            <a:graphic>
              <a:graphicData uri="http://schemas.openxmlformats.org/drawingml/2006/picture">
                <pic:pic>
                  <pic:nvPicPr>
                    <pic:cNvPr descr="figures/figure-1-study-desig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4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Study design and qualification logic.</w:t>
      </w:r>
      <w:r>
        <w:t xml:space="preserve"> </w:t>
      </w:r>
      <w:r>
        <w:rPr>
          <w:bCs/>
          <w:b/>
        </w:rPr>
        <w:t xml:space="preserve">a,</w:t>
      </w:r>
      <w:r>
        <w:t xml:space="preserve"> </w:t>
      </w:r>
      <w:r>
        <w:t xml:space="preserve">Discovery, locking, temporal validation and the</w:t>
      </w:r>
      <w:r>
        <w:t xml:space="preserve"> </w:t>
      </w:r>
      <w:r>
        <w:t xml:space="preserve">post-primary benchmark.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 four frozen state axes.</w:t>
      </w:r>
      <w:r>
        <w:t xml:space="preserve"> </w:t>
      </w:r>
      <w:r>
        <w:rPr>
          <w:bCs/>
          <w:b/>
        </w:rPr>
        <w:t xml:space="preserve">c,</w:t>
      </w:r>
      <w:r>
        <w:t xml:space="preserve"> </w:t>
      </w:r>
      <w:r>
        <w:t xml:space="preserve">The qualification ladder used for</w:t>
      </w:r>
      <w:r>
        <w:t xml:space="preserve"> </w:t>
      </w:r>
      <w:r>
        <w:t xml:space="preserve">interpretation.</w:t>
      </w:r>
    </w:p>
    <w:bookmarkStart w:id="26" w:name="Xbf40e8fa9851bd0705d649908028448967d0815"/>
    <w:p>
      <w:pPr>
        <w:pStyle w:val="Heading2"/>
      </w:pPr>
      <w:r>
        <w:t xml:space="preserve">A frozen multidimensional framework fails its positive validation</w:t>
      </w:r>
    </w:p>
    <w:p>
      <w:pPr>
        <w:pStyle w:val="FirstParagraph"/>
      </w:pPr>
      <w:r>
        <w:t xml:space="preserve">The original protocol required genes to show concordant age effects at a false-discovery rate of</w:t>
      </w:r>
      <w:r>
        <w:t xml:space="preserve"> </w:t>
      </w:r>
      <w:r>
        <w:t xml:space="preserve">0.10 in each of two human fibroblast cohorts. No gene met that rule because the smaller cohort’s</w:t>
      </w:r>
      <w:r>
        <w:t xml:space="preserve"> </w:t>
      </w:r>
      <w:r>
        <w:t xml:space="preserve">minimum adjusted value was 0.132. We preserved that failure and, before viewing any intervention</w:t>
      </w:r>
      <w:r>
        <w:t xml:space="preserve"> </w:t>
      </w:r>
      <w:r>
        <w:t xml:space="preserve">outcome, defined Adaptive Amendment A1: within-sample percentile ranks for 10,532 common</w:t>
      </w:r>
      <w:r>
        <w:t xml:space="preserve"> </w:t>
      </w:r>
      <w:r>
        <w:t xml:space="preserve">protein-coding genes and ridge regression against within-cohort standardized chronological age. The</w:t>
      </w:r>
      <w:r>
        <w:t xml:space="preserve"> </w:t>
      </w:r>
      <w:r>
        <w:t xml:space="preserve">negative of the predicted standardized age was called</w:t>
      </w:r>
      <w:r>
        <w:t xml:space="preserve"> </w:t>
      </w:r>
      <w:r>
        <w:rPr>
          <w:rStyle w:val="VerbatimChar"/>
        </w:rPr>
        <w:t xml:space="preserve">Y_A1</w:t>
      </w:r>
      <w:r>
        <w:t xml:space="preserve">, such that higher scores were more</w:t>
      </w:r>
      <w:r>
        <w:t xml:space="preserve"> </w:t>
      </w:r>
      <w:r>
        <w:t xml:space="preserve">youth-associated. In five-fold outer cross-validation, Spearman correlations between</w:t>
      </w:r>
      <w:r>
        <w:t xml:space="preserve"> </w:t>
      </w:r>
      <w:r>
        <w:rPr>
          <w:rStyle w:val="VerbatimChar"/>
        </w:rPr>
        <w:t xml:space="preserve">Y_A1</w:t>
      </w:r>
      <w:r>
        <w:t xml:space="preserve"> </w:t>
      </w:r>
      <w:r>
        <w:t xml:space="preserve">and age</w:t>
      </w:r>
      <w:r>
        <w:t xml:space="preserve"> </w:t>
      </w:r>
      <w:r>
        <w:t xml:space="preserve">were −0.847 in GSE113957, −0.458 in GSE226189 and −0.730 pooled (Fig. 2a). These values establish an</w:t>
      </w:r>
      <w:r>
        <w:t xml:space="preserve"> </w:t>
      </w:r>
      <w:r>
        <w:t xml:space="preserve">age association; they do not validate</w:t>
      </w:r>
      <w:r>
        <w:t xml:space="preserve"> </w:t>
      </w:r>
      <w:r>
        <w:rPr>
          <w:rStyle w:val="VerbatimChar"/>
        </w:rPr>
        <w:t xml:space="preserve">Y_A1</w:t>
      </w:r>
      <w:r>
        <w:t xml:space="preserve"> </w:t>
      </w:r>
      <w:r>
        <w:t xml:space="preserve">as biological age.</w:t>
      </w:r>
    </w:p>
    <w:p>
      <w:pPr>
        <w:pStyle w:val="BodyText"/>
      </w:pPr>
      <w:r>
        <w:t xml:space="preserve">In discovery data, maturation-phase transient reprogramming (MPTR) provided the intended separation.</w:t>
      </w:r>
      <w:r>
        <w:t xml:space="preserve"> </w:t>
      </w:r>
      <w:r>
        <w:t xml:space="preserve">Across three donors, the donor-mean change in</w:t>
      </w:r>
      <w:r>
        <w:t xml:space="preserve"> </w:t>
      </w:r>
      <w:r>
        <w:rPr>
          <w:rStyle w:val="VerbatimChar"/>
        </w:rPr>
        <w:t xml:space="preserve">Y_A1</w:t>
      </w:r>
      <w:r>
        <w:t xml:space="preserve"> </w:t>
      </w:r>
      <w:r>
        <w:t xml:space="preserve">was 0.437 (95% percentile-bootstrap interval</w:t>
      </w:r>
      <w:r>
        <w:t xml:space="preserve"> </w:t>
      </w:r>
      <w:r>
        <w:t xml:space="preserve">0.163 to 0.610), while mean changes in identity (−0.0036), endogenous pluripotency (0.0026) and</w:t>
      </w:r>
      <w:r>
        <w:t xml:space="preserve"> </w:t>
      </w:r>
      <w:r>
        <w:t xml:space="preserve">aggregate measured damage (−0.0031) remained within the locked guardrails. However, chemical</w:t>
      </w:r>
      <w:r>
        <w:t xml:space="preserve"> </w:t>
      </w:r>
      <w:r>
        <w:t xml:space="preserve">reprogramming already exposed context dependence: the untreated young-minus-old control was</w:t>
      </w:r>
      <w:r>
        <w:t xml:space="preserve"> </w:t>
      </w:r>
      <w:r>
        <w:t xml:space="preserve">correctly oriented (</w:t>
      </w:r>
      <w:r>
        <w:rPr>
          <w:rStyle w:val="VerbatimChar"/>
        </w:rPr>
        <w:t xml:space="preserve">ΔY_A1=0.245</w:t>
      </w:r>
      <w:r>
        <w:t xml:space="preserve">, interval 0.201 to 0.296), whereas old-mouse 2c and 7c effects were</w:t>
      </w:r>
      <w:r>
        <w:t xml:space="preserve"> </w:t>
      </w:r>
      <w:r>
        <w:t xml:space="preserve">−0.396 and −0.463, respectively.</w:t>
      </w:r>
    </w:p>
    <w:p>
      <w:pPr>
        <w:pStyle w:val="BodyText"/>
      </w:pPr>
      <w:r>
        <w:t xml:space="preserve">We hashed and committed the complete discovery release before obtaining the temporal-validation</w:t>
      </w:r>
      <w:r>
        <w:t xml:space="preserve"> </w:t>
      </w:r>
      <w:r>
        <w:t xml:space="preserve">matrices. In the two-donor human chemical study, neither 2c nor 7c was positive across both donor</w:t>
      </w:r>
      <w:r>
        <w:t xml:space="preserve"> </w:t>
      </w:r>
      <w:r>
        <w:t xml:space="preserve">lines and both assessed days; six of eight donor–day–cocktail effects were negative (Fig. 2c). In the</w:t>
      </w:r>
      <w:r>
        <w:t xml:space="preserve"> </w:t>
      </w:r>
      <w:r>
        <w:t xml:space="preserve">96-year donor OSKM trajectory,</w:t>
      </w:r>
      <w:r>
        <w:t xml:space="preserve"> </w:t>
      </w:r>
      <w:r>
        <w:rPr>
          <w:rStyle w:val="VerbatimChar"/>
        </w:rPr>
        <w:t xml:space="preserve">Y_A1</w:t>
      </w:r>
      <w:r>
        <w:t xml:space="preserve"> </w:t>
      </w:r>
      <w:r>
        <w:t xml:space="preserve">first increased at day 3 (</w:t>
      </w:r>
      <w:r>
        <w:rPr>
          <w:rStyle w:val="VerbatimChar"/>
        </w:rPr>
        <w:t xml:space="preserve">Δ=0.308</w:t>
      </w:r>
      <w:r>
        <w:t xml:space="preserve">), but identity loss</w:t>
      </w:r>
      <w:r>
        <w:t xml:space="preserve"> </w:t>
      </w:r>
      <w:r>
        <w:t xml:space="preserve">(</w:t>
      </w:r>
      <w:r>
        <w:rPr>
          <w:rStyle w:val="VerbatimChar"/>
        </w:rPr>
        <w:t xml:space="preserve">ΔI=−0.082</w:t>
      </w:r>
      <w:r>
        <w:t xml:space="preserve">) and pluripotency gain (</w:t>
      </w:r>
      <w:r>
        <w:rPr>
          <w:rStyle w:val="VerbatimChar"/>
        </w:rPr>
        <w:t xml:space="preserve">ΔP=0.094</w:t>
      </w:r>
      <w:r>
        <w:t xml:space="preserve">) crossed their locked margins on the same day</w:t>
      </w:r>
      <w:r>
        <w:t xml:space="preserve"> </w:t>
      </w:r>
      <w:r>
        <w:t xml:space="preserve">(Fig. 2d). Thus, youth-associated movement did not precede the risk axes. The 22-year minus 96-year</w:t>
      </w:r>
      <w:r>
        <w:t xml:space="preserve"> </w:t>
      </w:r>
      <w:r>
        <w:t xml:space="preserve">day-0 control remained correctly oriented (</w:t>
      </w:r>
      <w:r>
        <w:rPr>
          <w:rStyle w:val="VerbatimChar"/>
        </w:rPr>
        <w:t xml:space="preserve">ΔY_A1=0.856</w:t>
      </w:r>
      <w:r>
        <w:t xml:space="preserve">).</w:t>
      </w:r>
    </w:p>
    <w:p>
      <w:pPr>
        <w:pStyle w:val="BodyText"/>
      </w:pPr>
      <w:r>
        <w:t xml:space="preserve">The adverse in-vivo 7c challenge yielded negative mean</w:t>
      </w:r>
      <w:r>
        <w:t xml:space="preserve"> </w:t>
      </w:r>
      <w:r>
        <w:rPr>
          <w:rStyle w:val="VerbatimChar"/>
        </w:rPr>
        <w:t xml:space="preserve">Y_A1</w:t>
      </w:r>
      <w:r>
        <w:t xml:space="preserve"> </w:t>
      </w:r>
      <w:r>
        <w:t xml:space="preserve">changes in liver (−0.117; 95%</w:t>
      </w:r>
      <w:r>
        <w:t xml:space="preserve"> </w:t>
      </w:r>
      <w:r>
        <w:t xml:space="preserve">interval −0.191 to −0.041) and kidney (−0.075; interval −0.173 to 0.025). It formally avoided a</w:t>
      </w:r>
      <w:r>
        <w:t xml:space="preserve"> </w:t>
      </w:r>
      <w:r>
        <w:t xml:space="preserve">guarded-youthward call, but this endpoint was non-informative because a tissue-specific identity axis</w:t>
      </w:r>
      <w:r>
        <w:t xml:space="preserve"> </w:t>
      </w:r>
      <w:r>
        <w:t xml:space="preserve">was unavailable. GSTA4 overexpression in aged retinal pigment epithelium produced</w:t>
      </w:r>
      <w:r>
        <w:t xml:space="preserve"> </w:t>
      </w:r>
      <w:r>
        <w:rPr>
          <w:rStyle w:val="VerbatimChar"/>
        </w:rPr>
        <w:t xml:space="preserve">ΔY_A1=0.032</w:t>
      </w:r>
      <w:r>
        <w:t xml:space="preserve"> </w:t>
      </w:r>
      <w:r>
        <w:t xml:space="preserve">(interval −0.638 to 0.557) and did not lower aggregate</w:t>
      </w:r>
      <w:r>
        <w:t xml:space="preserve"> </w:t>
      </w:r>
      <w:r>
        <w:rPr>
          <w:rStyle w:val="VerbatimChar"/>
        </w:rPr>
        <w:t xml:space="preserve">D</w:t>
      </w:r>
      <w:r>
        <w:t xml:space="preserve">. These expression results neither validate</w:t>
      </w:r>
      <w:r>
        <w:t xml:space="preserve"> </w:t>
      </w:r>
      <w:r>
        <w:t xml:space="preserve">the frozen score nor negate functional findings in the source studies.</w:t>
      </w:r>
    </w:p>
    <w:p>
      <w:pPr>
        <w:pStyle w:val="BodyText"/>
      </w:pPr>
      <w:r>
        <w:t xml:space="preserve">Finally, a complete candidate list had been frozen before five known later targets were looked up.</w:t>
      </w:r>
      <w:r>
        <w:t xml:space="preserve"> </w:t>
      </w:r>
      <w:r>
        <w:t xml:space="preserve">GSTA4 and TOMM70A were absent from the immutable 9,131-gene intersection universe. DDX21, SERBP1 and</w:t>
      </w:r>
      <w:r>
        <w:t xml:space="preserve"> </w:t>
      </w:r>
      <w:r>
        <w:t xml:space="preserve">PHGDH ranked at percentiles 0.793, 0.607 and 0.282. Their evaluable-only mean percentile was 0.561,</w:t>
      </w:r>
      <w:r>
        <w:t xml:space="preserve"> </w:t>
      </w:r>
      <w:r>
        <w:t xml:space="preserve">with an expression-decile-matched empirical one-sided</w:t>
      </w:r>
      <w:r>
        <w:t xml:space="preserve"> </w:t>
      </w:r>
      <w:r>
        <w:rPr>
          <w:rStyle w:val="VerbatimChar"/>
        </w:rPr>
        <w:t xml:space="preserve">P=0.332</w:t>
      </w:r>
      <w:r>
        <w:t xml:space="preserve"> </w:t>
      </w:r>
      <w:r>
        <w:t xml:space="preserve">over 100,000 draws. The target</w:t>
      </w:r>
      <w:r>
        <w:t xml:space="preserve"> </w:t>
      </w:r>
      <w:r>
        <w:t xml:space="preserve">endpoint was therefore negative and incomplete. Collectively, the frozen positive framework failed</w:t>
      </w:r>
      <w:r>
        <w:t xml:space="preserve"> </w:t>
      </w:r>
      <w:r>
        <w:t xml:space="preserve">its chemical-validation and trajectory-order gates and did not recover the later target set</w:t>
      </w:r>
      <w:r>
        <w:t xml:space="preserve"> </w:t>
      </w:r>
      <w:r>
        <w:t xml:space="preserve">(Fig. 2b).</w:t>
      </w:r>
    </w:p>
    <w:p>
      <w:pPr>
        <w:pStyle w:val="CaptionedFigure"/>
      </w:pPr>
      <w:r>
        <w:drawing>
          <wp:inline>
            <wp:extent cx="5334000" cy="5175192"/>
            <wp:effectExtent b="0" l="0" r="0" t="0"/>
            <wp:docPr descr="Frozen framework results. a, Held-out age association in the two reference cohorts. b, Complete primary scorecard. c, Human 2c/7c effects by donor line and day. d, Old-donor OSKM trajectory for the youth, identity and endogenous pluripotency axes." title="" id="24" name="Picture"/>
            <a:graphic>
              <a:graphicData uri="http://schemas.openxmlformats.org/drawingml/2006/picture">
                <pic:pic>
                  <pic:nvPicPr>
                    <pic:cNvPr descr="figures/figure-2-frozen-framework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5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Frozen framework results.</w:t>
      </w:r>
      <w:r>
        <w:t xml:space="preserve"> </w:t>
      </w:r>
      <w:r>
        <w:rPr>
          <w:bCs/>
          <w:b/>
        </w:rPr>
        <w:t xml:space="preserve">a,</w:t>
      </w:r>
      <w:r>
        <w:t xml:space="preserve"> </w:t>
      </w:r>
      <w:r>
        <w:t xml:space="preserve">Held-out age association in the two reference cohorts.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Complete primary scorecard.</w:t>
      </w:r>
      <w:r>
        <w:t xml:space="preserve"> </w:t>
      </w:r>
      <w:r>
        <w:rPr>
          <w:bCs/>
          <w:b/>
        </w:rPr>
        <w:t xml:space="preserve">c,</w:t>
      </w:r>
      <w:r>
        <w:t xml:space="preserve"> </w:t>
      </w:r>
      <w:r>
        <w:t xml:space="preserve">Human 2c/7c effects by donor line and day.</w:t>
      </w:r>
      <w:r>
        <w:t xml:space="preserve"> </w:t>
      </w:r>
      <w:r>
        <w:rPr>
          <w:bCs/>
          <w:b/>
        </w:rPr>
        <w:t xml:space="preserve">d,</w:t>
      </w:r>
      <w:r>
        <w:t xml:space="preserve"> </w:t>
      </w:r>
      <w:r>
        <w:t xml:space="preserve">Old-donor OSKM</w:t>
      </w:r>
      <w:r>
        <w:t xml:space="preserve"> </w:t>
      </w:r>
      <w:r>
        <w:t xml:space="preserve">trajectory for the youth, identity and endogenous pluripotency axes.</w:t>
      </w:r>
    </w:p>
    <w:bookmarkEnd w:id="26"/>
    <w:bookmarkStart w:id="30" w:name="X2c8362c480ab4f480f3eaea3ef0b46f7eaf68c2"/>
    <w:p>
      <w:pPr>
        <w:pStyle w:val="Heading2"/>
      </w:pPr>
      <w:r>
        <w:t xml:space="preserve">Age models orient controls but disagree under intervention</w:t>
      </w:r>
    </w:p>
    <w:p>
      <w:pPr>
        <w:pStyle w:val="FirstParagraph"/>
      </w:pPr>
      <w:r>
        <w:t xml:space="preserve">One failed age direction cannot establish a general limitation. After closing the primary claim, we</w:t>
      </w:r>
      <w:r>
        <w:t xml:space="preserve"> </w:t>
      </w:r>
      <w:r>
        <w:t xml:space="preserve">therefore specified Adaptive Benchmark B1 and fixed its models, contrasts, family units and</w:t>
      </w:r>
      <w:r>
        <w:t xml:space="preserve"> </w:t>
      </w:r>
      <w:r>
        <w:t xml:space="preserve">descriptive gates before fitting any comparator. Six approaches were attempted: the existing</w:t>
      </w:r>
      <w:r>
        <w:t xml:space="preserve"> </w:t>
      </w:r>
      <w:r>
        <w:t xml:space="preserve">ridge-rank model; PCA followed by ridge regression; a sign-concordant cross-cohort age-effect</w:t>
      </w:r>
      <w:r>
        <w:t xml:space="preserve"> </w:t>
      </w:r>
      <w:r>
        <w:t xml:space="preserve">projection; ridge models fitted to each reference cohort separately; and elastic net. The selected</w:t>
      </w:r>
      <w:r>
        <w:t xml:space="preserve"> </w:t>
      </w:r>
      <w:r>
        <w:t xml:space="preserve">elastic-net model had zero non-zero coefficients and constant outputs. We retained this failure and</w:t>
      </w:r>
      <w:r>
        <w:t xml:space="preserve"> </w:t>
      </w:r>
      <w:r>
        <w:t xml:space="preserve">did not choose a replacement after seeing intervention results. Five methods remained evaluable.</w:t>
      </w:r>
    </w:p>
    <w:p>
      <w:pPr>
        <w:pStyle w:val="BodyText"/>
      </w:pPr>
      <w:r>
        <w:t xml:space="preserve">All five models associated with chronological age in corrected outer cross-validation (pooled</w:t>
      </w:r>
      <w:r>
        <w:t xml:space="preserve"> </w:t>
      </w:r>
      <w:r>
        <w:t xml:space="preserve">Spearman correlations −0.730 to −0.314; Fig. 3a). Moreover, all five correctly oriented two</w:t>
      </w:r>
      <w:r>
        <w:t xml:space="preserve"> </w:t>
      </w:r>
      <w:r>
        <w:t xml:space="preserve">young-minus-old controls, one in mouse fibroblasts and one in human fibroblasts (Fig. 3b). These</w:t>
      </w:r>
      <w:r>
        <w:t xml:space="preserve"> </w:t>
      </w:r>
      <w:r>
        <w:t xml:space="preserve">checks matter: the subsequent disagreement cannot be attributed simply to arbitrary reversal of</w:t>
      </w:r>
      <w:r>
        <w:t xml:space="preserve"> </w:t>
      </w:r>
      <w:r>
        <w:t xml:space="preserve">score direction.</w:t>
      </w:r>
    </w:p>
    <w:p>
      <w:pPr>
        <w:pStyle w:val="BodyText"/>
      </w:pPr>
      <w:r>
        <w:t xml:space="preserve">We next applied the fixed final models to 184 matched intervention contrasts spanning MPTR,</w:t>
      </w:r>
      <w:r>
        <w:t xml:space="preserve"> </w:t>
      </w:r>
      <w:r>
        <w:t xml:space="preserve">Yamanaka-factor combinations, 2c/7c chemical treatments, human OSK/O4YRSK and OSKM trajectories,</w:t>
      </w:r>
      <w:r>
        <w:t xml:space="preserve"> </w:t>
      </w:r>
      <w:r>
        <w:t xml:space="preserve">retinal OSK, GSTA4 and the adverse in-vivo study. For the locked broad-transportability gate, at least</w:t>
      </w:r>
      <w:r>
        <w:t xml:space="preserve"> </w:t>
      </w:r>
      <w:r>
        <w:t xml:space="preserve">four of six attempted methods had to orient both age controls and median pairwise sign agreement</w:t>
      </w:r>
      <w:r>
        <w:t xml:space="preserve"> </w:t>
      </w:r>
      <w:r>
        <w:t xml:space="preserve">across intervention contrasts had to reach 0.80. Restricting the summary to the five evaluable</w:t>
      </w:r>
      <w:r>
        <w:t xml:space="preserve"> </w:t>
      </w:r>
      <w:r>
        <w:t xml:space="preserve">methods, median sign agreement was 0.745. The result remained below threshold; including the failed</w:t>
      </w:r>
      <w:r>
        <w:t xml:space="preserve"> </w:t>
      </w:r>
      <w:r>
        <w:t xml:space="preserve">constant method would reduce interpretability rather than provide evidence for transportability.</w:t>
      </w:r>
    </w:p>
    <w:p>
      <w:pPr>
        <w:pStyle w:val="BodyText"/>
      </w:pPr>
      <w:r>
        <w:t xml:space="preserve">Because the 184 contrasts are clustered within studies and families, we added an explicitly</w:t>
      </w:r>
      <w:r>
        <w:t xml:space="preserve"> </w:t>
      </w:r>
      <w:r>
        <w:t xml:space="preserve">post-review, outcome-aware sensitivity under locked Amendment C1. Equal weighting of the 14</w:t>
      </w:r>
      <w:r>
        <w:t xml:space="preserve"> </w:t>
      </w:r>
      <w:r>
        <w:t xml:space="preserve">benchmark families lowered median pairwise agreement to 0.623. A 10,000-draw cluster bootstrap that</w:t>
      </w:r>
      <w:r>
        <w:t xml:space="preserve"> </w:t>
      </w:r>
      <w:r>
        <w:t xml:space="preserve">resampled families gave a percentile interval of 0.515–0.738, and leave-one-family-out estimates</w:t>
      </w:r>
      <w:r>
        <w:t xml:space="preserve"> </w:t>
      </w:r>
      <w:r>
        <w:t xml:space="preserve">ranged from 0.593 to 0.652 (Fig. 5a,b). The original contrast-weighted statistic is therefore not</w:t>
      </w:r>
      <w:r>
        <w:t xml:space="preserve"> </w:t>
      </w:r>
      <w:r>
        <w:t xml:space="preserve">presented as 184 independent experiments; the family-weighted result is the more conservative</w:t>
      </w:r>
      <w:r>
        <w:t xml:space="preserve"> </w:t>
      </w:r>
      <w:r>
        <w:t xml:space="preserve">summary.</w:t>
      </w:r>
    </w:p>
    <w:p>
      <w:pPr>
        <w:pStyle w:val="BodyText"/>
      </w:pPr>
      <w:r>
        <w:t xml:space="preserve">The divergence was visible at the study-family level (Fig. 3c). MPTR was positive for every method,</w:t>
      </w:r>
      <w:r>
        <w:t xml:space="preserve"> </w:t>
      </w:r>
      <w:r>
        <w:t xml:space="preserve">whereas the human chemical family was negative for every method. Other families split by model. For</w:t>
      </w:r>
      <w:r>
        <w:t xml:space="preserve"> </w:t>
      </w:r>
      <w:r>
        <w:t xml:space="preserve">example, the meta-effect and cohort-B directions were positive for human OSK/O4YRSK while the other</w:t>
      </w:r>
      <w:r>
        <w:t xml:space="preserve"> </w:t>
      </w:r>
      <w:r>
        <w:t xml:space="preserve">three models were negative. GSTA4 was positive under three directions and negative under two. We had</w:t>
      </w:r>
      <w:r>
        <w:t xml:space="preserve"> </w:t>
      </w:r>
      <w:r>
        <w:t xml:space="preserve">defined a stringent universal-direction gate: at least four methods had to be positive in at least</w:t>
      </w:r>
      <w:r>
        <w:t xml:space="preserve"> </w:t>
      </w:r>
      <w:r>
        <w:t xml:space="preserve">80% of eight source-labelled favourable families. With eight families, that rule requires at least</w:t>
      </w:r>
      <w:r>
        <w:t xml:space="preserve"> </w:t>
      </w:r>
      <w:r>
        <w:t xml:space="preserve">seven positive calls. The observed counts were two to five; only one method reached four or five,</w:t>
      </w:r>
      <w:r>
        <w:t xml:space="preserve"> </w:t>
      </w:r>
      <w:r>
        <w:t xml:space="preserve">and none reached six, seven or eight. Thus the conclusion does not depend on treating 80% as a</w:t>
      </w:r>
      <w:r>
        <w:t xml:space="preserve"> </w:t>
      </w:r>
      <w:r>
        <w:t xml:space="preserve">biologically privileged boundary (Fig. 3d). The labels describe favourable interpretations in source</w:t>
      </w:r>
      <w:r>
        <w:t xml:space="preserve"> </w:t>
      </w:r>
      <w:r>
        <w:t xml:space="preserve">papers and are not ground-truth rejuvenation outcomes.</w:t>
      </w:r>
    </w:p>
    <w:p>
      <w:pPr>
        <w:pStyle w:val="CaptionedFigure"/>
      </w:pPr>
      <w:r>
        <w:drawing>
          <wp:inline>
            <wp:extent cx="5334000" cy="5188162"/>
            <wp:effectExtent b="0" l="0" r="0" t="0"/>
            <wp:docPr descr="Adaptive multi-model benchmark. a, Corrected outer-CV age associations for five evaluable models. b, Independent young-minus-old controls. c, Signs of family-mean intervention effects. d, Fraction of source-labelled favourable families with positive mean effects." title="" id="28" name="Picture"/>
            <a:graphic>
              <a:graphicData uri="http://schemas.openxmlformats.org/drawingml/2006/picture">
                <pic:pic>
                  <pic:nvPicPr>
                    <pic:cNvPr descr="figures/figure-3-model-benchmark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8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Adaptive multi-model benchmark.</w:t>
      </w:r>
      <w:r>
        <w:t xml:space="preserve"> </w:t>
      </w:r>
      <w:r>
        <w:rPr>
          <w:bCs/>
          <w:b/>
        </w:rPr>
        <w:t xml:space="preserve">a,</w:t>
      </w:r>
      <w:r>
        <w:t xml:space="preserve"> </w:t>
      </w:r>
      <w:r>
        <w:t xml:space="preserve">Corrected outer-CV age associations for five evaluable</w:t>
      </w:r>
      <w:r>
        <w:t xml:space="preserve"> </w:t>
      </w:r>
      <w:r>
        <w:t xml:space="preserve">models.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Independent young-minus-old controls.</w:t>
      </w:r>
      <w:r>
        <w:t xml:space="preserve"> </w:t>
      </w:r>
      <w:r>
        <w:rPr>
          <w:bCs/>
          <w:b/>
        </w:rPr>
        <w:t xml:space="preserve">c,</w:t>
      </w:r>
      <w:r>
        <w:t xml:space="preserve"> </w:t>
      </w:r>
      <w:r>
        <w:t xml:space="preserve">Signs of family-mean intervention</w:t>
      </w:r>
      <w:r>
        <w:t xml:space="preserve"> </w:t>
      </w:r>
      <w:r>
        <w:t xml:space="preserve">effects.</w:t>
      </w:r>
      <w:r>
        <w:t xml:space="preserve"> </w:t>
      </w:r>
      <w:r>
        <w:rPr>
          <w:bCs/>
          <w:b/>
        </w:rPr>
        <w:t xml:space="preserve">d,</w:t>
      </w:r>
      <w:r>
        <w:t xml:space="preserve"> </w:t>
      </w:r>
      <w:r>
        <w:t xml:space="preserve">Fraction of source-labelled favourable families with positive mean effects.</w:t>
      </w:r>
    </w:p>
    <w:p>
      <w:pPr>
        <w:pStyle w:val="BodyText"/>
      </w:pPr>
      <w:r>
        <w:t xml:space="preserve">Descriptive stratification did not identify a broadly consistent subset. Median method agreement was</w:t>
      </w:r>
      <w:r>
        <w:t xml:space="preserve"> </w:t>
      </w:r>
      <w:r>
        <w:t xml:space="preserve">0.700 across five human families, 0.667 across three mouse families and 0.667 across six genetic</w:t>
      </w:r>
      <w:r>
        <w:t xml:space="preserve"> </w:t>
      </w:r>
      <w:r>
        <w:t xml:space="preserve">families. The five fibroblast families had a median of 0.800, but individual method pairs ranged from</w:t>
      </w:r>
      <w:r>
        <w:t xml:space="preserve"> </w:t>
      </w:r>
      <w:r>
        <w:t xml:space="preserve">0.400 to 1.000. The chemical and retinal strata each contained only two families and are too small</w:t>
      </w:r>
      <w:r>
        <w:t xml:space="preserve"> </w:t>
      </w:r>
      <w:r>
        <w:t xml:space="preserve">for general conclusions. These analyses localize heterogeneity but do not attribute it to species,</w:t>
      </w:r>
      <w:r>
        <w:t xml:space="preserve"> </w:t>
      </w:r>
      <w:r>
        <w:t xml:space="preserve">tissue or intervention class.</w:t>
      </w:r>
    </w:p>
    <w:bookmarkEnd w:id="30"/>
    <w:bookmarkStart w:id="34" w:name="Xf25eb7d8cdde9e035599c2bc0c2503b39bca04b"/>
    <w:p>
      <w:pPr>
        <w:pStyle w:val="Heading2"/>
      </w:pPr>
      <w:r>
        <w:t xml:space="preserve">Intervention effects do not converge on a common gene direction</w:t>
      </w:r>
    </w:p>
    <w:p>
      <w:pPr>
        <w:pStyle w:val="FirstParagraph"/>
      </w:pPr>
      <w:r>
        <w:t xml:space="preserve">Model disagreement might arise even if interventions share a common gene-level programme that is</w:t>
      </w:r>
      <w:r>
        <w:t xml:space="preserve"> </w:t>
      </w:r>
      <w:r>
        <w:t xml:space="preserve">weighted differently. We therefore compared family-mean expression-effect vectors on 9,543 common</w:t>
      </w:r>
      <w:r>
        <w:t xml:space="preserve"> </w:t>
      </w:r>
      <w:r>
        <w:t xml:space="preserve">mapped genes. Pairwise Spearman correlations were low overall (median 0.054), ranging from −0.085 to</w:t>
      </w:r>
      <w:r>
        <w:t xml:space="preserve"> </w:t>
      </w:r>
      <w:r>
        <w:t xml:space="preserve">0.517 (Fig. 4b). The largest value linked the two related human OSK/OSKM families. This local</w:t>
      </w:r>
      <w:r>
        <w:t xml:space="preserve"> </w:t>
      </w:r>
      <w:r>
        <w:t xml:space="preserve">agreement did not imply a universal programme across genetic, chemical, species and retinal</w:t>
      </w:r>
      <w:r>
        <w:t xml:space="preserve"> </w:t>
      </w:r>
      <w:r>
        <w:t xml:space="preserve">contexts.</w:t>
      </w:r>
    </w:p>
    <w:p>
      <w:pPr>
        <w:pStyle w:val="BodyText"/>
      </w:pPr>
      <w:r>
        <w:t xml:space="preserve">We also formed a leave-one-family-out consensus by averaging standardized expression effects from</w:t>
      </w:r>
      <w:r>
        <w:t xml:space="preserve"> </w:t>
      </w:r>
      <w:r>
        <w:t xml:space="preserve">the other seven favourable-labelled families and correlating it with the held family. Correlations</w:t>
      </w:r>
      <w:r>
        <w:t xml:space="preserve"> </w:t>
      </w:r>
      <w:r>
        <w:t xml:space="preserve">ranged from 0.060 to 0.336, with a median of 0.197 (Fig. 4c). Genes were not treated as biological</w:t>
      </w:r>
      <w:r>
        <w:t xml:space="preserve"> </w:t>
      </w:r>
      <w:r>
        <w:t xml:space="preserve">replicates and these correlations are descriptive; no gene-count-based population inference is</w:t>
      </w:r>
      <w:r>
        <w:t xml:space="preserve"> </w:t>
      </w:r>
      <w:r>
        <w:t xml:space="preserve">claimed.</w:t>
      </w:r>
    </w:p>
    <w:p>
      <w:pPr>
        <w:pStyle w:val="BodyText"/>
      </w:pPr>
      <w:r>
        <w:t xml:space="preserve">We estimated a partial noise ceiling wherever the design permitted split-half comparisons. Four of</w:t>
      </w:r>
      <w:r>
        <w:t xml:space="preserve"> </w:t>
      </w:r>
      <w:r>
        <w:t xml:space="preserve">eight favourable families had at least four contrast units; their median raw split-half correlations</w:t>
      </w:r>
      <w:r>
        <w:t xml:space="preserve"> </w:t>
      </w:r>
      <w:r>
        <w:t xml:space="preserve">were 0.323, 0.558, 0.678 and 0.840. Eight individual contrasts supported arm-split estimates, ranging</w:t>
      </w:r>
      <w:r>
        <w:t xml:space="preserve"> </w:t>
      </w:r>
      <w:r>
        <w:t xml:space="preserve">from 0.188 to 0.912. Reliability is therefore heterogeneous and unavailable for half the families,</w:t>
      </w:r>
      <w:r>
        <w:t xml:space="preserve"> </w:t>
      </w:r>
      <w:r>
        <w:t xml:space="preserve">but in the estimable higher-reliability contexts it substantially exceeds the cross-family median of</w:t>
      </w:r>
      <w:r>
        <w:t xml:space="preserve"> </w:t>
      </w:r>
      <w:r>
        <w:t xml:space="preserve">0.054. The weak cross-family concordance cannot be assigned entirely to measurement noise, although</w:t>
      </w:r>
      <w:r>
        <w:t xml:space="preserve"> </w:t>
      </w:r>
      <w:r>
        <w:t xml:space="preserve">the incomplete noise ceiling prevents a universal reliability-corrected claim. Together with the</w:t>
      </w:r>
      <w:r>
        <w:t xml:space="preserve"> </w:t>
      </w:r>
      <w:r>
        <w:t xml:space="preserve">method sign matrix (Fig. 4a), these results support non-convergence in the evaluated data at both the</w:t>
      </w:r>
      <w:r>
        <w:t xml:space="preserve"> </w:t>
      </w:r>
      <w:r>
        <w:t xml:space="preserve">scalar-score and gene-effect levels.</w:t>
      </w:r>
    </w:p>
    <w:p>
      <w:pPr>
        <w:pStyle w:val="CaptionedFigure"/>
      </w:pPr>
      <w:r>
        <w:drawing>
          <wp:inline>
            <wp:extent cx="5334000" cy="4585881"/>
            <wp:effectExtent b="0" l="0" r="0" t="0"/>
            <wp:docPr descr="Cross-method and cross-family concordance. a, Pairwise method sign agreement across 184 contrasts. b, Spearman correlations between family-mean gene effects. c, Leave-one-family-out consensus correlations. d, Supported and unsupported interpretation." title="" id="32" name="Picture"/>
            <a:graphic>
              <a:graphicData uri="http://schemas.openxmlformats.org/drawingml/2006/picture">
                <pic:pic>
                  <pic:nvPicPr>
                    <pic:cNvPr descr="figures/figure-4-concordance-and-interpreta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5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Cross-method and cross-family concordance.</w:t>
      </w:r>
      <w:r>
        <w:t xml:space="preserve"> </w:t>
      </w:r>
      <w:r>
        <w:rPr>
          <w:bCs/>
          <w:b/>
        </w:rPr>
        <w:t xml:space="preserve">a,</w:t>
      </w:r>
      <w:r>
        <w:t xml:space="preserve"> </w:t>
      </w:r>
      <w:r>
        <w:t xml:space="preserve">Pairwise method sign agreement across 184</w:t>
      </w:r>
      <w:r>
        <w:t xml:space="preserve"> </w:t>
      </w:r>
      <w:r>
        <w:t xml:space="preserve">contrasts.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Spearman correlations between family-mean gene effects.</w:t>
      </w:r>
      <w:r>
        <w:t xml:space="preserve"> </w:t>
      </w:r>
      <w:r>
        <w:rPr>
          <w:bCs/>
          <w:b/>
        </w:rPr>
        <w:t xml:space="preserve">c,</w:t>
      </w:r>
      <w:r>
        <w:t xml:space="preserve"> </w:t>
      </w:r>
      <w:r>
        <w:t xml:space="preserve">Leave-one-family-out</w:t>
      </w:r>
      <w:r>
        <w:t xml:space="preserve"> </w:t>
      </w:r>
      <w:r>
        <w:t xml:space="preserve">consensus correlations.</w:t>
      </w:r>
      <w:r>
        <w:t xml:space="preserve"> </w:t>
      </w:r>
      <w:r>
        <w:rPr>
          <w:bCs/>
          <w:b/>
        </w:rPr>
        <w:t xml:space="preserve">d,</w:t>
      </w:r>
      <w:r>
        <w:t xml:space="preserve"> </w:t>
      </w:r>
      <w:r>
        <w:t xml:space="preserve">Supported and unsupported interpretation.</w:t>
      </w:r>
    </w:p>
    <w:bookmarkEnd w:id="34"/>
    <w:bookmarkStart w:id="38" w:name="Xb6eaa2a89b5381fa1b117fa991a614de97b1f7c"/>
    <w:p>
      <w:pPr>
        <w:pStyle w:val="Heading2"/>
      </w:pPr>
      <w:r>
        <w:t xml:space="preserve">Robustness and a contemporary exploratory comparator</w:t>
      </w:r>
    </w:p>
    <w:p>
      <w:pPr>
        <w:pStyle w:val="FirstParagraph"/>
      </w:pPr>
      <w:r>
        <w:t xml:space="preserve">Observed coverage of the 10,532 historical-model features ranged from 85.1% to 100.0%, rather than</w:t>
      </w:r>
      <w:r>
        <w:t xml:space="preserve"> </w:t>
      </w:r>
      <w:r>
        <w:t xml:space="preserve">approaching the allowed 60% floor. Raising the eligibility threshold to 70% or 80% retained every</w:t>
      </w:r>
      <w:r>
        <w:t xml:space="preserve"> </w:t>
      </w:r>
      <w:r>
        <w:t xml:space="preserve">dataset and result. At 90%, five expression matrices and 49 contrasts remained; contrast-weighted</w:t>
      </w:r>
      <w:r>
        <w:t xml:space="preserve"> </w:t>
      </w:r>
      <w:r>
        <w:t xml:space="preserve">and equal-family agreements were 0.735 and 0.666. As a separate stress test, refitting all five</w:t>
      </w:r>
      <w:r>
        <w:t xml:space="preserve"> </w:t>
      </w:r>
      <w:r>
        <w:t xml:space="preserve">historical methods on the 8,427 features present across every benchmark matrix yielded agreements of</w:t>
      </w:r>
      <w:r>
        <w:t xml:space="preserve"> </w:t>
      </w:r>
      <w:r>
        <w:t xml:space="preserve">0.780 and 0.649, still below 0.80 (Fig. 5c).</w:t>
      </w:r>
    </w:p>
    <w:p>
      <w:pPr>
        <w:pStyle w:val="BodyText"/>
      </w:pPr>
      <w:r>
        <w:t xml:space="preserve">We also applied Pasta, a contemporary rank-based age-shift model released after the historical</w:t>
      </w:r>
      <w:r>
        <w:t xml:space="preserve"> </w:t>
      </w:r>
      <w:r>
        <w:t xml:space="preserve">cutoff, as a post-review exploratory comparator [14]. A Python reconstruction reproduced the three</w:t>
      </w:r>
      <w:r>
        <w:t xml:space="preserve"> </w:t>
      </w:r>
      <w:r>
        <w:t xml:space="preserve">bundled reference predictions to a maximum absolute error of</w:t>
      </w:r>
      <w:r>
        <w:t xml:space="preserve"> </w:t>
      </w:r>
      <w:r>
        <w:rPr>
          <w:rStyle w:val="VerbatimChar"/>
        </w:rPr>
        <w:t xml:space="preserve">4.8×10^-11</w:t>
      </w:r>
      <w:r>
        <w:t xml:space="preserve">. Pasta oriented both</w:t>
      </w:r>
      <w:r>
        <w:t xml:space="preserve"> </w:t>
      </w:r>
      <w:r>
        <w:t xml:space="preserve">young-minus-old controls correctly but was youthward in four of the eight favourable-labelled</w:t>
      </w:r>
      <w:r>
        <w:t xml:space="preserve"> </w:t>
      </w:r>
      <w:r>
        <w:t xml:space="preserve">families (Fig. 5d). Its feature coverage was 83.3–99.5%. This analysis was not part of B1, was added</w:t>
      </w:r>
      <w:r>
        <w:t xml:space="preserve"> </w:t>
      </w:r>
      <w:r>
        <w:t xml:space="preserve">after the historical outcomes were known, and does not constitute an independent prospective test.</w:t>
      </w:r>
      <w:r>
        <w:t xml:space="preserve"> </w:t>
      </w:r>
      <w:r>
        <w:t xml:space="preserve">No exact benchmark accession overlap was identified in the public article or model package, but a</w:t>
      </w:r>
      <w:r>
        <w:t xml:space="preserve"> </w:t>
      </w:r>
      <w:r>
        <w:t xml:space="preserve">complete sample-level audit of all 21 Pasta training datasets was not possible from the released</w:t>
      </w:r>
      <w:r>
        <w:t xml:space="preserve"> </w:t>
      </w:r>
      <w:r>
        <w:t xml:space="preserve">materials. We excluded the contemporary tAge model from this commercial-affiliation release because</w:t>
      </w:r>
      <w:r>
        <w:t xml:space="preserve"> </w:t>
      </w:r>
      <w:r>
        <w:t xml:space="preserve">its public licence is restricted to non-commercial academic use [13].</w:t>
      </w:r>
    </w:p>
    <w:p>
      <w:pPr>
        <w:pStyle w:val="CaptionedFigure"/>
      </w:pPr>
      <w:r>
        <w:drawing>
          <wp:inline>
            <wp:extent cx="5334000" cy="4582291"/>
            <wp:effectExtent b="0" l="0" r="0" t="0"/>
            <wp:docPr descr="Post-review robustness analyses. a, Contrast-weighted and equal-family method agreement; the point and whisker show the family-cluster bootstrap median and 95% interval. b, Leave-one-family- out agreement. c, Feature-coverage thresholds and the common-feature refit. d, Historical models and exploratory Pasta signs across eight source-labelled favourable families. Blue denotes a positive youth-oriented effect and orange a negative effect; signs provide redundant encoding." title="" id="36" name="Picture"/>
            <a:graphic>
              <a:graphicData uri="http://schemas.openxmlformats.org/drawingml/2006/picture">
                <pic:pic>
                  <pic:nvPicPr>
                    <pic:cNvPr descr="figures/figure-5-post-review-robustnes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2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Post-review robustness analyses.</w:t>
      </w:r>
      <w:r>
        <w:t xml:space="preserve"> </w:t>
      </w:r>
      <w:r>
        <w:rPr>
          <w:bCs/>
          <w:b/>
        </w:rPr>
        <w:t xml:space="preserve">a,</w:t>
      </w:r>
      <w:r>
        <w:t xml:space="preserve"> </w:t>
      </w:r>
      <w:r>
        <w:t xml:space="preserve">Contrast-weighted and equal-family method agreement; the</w:t>
      </w:r>
      <w:r>
        <w:t xml:space="preserve"> </w:t>
      </w:r>
      <w:r>
        <w:t xml:space="preserve">point and whisker show the family-cluster bootstrap median and 95% interval.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Leave-one-family-</w:t>
      </w:r>
      <w:r>
        <w:t xml:space="preserve"> </w:t>
      </w:r>
      <w:r>
        <w:t xml:space="preserve">out agreement.</w:t>
      </w:r>
      <w:r>
        <w:t xml:space="preserve"> </w:t>
      </w:r>
      <w:r>
        <w:rPr>
          <w:bCs/>
          <w:b/>
        </w:rPr>
        <w:t xml:space="preserve">c,</w:t>
      </w:r>
      <w:r>
        <w:t xml:space="preserve"> </w:t>
      </w:r>
      <w:r>
        <w:t xml:space="preserve">Feature-coverage thresholds and the common-feature refit.</w:t>
      </w:r>
      <w:r>
        <w:t xml:space="preserve"> </w:t>
      </w:r>
      <w:r>
        <w:rPr>
          <w:bCs/>
          <w:b/>
        </w:rPr>
        <w:t xml:space="preserve">d,</w:t>
      </w:r>
      <w:r>
        <w:t xml:space="preserve"> </w:t>
      </w:r>
      <w:r>
        <w:t xml:space="preserve">Historical</w:t>
      </w:r>
      <w:r>
        <w:t xml:space="preserve"> </w:t>
      </w:r>
      <w:r>
        <w:t xml:space="preserve">models and exploratory Pasta signs across eight source-labelled favourable families. Blue denotes a</w:t>
      </w:r>
      <w:r>
        <w:t xml:space="preserve"> </w:t>
      </w:r>
      <w:r>
        <w:t xml:space="preserve">positive youth-oriented effect and orange a negative effect; signs provide redundant encoding.</w:t>
      </w:r>
    </w:p>
    <w:bookmarkEnd w:id="38"/>
    <w:bookmarkEnd w:id="39"/>
    <w:bookmarkStart w:id="40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Our central result is a qualification failure with a useful boundary: five transcriptomic</w:t>
      </w:r>
      <w:r>
        <w:t xml:space="preserve"> </w:t>
      </w:r>
      <w:r>
        <w:t xml:space="preserve">chronological-age directions recognized young–old contrasts yet were not sufficiently portable</w:t>
      </w:r>
      <w:r>
        <w:t xml:space="preserve"> </w:t>
      </w:r>
      <w:r>
        <w:t xml:space="preserve">across the evaluated partial-reprogramming interventions. This is not evidence that the source</w:t>
      </w:r>
      <w:r>
        <w:t xml:space="preserve"> </w:t>
      </w:r>
      <w:r>
        <w:t xml:space="preserve">interventions lack biological or functional effects. It shows that age prediction and intervention</w:t>
      </w:r>
      <w:r>
        <w:t xml:space="preserve"> </w:t>
      </w:r>
      <w:r>
        <w:t xml:space="preserve">measurement are different validation problems.</w:t>
      </w:r>
    </w:p>
    <w:p>
      <w:pPr>
        <w:pStyle w:val="BodyText"/>
      </w:pPr>
      <w:r>
        <w:t xml:space="preserve">Recent large-scale work reaches a compatible conclusion from a different direction. Universal</w:t>
      </w:r>
      <w:r>
        <w:t xml:space="preserve"> </w:t>
      </w:r>
      <w:r>
        <w:t xml:space="preserve">transcriptomic clocks trained on more than 11,000 samples found that chronological clocks correlated</w:t>
      </w:r>
      <w:r>
        <w:t xml:space="preserve"> </w:t>
      </w:r>
      <w:r>
        <w:t xml:space="preserve">well with age but poorly with lifespan-modulating intervention effects, while mortality-oriented</w:t>
      </w:r>
      <w:r>
        <w:t xml:space="preserve"> </w:t>
      </w:r>
      <w:r>
        <w:t xml:space="preserve">objectives performed better [13]. Pasta demonstrates that rank-based, multi-tissue transcriptomic</w:t>
      </w:r>
      <w:r>
        <w:t xml:space="preserve"> </w:t>
      </w:r>
      <w:r>
        <w:t xml:space="preserve">models can generalize across platforms and recover experimental perturbations [14]. Our exploratory</w:t>
      </w:r>
      <w:r>
        <w:t xml:space="preserve"> </w:t>
      </w:r>
      <w:r>
        <w:t xml:space="preserve">Pasta result shows that a stronger contemporary chronological model does not automatically resolve</w:t>
      </w:r>
      <w:r>
        <w:t xml:space="preserve"> </w:t>
      </w:r>
      <w:r>
        <w:t xml:space="preserve">the present portability problem, but one model cannot represent the full modern clock class. The</w:t>
      </w:r>
      <w:r>
        <w:t xml:space="preserve"> </w:t>
      </w:r>
      <w:r>
        <w:t xml:space="preserve">historical result and contemporary extension remain analytically separate. Our contribution is a</w:t>
      </w:r>
      <w:r>
        <w:t xml:space="preserve"> </w:t>
      </w:r>
      <w:r>
        <w:t xml:space="preserve">partial-reprogramming-specific stress test with temporally separated data, identity and pluripotency</w:t>
      </w:r>
      <w:r>
        <w:t xml:space="preserve"> </w:t>
      </w:r>
      <w:r>
        <w:t xml:space="preserve">axes, an adverse challenge, preserved failures and complete method-by-contrast disclosure.</w:t>
      </w:r>
    </w:p>
    <w:p>
      <w:pPr>
        <w:pStyle w:val="BodyText"/>
      </w:pPr>
      <w:r>
        <w:t xml:space="preserve">The findings argue against treating</w:t>
      </w:r>
      <w:r>
        <w:t xml:space="preserve"> </w:t>
      </w:r>
      <w:r>
        <w:t xml:space="preserve">“</w:t>
      </w:r>
      <w:r>
        <w:t xml:space="preserve">transcriptomically younger</w:t>
      </w:r>
      <w:r>
        <w:t xml:space="preserve">”</w:t>
      </w:r>
      <w:r>
        <w:t xml:space="preserve"> </w:t>
      </w:r>
      <w:r>
        <w:t xml:space="preserve">as a self-sufficient rejuvenation</w:t>
      </w:r>
      <w:r>
        <w:t xml:space="preserve"> </w:t>
      </w:r>
      <w:r>
        <w:t xml:space="preserve">claim. At minimum, a candidate score should demonstrate held-out age association, correct control</w:t>
      </w:r>
      <w:r>
        <w:t xml:space="preserve"> </w:t>
      </w:r>
      <w:r>
        <w:t xml:space="preserve">orientation, portability to interventions that were not used to define it, and concordance with an</w:t>
      </w:r>
      <w:r>
        <w:t xml:space="preserve"> </w:t>
      </w:r>
      <w:r>
        <w:t xml:space="preserve">outcome-relevant endpoint. Identity, pluripotency, stress, toxicity and function should remain</w:t>
      </w:r>
      <w:r>
        <w:t xml:space="preserve"> </w:t>
      </w:r>
      <w:r>
        <w:t xml:space="preserve">separate measurements rather than being hidden inside a single scalar. This distinction also avoids</w:t>
      </w:r>
      <w:r>
        <w:t xml:space="preserve"> </w:t>
      </w:r>
      <w:r>
        <w:t xml:space="preserve">the inverse error: a beneficial intervention need not reverse a chronological-age clock. For</w:t>
      </w:r>
      <w:r>
        <w:t xml:space="preserve"> </w:t>
      </w:r>
      <w:r>
        <w:t xml:space="preserve">example, elamipretide improved cardiac and skeletal-muscle function in aged mice without detectable</w:t>
      </w:r>
      <w:r>
        <w:t xml:space="preserve"> </w:t>
      </w:r>
      <w:r>
        <w:t xml:space="preserve">changes in tissue epigenetic or transcriptomic age [15].</w:t>
      </w:r>
    </w:p>
    <w:p>
      <w:pPr>
        <w:pStyle w:val="BodyText"/>
      </w:pPr>
      <w:r>
        <w:t xml:space="preserve">Several limitations constrain the generality of our benchmark. The age references were cultured</w:t>
      </w:r>
      <w:r>
        <w:t xml:space="preserve"> </w:t>
      </w:r>
      <w:r>
        <w:t xml:space="preserve">human fibroblasts, whereas interventions spanned species, cell types, platforms and tissues. That</w:t>
      </w:r>
      <w:r>
        <w:t xml:space="preserve"> </w:t>
      </w:r>
      <w:r>
        <w:t xml:space="preserve">heterogeneity is the intended portability challenge, but it also prevents attribution of failure to</w:t>
      </w:r>
      <w:r>
        <w:t xml:space="preserve"> </w:t>
      </w:r>
      <w:r>
        <w:t xml:space="preserve">one cause. Some validation studies had only one or two donor lines, and several contrasts are</w:t>
      </w:r>
      <w:r>
        <w:t xml:space="preserve"> </w:t>
      </w:r>
      <w:r>
        <w:t xml:space="preserve">descriptive. Source-labelled favourable families are not a gold standard. Within-sample ranks reduce</w:t>
      </w:r>
      <w:r>
        <w:t xml:space="preserve"> </w:t>
      </w:r>
      <w:r>
        <w:t xml:space="preserve">scale dependence but cannot remove composition and state confounding. The four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programmes cover</w:t>
      </w:r>
      <w:r>
        <w:t xml:space="preserve"> </w:t>
      </w:r>
      <w:r>
        <w:t xml:space="preserve">selected transcriptional responses rather than total damage, and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not a tumorigenicity score.</w:t>
      </w:r>
      <w:r>
        <w:t xml:space="preserve"> </w:t>
      </w:r>
      <w:r>
        <w:t xml:space="preserve">The benchmark comparator was adaptive after primary failure, and its numerical gates are transparent</w:t>
      </w:r>
      <w:r>
        <w:t xml:space="preserve"> </w:t>
      </w:r>
      <w:r>
        <w:t xml:space="preserve">engineering criteria rather than natural biological thresholds or population hypothesis tests. The</w:t>
      </w:r>
      <w:r>
        <w:t xml:space="preserve"> </w:t>
      </w:r>
      <w:r>
        <w:t xml:space="preserve">post-review analyses were outcome-aware, Pasta’s complete training-sample overlap could not be</w:t>
      </w:r>
      <w:r>
        <w:t xml:space="preserve"> </w:t>
      </w:r>
      <w:r>
        <w:t xml:space="preserve">audited from public materials, and the tAge licence did not permit inclusion under the present</w:t>
      </w:r>
      <w:r>
        <w:t xml:space="preserve"> </w:t>
      </w:r>
      <w:r>
        <w:t xml:space="preserve">commercial affiliation. Newly published mortality- and outcome-trained clocks should therefore be</w:t>
      </w:r>
      <w:r>
        <w:t xml:space="preserve"> </w:t>
      </w:r>
      <w:r>
        <w:t xml:space="preserve">evaluated in a prospectively locked future benchmark with compatible inputs and rights.</w:t>
      </w:r>
    </w:p>
    <w:p>
      <w:pPr>
        <w:pStyle w:val="BodyText"/>
      </w:pPr>
      <w:r>
        <w:t xml:space="preserve">The practical implication is methodological. A rejuvenation biomarker should be qualified for its</w:t>
      </w:r>
      <w:r>
        <w:t xml:space="preserve"> </w:t>
      </w:r>
      <w:r>
        <w:t xml:space="preserve">intended context, not promoted from chronological-age prediction by analogy. Public reprogramming</w:t>
      </w:r>
      <w:r>
        <w:t xml:space="preserve"> </w:t>
      </w:r>
      <w:r>
        <w:t xml:space="preserve">data now permit a tiered evaluation in which construction, intervention transport, state preservation</w:t>
      </w:r>
      <w:r>
        <w:t xml:space="preserve"> </w:t>
      </w:r>
      <w:r>
        <w:t xml:space="preserve">and orthogonal function are separately auditable. In the datasets assessed here, none of the five</w:t>
      </w:r>
      <w:r>
        <w:t xml:space="preserve"> </w:t>
      </w:r>
      <w:r>
        <w:t xml:space="preserve">historical directions met the locked portability criteria, and the exploratory Pasta model remained</w:t>
      </w:r>
      <w:r>
        <w:t xml:space="preserve"> </w:t>
      </w:r>
      <w:r>
        <w:t xml:space="preserve">split across favourable-labelled families. This does not establish that chronological transcriptomic</w:t>
      </w:r>
      <w:r>
        <w:t xml:space="preserve"> </w:t>
      </w:r>
      <w:r>
        <w:t xml:space="preserve">clocks can never measure an outcome-relevant component of rejuvenation.</w:t>
      </w:r>
    </w:p>
    <w:bookmarkEnd w:id="40"/>
    <w:bookmarkStart w:id="50" w:name="methods"/>
    <w:p>
      <w:pPr>
        <w:pStyle w:val="Heading1"/>
      </w:pPr>
      <w:r>
        <w:t xml:space="preserve">Methods</w:t>
      </w:r>
    </w:p>
    <w:bookmarkStart w:id="41" w:name="study-design-and-temporal-firewall"/>
    <w:p>
      <w:pPr>
        <w:pStyle w:val="Heading2"/>
      </w:pPr>
      <w:r>
        <w:t xml:space="preserve">Study design and temporal firewall</w:t>
      </w:r>
    </w:p>
    <w:p>
      <w:pPr>
        <w:pStyle w:val="FirstParagraph"/>
      </w:pPr>
      <w:r>
        <w:t xml:space="preserve">The discovery cutoff was 31 December 2024. Discovery comprised human fibroblast age references</w:t>
      </w:r>
      <w:r>
        <w:t xml:space="preserve"> </w:t>
      </w:r>
      <w:r>
        <w:t xml:space="preserve">GSE113957 (133 healthy donors, age 1–94 years) and GSE226189 (82 healthy donors, age 22–89 years),</w:t>
      </w:r>
      <w:r>
        <w:t xml:space="preserve"> </w:t>
      </w:r>
      <w:r>
        <w:t xml:space="preserve">GSE165176/GSE165177 (human Sendai and MPTR trajectories), GSE176206 (mouse single-cell factor</w:t>
      </w:r>
      <w:r>
        <w:t xml:space="preserve"> </w:t>
      </w:r>
      <w:r>
        <w:t xml:space="preserve">screens), and GSE246954/GSE247199 (mouse chemical reprogramming). Temporally external evaluation</w:t>
      </w:r>
      <w:r>
        <w:t xml:space="preserve"> </w:t>
      </w:r>
      <w:r>
        <w:t xml:space="preserve">used GSE297984, GSE297233/GSE297234, GSE300625 and GSE304042/GSE304043/GSE304044. Exact source</w:t>
      </w:r>
      <w:r>
        <w:t xml:space="preserve"> </w:t>
      </w:r>
      <w:r>
        <w:t xml:space="preserve">URLs, retrieval times, file sizes and SHA-256 hashes are recorded in the input manifests.</w:t>
      </w:r>
    </w:p>
    <w:p>
      <w:pPr>
        <w:pStyle w:val="BodyText"/>
      </w:pPr>
      <w:r>
        <w:t xml:space="preserve">The protocol, code configuration and named-target list were committed and tagged before discovery</w:t>
      </w:r>
      <w:r>
        <w:t xml:space="preserve"> </w:t>
      </w:r>
      <w:r>
        <w:t xml:space="preserve">expression matrices were opened. Protocol-v1 failed, after which A1 was defined and frozen before any</w:t>
      </w:r>
      <w:r>
        <w:t xml:space="preserve"> </w:t>
      </w:r>
      <w:r>
        <w:t xml:space="preserve">intervention score was examined. Discovery results and the full 9,131-gene candidate rank were then</w:t>
      </w:r>
      <w:r>
        <w:t xml:space="preserve"> </w:t>
      </w:r>
      <w:r>
        <w:t xml:space="preserve">hashed and committed before validation matrices were obtained. B1 was specified only after primary</w:t>
      </w:r>
      <w:r>
        <w:t xml:space="preserve"> </w:t>
      </w:r>
      <w:r>
        <w:t xml:space="preserve">validation failed and is labelled adaptive throughout. Published study conclusions and named targets</w:t>
      </w:r>
      <w:r>
        <w:t xml:space="preserve"> </w:t>
      </w:r>
      <w:r>
        <w:t xml:space="preserve">were known;</w:t>
      </w:r>
      <w:r>
        <w:t xml:space="preserve"> </w:t>
      </w:r>
      <w:r>
        <w:t xml:space="preserve">“</w:t>
      </w:r>
      <w:r>
        <w:t xml:space="preserve">temporally external</w:t>
      </w:r>
      <w:r>
        <w:t xml:space="preserve">”</w:t>
      </w:r>
      <w:r>
        <w:t xml:space="preserve"> </w:t>
      </w:r>
      <w:r>
        <w:t xml:space="preserve">does not mean prospective or blinded.</w:t>
      </w:r>
    </w:p>
    <w:p>
      <w:pPr>
        <w:pStyle w:val="BodyText"/>
      </w:pPr>
      <w:r>
        <w:t xml:space="preserve">Reviewer-requested Extension C1 was locked before its outcomes were computed. It prespecified family</w:t>
      </w:r>
      <w:r>
        <w:t xml:space="preserve"> </w:t>
      </w:r>
      <w:r>
        <w:t xml:space="preserve">weighting, cluster bootstrap, leave-one-family-out, threshold, stratum, reliability and feature-</w:t>
      </w:r>
      <w:r>
        <w:t xml:space="preserve"> </w:t>
      </w:r>
      <w:r>
        <w:t xml:space="preserve">coverage analyses, plus one contemporary comparator. C1 is explicitly post-review and outcome-aware;</w:t>
      </w:r>
      <w:r>
        <w:t xml:space="preserve"> </w:t>
      </w:r>
      <w:r>
        <w:t xml:space="preserve">it tests robustness but does not retroactively alter or rescue B1.</w:t>
      </w:r>
    </w:p>
    <w:bookmarkEnd w:id="41"/>
    <w:bookmarkStart w:id="42" w:name="expression-representation-and-orthology"/>
    <w:p>
      <w:pPr>
        <w:pStyle w:val="Heading2"/>
      </w:pPr>
      <w:r>
        <w:t xml:space="preserve">Expression representation and orthology</w:t>
      </w:r>
    </w:p>
    <w:p>
      <w:pPr>
        <w:pStyle w:val="FirstParagraph"/>
      </w:pPr>
      <w:r>
        <w:t xml:space="preserve">Gene identifiers were reduced to approved symbols using Ensembl release 111 annotations. Duplicate</w:t>
      </w:r>
      <w:r>
        <w:t xml:space="preserve"> </w:t>
      </w:r>
      <w:r>
        <w:t xml:space="preserve">symbols were collapsed by median expression, except raw counts mapped before normalization were</w:t>
      </w:r>
      <w:r>
        <w:t xml:space="preserve"> </w:t>
      </w:r>
      <w:r>
        <w:t xml:space="preserve">summed. Cross-species analyses used NCBI HomoloGene build 68 one-to-one human–mouse mappings; groups</w:t>
      </w:r>
      <w:r>
        <w:t xml:space="preserve"> </w:t>
      </w:r>
      <w:r>
        <w:t xml:space="preserve">with ambiguous or one-to-many mappings were excluded. Counts were converted to log2 counts per</w:t>
      </w:r>
      <w:r>
        <w:t xml:space="preserve"> </w:t>
      </w:r>
      <w:r>
        <w:t xml:space="preserve">million plus 0.5 after source-level filtering. Deposited normalized expression was used when a common</w:t>
      </w:r>
      <w:r>
        <w:t xml:space="preserve"> </w:t>
      </w:r>
      <w:r>
        <w:t xml:space="preserve">raw matrix was unavailable. Within each sample, eligible genes were percentile-ranked. New datasets</w:t>
      </w:r>
      <w:r>
        <w:t xml:space="preserve"> </w:t>
      </w:r>
      <w:r>
        <w:t xml:space="preserve">required at least 60% feature coverage; unobserved features were filled with frozen training-feature</w:t>
      </w:r>
      <w:r>
        <w:t xml:space="preserve"> </w:t>
      </w:r>
      <w:r>
        <w:t xml:space="preserve">means. C1 reported actual coverage for every matrix, repeated eligibility at 70%, 80% and 90%, and</w:t>
      </w:r>
      <w:r>
        <w:t xml:space="preserve"> </w:t>
      </w:r>
      <w:r>
        <w:t xml:space="preserve">refitted the historical models on the 8,427-feature intersection shared by all benchmark matrices.</w:t>
      </w:r>
    </w:p>
    <w:bookmarkEnd w:id="42"/>
    <w:bookmarkStart w:id="43" w:name="construction-of-y_a1"/>
    <w:p>
      <w:pPr>
        <w:pStyle w:val="Heading2"/>
      </w:pPr>
      <w:r>
        <w:t xml:space="preserve">Construction of Y_A1</w:t>
      </w:r>
    </w:p>
    <w:p>
      <w:pPr>
        <w:pStyle w:val="FirstParagraph"/>
      </w:pPr>
      <w:r>
        <w:t xml:space="preserve">We retained 10,532 protein-coding genes common to both age references. Chronological age was</w:t>
      </w:r>
      <w:r>
        <w:t xml:space="preserve"> </w:t>
      </w:r>
      <w:r>
        <w:t xml:space="preserve">standardized within cohort using training-fold means and standard deviations. Ridge regression was</w:t>
      </w:r>
      <w:r>
        <w:t xml:space="preserve"> </w:t>
      </w:r>
      <w:r>
        <w:t xml:space="preserve">fitted to within-sample rank features, with the penalty selected by generalized cross-validation from</w:t>
      </w:r>
      <w:r>
        <w:t xml:space="preserve"> </w:t>
      </w:r>
      <w:r>
        <w:t xml:space="preserve">17 values spanning</w:t>
      </w:r>
      <w:r>
        <w:t xml:space="preserve"> </w:t>
      </w:r>
      <w:r>
        <w:rPr>
          <w:rStyle w:val="VerbatimChar"/>
        </w:rPr>
        <w:t xml:space="preserve">10^-2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10^6</w:t>
      </w:r>
      <w:r>
        <w:t xml:space="preserve">. Five outer folds were assigned within study, sex and age</w:t>
      </w:r>
      <w:r>
        <w:t xml:space="preserve"> </w:t>
      </w:r>
      <w:r>
        <w:t xml:space="preserve">quintile with seed 1729. Feature transformation, age standardization and fitting were repeated inside</w:t>
      </w:r>
      <w:r>
        <w:t xml:space="preserve"> </w:t>
      </w:r>
      <w:r>
        <w:t xml:space="preserve">each training fold.</w:t>
      </w:r>
      <w:r>
        <w:t xml:space="preserve"> </w:t>
      </w:r>
      <w:r>
        <w:rPr>
          <w:rStyle w:val="VerbatimChar"/>
        </w:rPr>
        <w:t xml:space="preserve">Y_A1</w:t>
      </w:r>
      <w:r>
        <w:t xml:space="preserve"> </w:t>
      </w:r>
      <w:r>
        <w:t xml:space="preserve">was the negative predicted standardized age so that higher values were</w:t>
      </w:r>
      <w:r>
        <w:t xml:space="preserve"> </w:t>
      </w:r>
      <w:r>
        <w:t xml:space="preserve">youth-associated. Final model coefficients were fitted on both complete references. Scores are</w:t>
      </w:r>
      <w:r>
        <w:t xml:space="preserve"> </w:t>
      </w:r>
      <w:r>
        <w:t xml:space="preserve">dimensionless and were never converted to years.</w:t>
      </w:r>
    </w:p>
    <w:bookmarkEnd w:id="43"/>
    <w:bookmarkStart w:id="44" w:name="identity-pluripotency-and-damage-axes"/>
    <w:p>
      <w:pPr>
        <w:pStyle w:val="Heading2"/>
      </w:pPr>
      <w:r>
        <w:t xml:space="preserve">Identity, pluripotency and damage axes</w:t>
      </w:r>
    </w:p>
    <w:p>
      <w:pPr>
        <w:pStyle w:val="FirstParagraph"/>
      </w:pPr>
      <w:r>
        <w:t xml:space="preserve">The fibroblast identity and endogenous pluripotency programmes were derived from six donor lines in</w:t>
      </w:r>
      <w:r>
        <w:t xml:space="preserve"> </w:t>
      </w:r>
      <w:r>
        <w:t xml:space="preserve">GSE165176 by paired baseline-to-late-state consistency rules. Identity genes decreased by at least</w:t>
      </w:r>
      <w:r>
        <w:t xml:space="preserve"> </w:t>
      </w:r>
      <w:r>
        <w:t xml:space="preserve">one deposited log2-expression unit in at least five of six lines; pluripotency genes increased by the</w:t>
      </w:r>
      <w:r>
        <w:t xml:space="preserve"> </w:t>
      </w:r>
      <w:r>
        <w:t xml:space="preserve">same criterion. POU5F1, SOX2, KLF4, MYC, vector features and non-standard identifiers were excluded</w:t>
      </w:r>
      <w:r>
        <w:t xml:space="preserve"> </w:t>
      </w:r>
      <w:r>
        <w:t xml:space="preserve">from the primary pluripotency programme. Source-specific adipogenic and mesenchymal identity</w:t>
      </w:r>
      <w:r>
        <w:t xml:space="preserve"> </w:t>
      </w:r>
      <w:r>
        <w:t xml:space="preserve">programmes were used only within GSE176206.</w:t>
      </w:r>
    </w:p>
    <w:p>
      <w:pPr>
        <w:pStyle w:val="BodyText"/>
      </w:pPr>
      <w:r>
        <w:t xml:space="preserve">Damage components were Gene Ontology descendants of response to oxidative stress (GO:0006979),</w:t>
      </w:r>
      <w:r>
        <w:t xml:space="preserve"> </w:t>
      </w:r>
      <w:r>
        <w:t xml:space="preserve">cellular response to DNA damage (GO:0006974), response to endoplasmic-reticulum stress (GO:0034976)</w:t>
      </w:r>
      <w:r>
        <w:t xml:space="preserve"> </w:t>
      </w:r>
      <w:r>
        <w:t xml:space="preserve">and cellular senescence (GO:0090398), using the 17 January 2024 ontology and matching GOA/MGI</w:t>
      </w:r>
      <w:r>
        <w:t xml:space="preserve"> </w:t>
      </w:r>
      <w:r>
        <w:t xml:space="preserve">annotations [16].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ND</w:t>
      </w:r>
      <w:r>
        <w:t xml:space="preserve"> </w:t>
      </w:r>
      <w:r>
        <w:t xml:space="preserve">annotations were excluded. Each one-sided programme score was mean</w:t>
      </w:r>
      <w:r>
        <w:t xml:space="preserve"> </w:t>
      </w:r>
      <w:r>
        <w:t xml:space="preserve">within-sample percentile rank minus 0.5; aggregate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was the unweighted mean of all four available</w:t>
      </w:r>
      <w:r>
        <w:t xml:space="preserve"> </w:t>
      </w:r>
      <w:r>
        <w:t xml:space="preserve">components. Programme coverage required at least 15 genes and 50% of the frozen set.</w:t>
      </w:r>
    </w:p>
    <w:bookmarkEnd w:id="44"/>
    <w:bookmarkStart w:id="45" w:name="X9837de37ae726ff05092cf80d4970cd2bbca87d"/>
    <w:p>
      <w:pPr>
        <w:pStyle w:val="Heading2"/>
      </w:pPr>
      <w:r>
        <w:t xml:space="preserve">Biological units and intervention contrasts</w:t>
      </w:r>
    </w:p>
    <w:p>
      <w:pPr>
        <w:pStyle w:val="FirstParagraph"/>
      </w:pPr>
      <w:r>
        <w:t xml:space="preserve">The donor, animal, culture or independently prepared experimental pool was the unit. Cells and</w:t>
      </w:r>
      <w:r>
        <w:t xml:space="preserve"> </w:t>
      </w:r>
      <w:r>
        <w:t xml:space="preserve">technical replicates were nested and never counted as independent replicates. Treatment effects were</w:t>
      </w:r>
      <w:r>
        <w:t xml:space="preserve"> </w:t>
      </w:r>
      <w:r>
        <w:t xml:space="preserve">treatment minus matched contemporaneous control. Primary intervals were percentile bootstrap</w:t>
      </w:r>
      <w:r>
        <w:t xml:space="preserve"> </w:t>
      </w:r>
      <w:r>
        <w:t xml:space="preserve">intervals over biological units (10,000 draws, seed 1729) when each arm contained at least three</w:t>
      </w:r>
      <w:r>
        <w:t xml:space="preserve"> </w:t>
      </w:r>
      <w:r>
        <w:t xml:space="preserve">units; smaller designs were descriptive. For GSE297984, culture replicates were collapsed within the</w:t>
      </w:r>
      <w:r>
        <w:t xml:space="preserve"> </w:t>
      </w:r>
      <w:r>
        <w:t xml:space="preserve">56- and 83-year donor lines, day and treatment. For GSE176206, cells were pseudobulked by source</w:t>
      </w:r>
      <w:r>
        <w:t xml:space="preserve"> </w:t>
      </w:r>
      <w:r>
        <w:t xml:space="preserve">experimental pool and factor combination.</w:t>
      </w:r>
    </w:p>
    <w:p>
      <w:pPr>
        <w:pStyle w:val="BodyText"/>
      </w:pPr>
      <w:r>
        <w:t xml:space="preserve">The frozen guarded-youthward rule required the 95% interval for</w:t>
      </w:r>
      <w:r>
        <w:t xml:space="preserve"> </w:t>
      </w:r>
      <w:r>
        <w:rPr>
          <w:rStyle w:val="VerbatimChar"/>
        </w:rPr>
        <w:t xml:space="preserve">ΔY</w:t>
      </w:r>
      <w:r>
        <w:t xml:space="preserve"> </w:t>
      </w:r>
      <w:r>
        <w:t xml:space="preserve">to be above zero, the</w:t>
      </w:r>
      <w:r>
        <w:t xml:space="preserve"> </w:t>
      </w:r>
      <w:r>
        <w:rPr>
          <w:rStyle w:val="VerbatimChar"/>
        </w:rPr>
        <w:t xml:space="preserve">ΔI</w:t>
      </w:r>
      <w:r>
        <w:t xml:space="preserve"> </w:t>
      </w:r>
      <w:r>
        <w:t xml:space="preserve">interval above −0.05, the</w:t>
      </w:r>
      <w:r>
        <w:t xml:space="preserve"> </w:t>
      </w:r>
      <w:r>
        <w:rPr>
          <w:rStyle w:val="VerbatimChar"/>
        </w:rPr>
        <w:t xml:space="preserve">ΔP</w:t>
      </w:r>
      <w:r>
        <w:t xml:space="preserve"> </w:t>
      </w:r>
      <w:r>
        <w:t xml:space="preserve">interval below +0.05 and the</w:t>
      </w:r>
      <w:r>
        <w:t xml:space="preserve"> </w:t>
      </w:r>
      <w:r>
        <w:rPr>
          <w:rStyle w:val="VerbatimChar"/>
        </w:rPr>
        <w:t xml:space="preserve">ΔD</w:t>
      </w:r>
      <w:r>
        <w:t xml:space="preserve"> </w:t>
      </w:r>
      <w:r>
        <w:t xml:space="preserve">interval below zero. If any axis</w:t>
      </w:r>
      <w:r>
        <w:t xml:space="preserve"> </w:t>
      </w:r>
      <w:r>
        <w:t xml:space="preserve">was unavailable, guarded status was not evaluable. The human chemical gate required one cocktail to</w:t>
      </w:r>
      <w:r>
        <w:t xml:space="preserve"> </w:t>
      </w:r>
      <w:r>
        <w:t xml:space="preserve">be positive in both donor lines with the same aggregate direction at both days. The trajectory gate</w:t>
      </w:r>
      <w:r>
        <w:t xml:space="preserve"> </w:t>
      </w:r>
      <w:r>
        <w:t xml:space="preserve">required youthward movement before either identity loss below −0.05 or pluripotency gain above</w:t>
      </w:r>
      <w:r>
        <w:t xml:space="preserve"> </w:t>
      </w:r>
      <w:r>
        <w:t xml:space="preserve">+0.05.</w:t>
      </w:r>
    </w:p>
    <w:bookmarkEnd w:id="45"/>
    <w:bookmarkStart w:id="46" w:name="candidate-ranking-and-matched-null"/>
    <w:p>
      <w:pPr>
        <w:pStyle w:val="Heading2"/>
      </w:pPr>
      <w:r>
        <w:t xml:space="preserve">Candidate ranking and matched null</w:t>
      </w:r>
    </w:p>
    <w:p>
      <w:pPr>
        <w:pStyle w:val="FirstParagraph"/>
      </w:pPr>
      <w:r>
        <w:t xml:space="preserve">Candidates were one-to-one protein-coding orthologues detected in both age references, MPTR and the</w:t>
      </w:r>
      <w:r>
        <w:t xml:space="preserve"> </w:t>
      </w:r>
      <w:r>
        <w:t xml:space="preserve">mouse chemical study. The frozen score combined age-effect magnitude, reversal of age direction in</w:t>
      </w:r>
      <w:r>
        <w:t xml:space="preserve"> </w:t>
      </w:r>
      <w:r>
        <w:t xml:space="preserve">successful discovery contrasts, and reversal consistency relative to negative controls with weights</w:t>
      </w:r>
      <w:r>
        <w:t xml:space="preserve"> </w:t>
      </w:r>
      <w:r>
        <w:t xml:space="preserve">0.40, 0.40 and 0.20. The five known later targets were GSTA4, DDX21, TOMM70A, SERBP1 and PHGDH [12,17].</w:t>
      </w:r>
      <w:r>
        <w:t xml:space="preserve"> </w:t>
      </w:r>
      <w:r>
        <w:t xml:space="preserve">Their mean frozen-rank percentile was compared with 100,000 gene sets matched to discovery-reference</w:t>
      </w:r>
      <w:r>
        <w:t xml:space="preserve"> </w:t>
      </w:r>
      <w:r>
        <w:t xml:space="preserve">expression deciles (seed 271828). Missing targets were reported and not replaced.</w:t>
      </w:r>
      <w:r>
        <w:t xml:space="preserve"> </w:t>
      </w:r>
      <w:r>
        <w:t xml:space="preserve">This underpowered three-of-five evaluable analysis was treated as secondary corroboration, not as a</w:t>
      </w:r>
      <w:r>
        <w:t xml:space="preserve"> </w:t>
      </w:r>
      <w:r>
        <w:t xml:space="preserve">major basis for the portability conclusion.</w:t>
      </w:r>
    </w:p>
    <w:bookmarkEnd w:id="46"/>
    <w:bookmarkStart w:id="47" w:name="adaptive-benchmark-b1"/>
    <w:p>
      <w:pPr>
        <w:pStyle w:val="Heading2"/>
      </w:pPr>
      <w:r>
        <w:t xml:space="preserve">Adaptive Benchmark B1</w:t>
      </w:r>
    </w:p>
    <w:p>
      <w:pPr>
        <w:pStyle w:val="FirstParagraph"/>
      </w:pPr>
      <w:r>
        <w:t xml:space="preserve">B1 used the same 10,532 ranked features and age references. Its six attempted methods were:</w:t>
      </w:r>
    </w:p>
    <w:p>
      <w:pPr>
        <w:numPr>
          <w:ilvl w:val="0"/>
          <w:numId w:val="1001"/>
        </w:numPr>
        <w:pStyle w:val="Compact"/>
      </w:pPr>
      <w:r>
        <w:t xml:space="preserve">A1 ridge-rank;</w:t>
      </w:r>
    </w:p>
    <w:p>
      <w:pPr>
        <w:numPr>
          <w:ilvl w:val="0"/>
          <w:numId w:val="1001"/>
        </w:numPr>
        <w:pStyle w:val="Compact"/>
      </w:pPr>
      <w:r>
        <w:t xml:space="preserve">elastic-net rank regression over</w:t>
      </w:r>
      <w:r>
        <w:t xml:space="preserve"> </w:t>
      </w:r>
      <w:r>
        <w:rPr>
          <w:rStyle w:val="VerbatimChar"/>
        </w:rPr>
        <w:t xml:space="preserve">l1_ratio={0.1,0.5,0.9}</w:t>
      </w:r>
      <w:r>
        <w:t xml:space="preserve"> </w:t>
      </w:r>
      <w:r>
        <w:t xml:space="preserve">and 25 penalties from</w:t>
      </w:r>
      <w:r>
        <w:t xml:space="preserve"> </w:t>
      </w:r>
      <w:r>
        <w:rPr>
          <w:rStyle w:val="VerbatimChar"/>
        </w:rPr>
        <w:t xml:space="preserve">10^-4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10^1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50-component PCA followed by ridge regression;</w:t>
      </w:r>
    </w:p>
    <w:p>
      <w:pPr>
        <w:numPr>
          <w:ilvl w:val="0"/>
          <w:numId w:val="1001"/>
        </w:numPr>
        <w:pStyle w:val="Compact"/>
      </w:pPr>
      <w:r>
        <w:t xml:space="preserve">a projection on the mean of cohort-specific standardized age effects, with weights set to zero</w:t>
      </w:r>
      <w:r>
        <w:t xml:space="preserve"> </w:t>
      </w:r>
      <w:r>
        <w:t xml:space="preserve">when cohort signs differed;</w:t>
      </w:r>
    </w:p>
    <w:p>
      <w:pPr>
        <w:numPr>
          <w:ilvl w:val="0"/>
          <w:numId w:val="1001"/>
        </w:numPr>
        <w:pStyle w:val="Compact"/>
      </w:pPr>
      <w:r>
        <w:t xml:space="preserve">ridge-rank fitted only to GSE113957; and</w:t>
      </w:r>
    </w:p>
    <w:p>
      <w:pPr>
        <w:numPr>
          <w:ilvl w:val="0"/>
          <w:numId w:val="1001"/>
        </w:numPr>
        <w:pStyle w:val="Compact"/>
      </w:pPr>
      <w:r>
        <w:t xml:space="preserve">ridge-rank fitted only to GSE226189.</w:t>
      </w:r>
    </w:p>
    <w:p>
      <w:pPr>
        <w:pStyle w:val="FirstParagraph"/>
      </w:pPr>
      <w:r>
        <w:t xml:space="preserve">The final elastic-net model selected penalty 10 and</w:t>
      </w:r>
      <w:r>
        <w:t xml:space="preserve"> </w:t>
      </w:r>
      <w:r>
        <w:rPr>
          <w:rStyle w:val="VerbatimChar"/>
        </w:rPr>
        <w:t xml:space="preserve">l1_ratio=0.1</w:t>
      </w:r>
      <w:r>
        <w:t xml:space="preserve">, producing zero non-zero</w:t>
      </w:r>
      <w:r>
        <w:t xml:space="preserve"> </w:t>
      </w:r>
      <w:r>
        <w:t xml:space="preserve">coefficients. It was retained as an implementation failure and excluded from evaluable-method</w:t>
      </w:r>
      <w:r>
        <w:t xml:space="preserve"> </w:t>
      </w:r>
      <w:r>
        <w:t xml:space="preserve">summaries without replacement. Corrected outer CV standardized chronological age using training-fold</w:t>
      </w:r>
      <w:r>
        <w:t xml:space="preserve"> </w:t>
      </w:r>
      <w:r>
        <w:t xml:space="preserve">moments. Final intervention scores, contrasts and gates were unaffected by that correction.</w:t>
      </w:r>
    </w:p>
    <w:p>
      <w:pPr>
        <w:pStyle w:val="BodyText"/>
      </w:pPr>
      <w:r>
        <w:t xml:space="preserve">The complete benchmark contained 184 matched contrasts. Eight source-labelled favourable families</w:t>
      </w:r>
      <w:r>
        <w:t xml:space="preserve"> </w:t>
      </w:r>
      <w:r>
        <w:t xml:space="preserve">were used for the family gate: MPTR, GSE176206 SOKM, mouse 2c/7c, human 2c/7c, human OSK/O4YRSK,</w:t>
      </w:r>
      <w:r>
        <w:t xml:space="preserve"> </w:t>
      </w:r>
      <w:r>
        <w:t xml:space="preserve">early human OSKM, RPE OSK and RPE GSTA4. Source labels summarized authors’ interpretations and were</w:t>
      </w:r>
      <w:r>
        <w:t xml:space="preserve"> </w:t>
      </w:r>
      <w:r>
        <w:t xml:space="preserve">not ground truth. Broad transportability required at least four of six attempted methods to orient</w:t>
      </w:r>
      <w:r>
        <w:t xml:space="preserve"> </w:t>
      </w:r>
      <w:r>
        <w:t xml:space="preserve">both age controls and median pairwise sign agreement of at least 0.80. A universal direction</w:t>
      </w:r>
      <w:r>
        <w:t xml:space="preserve"> </w:t>
      </w:r>
      <w:r>
        <w:t xml:space="preserve">additionally required at least four methods to have positive family means in at least 80% of the</w:t>
      </w:r>
      <w:r>
        <w:t xml:space="preserve"> </w:t>
      </w:r>
      <w:r>
        <w:t xml:space="preserve">eight families. These are locked descriptive gates, not significance tests.</w:t>
      </w:r>
    </w:p>
    <w:p>
      <w:pPr>
        <w:pStyle w:val="BodyText"/>
      </w:pPr>
      <w:r>
        <w:t xml:space="preserve">For gene-level concordance, family effects were mean treatment-minus-control log-expression vectors,</w:t>
      </w:r>
      <w:r>
        <w:t xml:space="preserve"> </w:t>
      </w:r>
      <w:r>
        <w:t xml:space="preserve">standardized within family on 9,543 common mapped genes. We computed all pairwise Spearman</w:t>
      </w:r>
      <w:r>
        <w:t xml:space="preserve"> </w:t>
      </w:r>
      <w:r>
        <w:t xml:space="preserve">correlations and leave-one-family-out correlations between each held family and the mean of the other</w:t>
      </w:r>
      <w:r>
        <w:t xml:space="preserve"> </w:t>
      </w:r>
      <w:r>
        <w:t xml:space="preserve">seven. Genes were not treated as biological replicates.</w:t>
      </w:r>
    </w:p>
    <w:bookmarkEnd w:id="47"/>
    <w:bookmarkStart w:id="48" w:name="post-review-extension-c1"/>
    <w:p>
      <w:pPr>
        <w:pStyle w:val="Heading2"/>
      </w:pPr>
      <w:r>
        <w:t xml:space="preserve">Post-review Extension C1</w:t>
      </w:r>
    </w:p>
    <w:p>
      <w:pPr>
        <w:pStyle w:val="FirstParagraph"/>
      </w:pPr>
      <w:r>
        <w:t xml:space="preserve">For each method pair, sign agreement was first computed within each of the 14 benchmark families and</w:t>
      </w:r>
      <w:r>
        <w:t xml:space="preserve"> </w:t>
      </w:r>
      <w:r>
        <w:t xml:space="preserve">then averaged across families; the reported statistic is the median across ten method pairs. The</w:t>
      </w:r>
      <w:r>
        <w:t xml:space="preserve"> </w:t>
      </w:r>
      <w:r>
        <w:t xml:space="preserve">cluster bootstrap resampled 14 families with replacement 10,000 times (seed 3092026). The</w:t>
      </w:r>
      <w:r>
        <w:t xml:space="preserve"> </w:t>
      </w:r>
      <w:r>
        <w:t xml:space="preserve">leave-one-family-out analysis recomputed the equal-family statistic after omitting each family. Gate</w:t>
      </w:r>
      <w:r>
        <w:t xml:space="preserve"> </w:t>
      </w:r>
      <w:r>
        <w:t xml:space="preserve">sensitivity evaluated agreement thresholds from 0.50 to 1.00 in increments of 0.025 and favourable-</w:t>
      </w:r>
      <w:r>
        <w:t xml:space="preserve"> </w:t>
      </w:r>
      <w:r>
        <w:t xml:space="preserve">family requirements from four to eight of eight.</w:t>
      </w:r>
    </w:p>
    <w:p>
      <w:pPr>
        <w:pStyle w:val="BodyText"/>
      </w:pPr>
      <w:r>
        <w:t xml:space="preserve">Strata were fixed by species, intervention class and cellular context. Split-half reliability used</w:t>
      </w:r>
      <w:r>
        <w:t xml:space="preserve"> </w:t>
      </w:r>
      <w:r>
        <w:t xml:space="preserve">balanced partitions of contrast units for families with at least four units. Where both treatment</w:t>
      </w:r>
      <w:r>
        <w:t xml:space="preserve"> </w:t>
      </w:r>
      <w:r>
        <w:t xml:space="preserve">and control contained at least two biological units, a separate arm-split analysis reconstructed two</w:t>
      </w:r>
      <w:r>
        <w:t xml:space="preserve"> </w:t>
      </w:r>
      <w:r>
        <w:t xml:space="preserve">independent effect vectors. Spearman–Brown values were recorded, but the manuscript reports raw</w:t>
      </w:r>
      <w:r>
        <w:t xml:space="preserve"> </w:t>
      </w:r>
      <w:r>
        <w:t xml:space="preserve">split-half correlations to avoid implying full-study reliability.</w:t>
      </w:r>
    </w:p>
    <w:p>
      <w:pPr>
        <w:pStyle w:val="BodyText"/>
      </w:pPr>
      <w:r>
        <w:t xml:space="preserve">Pasta was reconstructed from the authors’ MIT-licensed model package at commit</w:t>
      </w:r>
      <w:r>
        <w:t xml:space="preserve"> </w:t>
      </w:r>
      <w:r>
        <w:rPr>
          <w:rStyle w:val="VerbatimChar"/>
        </w:rPr>
        <w:t xml:space="preserve">58bcc7a69ee97f2dc9e3623ac86538c251ddd498</w:t>
      </w:r>
      <w:r>
        <w:t xml:space="preserve">, using its 8,113-gene list, median imputation,</w:t>
      </w:r>
      <w:r>
        <w:t xml:space="preserve"> </w:t>
      </w:r>
      <w:r>
        <w:t xml:space="preserve">within-sample ranks and frozen ridge coefficients [14]. Age-shift predictions were sign-reversed so</w:t>
      </w:r>
      <w:r>
        <w:t xml:space="preserve"> </w:t>
      </w:r>
      <w:r>
        <w:t xml:space="preserve">that positive values denote a youth-associated direction. Package files and their SHA-256 hashes,</w:t>
      </w:r>
      <w:r>
        <w:t xml:space="preserve"> </w:t>
      </w:r>
      <w:r>
        <w:t xml:space="preserve">implementation validation and the licensing decision for tAge are recorded in the release audit.</w:t>
      </w:r>
    </w:p>
    <w:bookmarkEnd w:id="48"/>
    <w:bookmarkStart w:id="49" w:name="software-and-reproducibility"/>
    <w:p>
      <w:pPr>
        <w:pStyle w:val="Heading2"/>
      </w:pPr>
      <w:r>
        <w:t xml:space="preserve">Software and reproducibility</w:t>
      </w:r>
    </w:p>
    <w:p>
      <w:pPr>
        <w:pStyle w:val="FirstParagraph"/>
      </w:pPr>
      <w:r>
        <w:t xml:space="preserve">Analyses used Python 3.12 with NumPy, pandas, SciPy, scikit-learn, h5py, anndata, rdata, matplotlib</w:t>
      </w:r>
      <w:r>
        <w:t xml:space="preserve"> </w:t>
      </w:r>
      <w:r>
        <w:t xml:space="preserve">and seaborn in a frozen local environment. All stochastic procedures used recorded seeds. Tests cover</w:t>
      </w:r>
      <w:r>
        <w:t xml:space="preserve"> </w:t>
      </w:r>
      <w:r>
        <w:t xml:space="preserve">metadata parsing, fold construction, rank scoring, orthology, normalization, contrasts, method</w:t>
      </w:r>
      <w:r>
        <w:t xml:space="preserve"> </w:t>
      </w:r>
      <w:r>
        <w:t xml:space="preserve">orientation and the CV repair. The release bundle contains code, configurations, hashes, aggregate</w:t>
      </w:r>
      <w:r>
        <w:t xml:space="preserve"> </w:t>
      </w:r>
      <w:r>
        <w:t xml:space="preserve">results, complete contrast tables and figure sources, but excludes raw public matrices and</w:t>
      </w:r>
      <w:r>
        <w:t xml:space="preserve"> </w:t>
      </w:r>
      <w:r>
        <w:t xml:space="preserve">participant-linked records.</w:t>
      </w:r>
    </w:p>
    <w:bookmarkEnd w:id="49"/>
    <w:bookmarkEnd w:id="50"/>
    <w:bookmarkStart w:id="52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All expression data are public under the GEO accessions listed above. The submission bundle includes</w:t>
      </w:r>
      <w:r>
        <w:t xml:space="preserve"> </w:t>
      </w:r>
      <w:r>
        <w:t xml:space="preserve">exact source URLs, retrieval dates, file sizes and SHA-256 hashes. Raw matrices are not redistributed.</w:t>
      </w:r>
      <w:r>
        <w:t xml:space="preserve"> </w:t>
      </w:r>
      <w:r>
        <w:t xml:space="preserve">The reviewed manuscript repository will be made publicly available at</w:t>
      </w:r>
      <w:r>
        <w:t xml:space="preserve"> </w:t>
      </w:r>
      <w:hyperlink r:id="rId51">
        <w:r>
          <w:rPr>
            <w:rStyle w:val="Hyperlink"/>
          </w:rPr>
          <w:t xml:space="preserve">https://github.com/otcan/transcriptomic-reprogramming-portability</w:t>
        </w:r>
      </w:hyperlink>
      <w:r>
        <w:t xml:space="preserve">. The immutable archival</w:t>
      </w:r>
      <w:r>
        <w:t xml:space="preserve"> </w:t>
      </w:r>
      <w:r>
        <w:t xml:space="preserve">DOI will be inserted before submission:</w:t>
      </w:r>
      <w:r>
        <w:t xml:space="preserve"> </w:t>
      </w:r>
      <w:r>
        <w:rPr>
          <w:bCs/>
          <w:b/>
        </w:rPr>
        <w:t xml:space="preserve">[ZENODO DOI — REQUIRED BEFORE SUBMISSION]</w:t>
      </w:r>
      <w:r>
        <w:t xml:space="preserve">.</w:t>
      </w:r>
    </w:p>
    <w:bookmarkEnd w:id="52"/>
    <w:bookmarkStart w:id="53" w:name="code-availability"/>
    <w:p>
      <w:pPr>
        <w:pStyle w:val="Heading1"/>
      </w:pPr>
      <w:r>
        <w:t xml:space="preserve">Code availability</w:t>
      </w:r>
    </w:p>
    <w:p>
      <w:pPr>
        <w:pStyle w:val="FirstParagraph"/>
      </w:pPr>
      <w:r>
        <w:t xml:space="preserve">The complete analysis and figure code, frozen configurations, tests and aggregate result tables will</w:t>
      </w:r>
      <w:r>
        <w:t xml:space="preserve"> </w:t>
      </w:r>
      <w:r>
        <w:t xml:space="preserve">be made publicly available at</w:t>
      </w:r>
      <w:r>
        <w:t xml:space="preserve"> </w:t>
      </w:r>
      <w:hyperlink r:id="rId51">
        <w:r>
          <w:rPr>
            <w:rStyle w:val="Hyperlink"/>
          </w:rPr>
          <w:t xml:space="preserve">https://github.com/otcan/transcriptomic-reprogramming-portability</w:t>
        </w:r>
      </w:hyperlink>
      <w:r>
        <w:t xml:space="preserve">. Immutable commits and</w:t>
      </w:r>
      <w:r>
        <w:t xml:space="preserve"> </w:t>
      </w:r>
      <w:r>
        <w:t xml:space="preserve">manifests are included. No language model or post-cutoff biological database was used as a model</w:t>
      </w:r>
      <w:r>
        <w:t xml:space="preserve"> </w:t>
      </w:r>
      <w:r>
        <w:t xml:space="preserve">feature or to rank targets.</w:t>
      </w:r>
    </w:p>
    <w:bookmarkEnd w:id="53"/>
    <w:bookmarkStart w:id="54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research received no external funding. Computational resources were provided by Metastate Bio</w:t>
      </w:r>
      <w:r>
        <w:t xml:space="preserve"> </w:t>
      </w:r>
      <w:r>
        <w:t xml:space="preserve">Inc.</w:t>
      </w:r>
    </w:p>
    <w:p>
      <w:pPr>
        <w:pStyle w:val="BodyText"/>
      </w:pPr>
      <w:r>
        <w:t xml:space="preserve">OpenAI Codex was used under human direction to assist with code drafting, analysis orchestration,</w:t>
      </w:r>
      <w:r>
        <w:t xml:space="preserve"> </w:t>
      </w:r>
      <w:r>
        <w:t xml:space="preserve">literature organization and manuscript drafting. The authors inspected the source data, code,</w:t>
      </w:r>
      <w:r>
        <w:t xml:space="preserve"> </w:t>
      </w:r>
      <w:r>
        <w:t xml:space="preserve">computations, citations, figures and claims and retain full responsibility for the work and its</w:t>
      </w:r>
      <w:r>
        <w:t xml:space="preserve"> </w:t>
      </w:r>
      <w:r>
        <w:t xml:space="preserve">conclusions.</w:t>
      </w:r>
    </w:p>
    <w:bookmarkEnd w:id="54"/>
    <w:bookmarkStart w:id="55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t xml:space="preserve">O.Ü. conceived the study, defined the research questions and claim boundaries, directed the</w:t>
      </w:r>
      <w:r>
        <w:t xml:space="preserve"> </w:t>
      </w:r>
      <w:r>
        <w:t xml:space="preserve">computational programme, provided resources, interpreted the results through iterative review,</w:t>
      </w:r>
      <w:r>
        <w:t xml:space="preserve"> </w:t>
      </w:r>
      <w:r>
        <w:t xml:space="preserve">revised the manuscript and accepts responsibility for the integrity of the work. CRediT roles:</w:t>
      </w:r>
      <w:r>
        <w:t xml:space="preserve"> </w:t>
      </w:r>
      <w:r>
        <w:t xml:space="preserve">Conceptualization, Methodology, Resources, Supervision, Project administration, and Writing – review</w:t>
      </w:r>
      <w:r>
        <w:t xml:space="preserve"> </w:t>
      </w:r>
      <w:r>
        <w:t xml:space="preserve">&amp; editing.</w:t>
      </w:r>
    </w:p>
    <w:bookmarkEnd w:id="55"/>
    <w:bookmarkStart w:id="56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O.Ü. is the founder of Metastate and is affiliated with Metastate Bio Inc, which develops commercial</w:t>
      </w:r>
      <w:r>
        <w:t xml:space="preserve"> </w:t>
      </w:r>
      <w:r>
        <w:t xml:space="preserve">computational biology, biomarker and modelling products and services that could benefit from the</w:t>
      </w:r>
      <w:r>
        <w:t xml:space="preserve"> </w:t>
      </w:r>
      <w:r>
        <w:t xml:space="preserve">publication of this work. The author declares no other competing interests.</w:t>
      </w:r>
    </w:p>
    <w:bookmarkEnd w:id="56"/>
    <w:bookmarkStart w:id="57" w:name="ethics-statement"/>
    <w:p>
      <w:pPr>
        <w:pStyle w:val="Heading1"/>
      </w:pPr>
      <w:r>
        <w:t xml:space="preserve">Ethics statement</w:t>
      </w:r>
    </w:p>
    <w:p>
      <w:pPr>
        <w:pStyle w:val="FirstParagraph"/>
      </w:pPr>
      <w:r>
        <w:t xml:space="preserve">This study reanalysed public, de-identified molecular datasets and involved no new human or animal</w:t>
      </w:r>
      <w:r>
        <w:t xml:space="preserve"> </w:t>
      </w:r>
      <w:r>
        <w:t xml:space="preserve">recruitment or experimentation by the author. The original studies’ approvals govern source-data</w:t>
      </w:r>
      <w:r>
        <w:t xml:space="preserve"> </w:t>
      </w:r>
      <w:r>
        <w:t xml:space="preserve">collection.</w:t>
      </w:r>
    </w:p>
    <w:bookmarkEnd w:id="57"/>
    <w:bookmarkStart w:id="58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2"/>
        </w:numPr>
        <w:pStyle w:val="Compact"/>
      </w:pPr>
      <w:r>
        <w:t xml:space="preserve">López-Otín, C.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Hallmarks of aging: An expanding universe.</w:t>
      </w:r>
      <w:r>
        <w:t xml:space="preserve"> </w:t>
      </w:r>
      <w:r>
        <w:rPr>
          <w:iCs/>
          <w:i/>
        </w:rPr>
        <w:t xml:space="preserve">Cell</w:t>
      </w:r>
      <w:r>
        <w:t xml:space="preserve"> </w:t>
      </w:r>
      <w:r>
        <w:rPr>
          <w:bCs/>
          <w:b/>
        </w:rPr>
        <w:t xml:space="preserve">186</w:t>
      </w:r>
      <w:r>
        <w:t xml:space="preserve">, 243–278 (2023). https://doi.org/10.1016/j.cell.2022.11.001</w:t>
      </w:r>
    </w:p>
    <w:p>
      <w:pPr>
        <w:numPr>
          <w:ilvl w:val="0"/>
          <w:numId w:val="1002"/>
        </w:numPr>
        <w:pStyle w:val="Compact"/>
      </w:pPr>
      <w:r>
        <w:t xml:space="preserve">Rutledge, J., Oh, H. &amp; Wyss-Coray, T. Measuring biological age using omics data.</w:t>
      </w:r>
      <w:r>
        <w:t xml:space="preserve"> </w:t>
      </w:r>
      <w:r>
        <w:rPr>
          <w:iCs/>
          <w:i/>
        </w:rPr>
        <w:t xml:space="preserve">Nature Reviews Genetics</w:t>
      </w:r>
      <w:r>
        <w:t xml:space="preserve"> </w:t>
      </w:r>
      <w:r>
        <w:rPr>
          <w:bCs/>
          <w:b/>
        </w:rPr>
        <w:t xml:space="preserve">23</w:t>
      </w:r>
      <w:r>
        <w:t xml:space="preserve">, 715–727 (2022). https://doi.org/10.1038/s41576-022-00511-7</w:t>
      </w:r>
    </w:p>
    <w:p>
      <w:pPr>
        <w:numPr>
          <w:ilvl w:val="0"/>
          <w:numId w:val="1002"/>
        </w:numPr>
        <w:pStyle w:val="Compact"/>
      </w:pPr>
      <w:r>
        <w:t xml:space="preserve">Teschendorff, A. E. &amp; Horvath, S. Epigenetic ageing clocks: statistical methods and emerging computational challenges.</w:t>
      </w:r>
      <w:r>
        <w:t xml:space="preserve"> </w:t>
      </w:r>
      <w:r>
        <w:rPr>
          <w:iCs/>
          <w:i/>
        </w:rPr>
        <w:t xml:space="preserve">Nature Reviews Genetics</w:t>
      </w:r>
      <w:r>
        <w:t xml:space="preserve"> </w:t>
      </w:r>
      <w:r>
        <w:rPr>
          <w:bCs/>
          <w:b/>
        </w:rPr>
        <w:t xml:space="preserve">26</w:t>
      </w:r>
      <w:r>
        <w:t xml:space="preserve">, 350–368 (2025). https://doi.org/10.1038/s41576-024-00807-w</w:t>
      </w:r>
    </w:p>
    <w:p>
      <w:pPr>
        <w:numPr>
          <w:ilvl w:val="0"/>
          <w:numId w:val="1002"/>
        </w:numPr>
        <w:pStyle w:val="Compact"/>
      </w:pPr>
      <w:r>
        <w:t xml:space="preserve">Fleischer, J. G.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Predicting age from the transcriptome of human dermal fibroblasts.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rPr>
          <w:bCs/>
          <w:b/>
        </w:rPr>
        <w:t xml:space="preserve">19</w:t>
      </w:r>
      <w:r>
        <w:t xml:space="preserve">, 221 (2018). https://doi.org/10.1186/s13059-018-1599-6</w:t>
      </w:r>
    </w:p>
    <w:p>
      <w:pPr>
        <w:numPr>
          <w:ilvl w:val="0"/>
          <w:numId w:val="1002"/>
        </w:numPr>
        <w:pStyle w:val="Compact"/>
      </w:pPr>
      <w:r>
        <w:t xml:space="preserve">Tsitsipatis, D.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Transcriptomes of human primary skin fibroblasts of healthy individuals reveal age-associated mRNAs and long noncoding RNAs.</w:t>
      </w:r>
      <w:r>
        <w:t xml:space="preserve"> </w:t>
      </w:r>
      <w:r>
        <w:rPr>
          <w:iCs/>
          <w:i/>
        </w:rPr>
        <w:t xml:space="preserve">Aging Cell</w:t>
      </w:r>
      <w:r>
        <w:t xml:space="preserve"> </w:t>
      </w:r>
      <w:r>
        <w:rPr>
          <w:bCs/>
          <w:b/>
        </w:rPr>
        <w:t xml:space="preserve">22</w:t>
      </w:r>
      <w:r>
        <w:t xml:space="preserve">, e13915 (2023). https://doi.org/10.1111/acel.13915</w:t>
      </w:r>
    </w:p>
    <w:p>
      <w:pPr>
        <w:numPr>
          <w:ilvl w:val="0"/>
          <w:numId w:val="1002"/>
        </w:numPr>
        <w:pStyle w:val="Compact"/>
      </w:pPr>
      <w:r>
        <w:t xml:space="preserve">Gill, D.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Multi-omic rejuvenation of human cells by maturation phase transient reprogramming.</w:t>
      </w:r>
      <w:r>
        <w:t xml:space="preserve"> </w:t>
      </w:r>
      <w:r>
        <w:rPr>
          <w:iCs/>
          <w:i/>
        </w:rPr>
        <w:t xml:space="preserve">eLife</w:t>
      </w:r>
      <w:r>
        <w:t xml:space="preserve"> </w:t>
      </w:r>
      <w:r>
        <w:rPr>
          <w:bCs/>
          <w:b/>
        </w:rPr>
        <w:t xml:space="preserve">11</w:t>
      </w:r>
      <w:r>
        <w:t xml:space="preserve">, e71624 (2022). https://doi.org/10.7554/eLife.71624</w:t>
      </w:r>
    </w:p>
    <w:p>
      <w:pPr>
        <w:numPr>
          <w:ilvl w:val="0"/>
          <w:numId w:val="1002"/>
        </w:numPr>
        <w:pStyle w:val="Compact"/>
      </w:pPr>
      <w:r>
        <w:t xml:space="preserve">Roux, A. E.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Diverse partial reprogramming strategies restore youthful gene expression and transiently suppress cell identity.</w:t>
      </w:r>
      <w:r>
        <w:t xml:space="preserve"> </w:t>
      </w:r>
      <w:r>
        <w:rPr>
          <w:iCs/>
          <w:i/>
        </w:rPr>
        <w:t xml:space="preserve">Cell Systems</w:t>
      </w:r>
      <w:r>
        <w:t xml:space="preserve"> </w:t>
      </w:r>
      <w:r>
        <w:rPr>
          <w:bCs/>
          <w:b/>
        </w:rPr>
        <w:t xml:space="preserve">13</w:t>
      </w:r>
      <w:r>
        <w:t xml:space="preserve">, 574–587.e11 (2022). https://doi.org/10.1016/j.cels.2022.05.002</w:t>
      </w:r>
    </w:p>
    <w:p>
      <w:pPr>
        <w:numPr>
          <w:ilvl w:val="0"/>
          <w:numId w:val="1002"/>
        </w:numPr>
        <w:pStyle w:val="Compact"/>
      </w:pPr>
      <w:r>
        <w:t xml:space="preserve">Mitchell, W.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Multi-omics characterization of partial chemical reprogramming reveals evidence of cell rejuvenation.</w:t>
      </w:r>
      <w:r>
        <w:t xml:space="preserve"> </w:t>
      </w:r>
      <w:r>
        <w:rPr>
          <w:iCs/>
          <w:i/>
        </w:rPr>
        <w:t xml:space="preserve">eLife</w:t>
      </w:r>
      <w:r>
        <w:t xml:space="preserve"> </w:t>
      </w:r>
      <w:r>
        <w:rPr>
          <w:bCs/>
          <w:b/>
        </w:rPr>
        <w:t xml:space="preserve">13</w:t>
      </w:r>
      <w:r>
        <w:t xml:space="preserve">, e90579 (2024). https://doi.org/10.7554/eLife.90579</w:t>
      </w:r>
    </w:p>
    <w:p>
      <w:pPr>
        <w:numPr>
          <w:ilvl w:val="0"/>
          <w:numId w:val="1002"/>
        </w:numPr>
        <w:pStyle w:val="Compact"/>
      </w:pPr>
      <w:r>
        <w:t xml:space="preserve">Schoenfeldt, L.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Chemical reprogramming ameliorates cellular hallmarks of aging and extends lifespan.</w:t>
      </w:r>
      <w:r>
        <w:t xml:space="preserve"> </w:t>
      </w:r>
      <w:r>
        <w:rPr>
          <w:iCs/>
          <w:i/>
        </w:rPr>
        <w:t xml:space="preserve">EMBO Molecular Medicine</w:t>
      </w:r>
      <w:r>
        <w:t xml:space="preserve"> </w:t>
      </w:r>
      <w:r>
        <w:rPr>
          <w:bCs/>
          <w:b/>
        </w:rPr>
        <w:t xml:space="preserve">17</w:t>
      </w:r>
      <w:r>
        <w:t xml:space="preserve">, 9 (2025). https://doi.org/10.1038/s44321-025-00265-9</w:t>
      </w:r>
    </w:p>
    <w:p>
      <w:pPr>
        <w:numPr>
          <w:ilvl w:val="0"/>
          <w:numId w:val="1002"/>
        </w:numPr>
        <w:pStyle w:val="Compact"/>
      </w:pPr>
      <w:r>
        <w:t xml:space="preserve">Mitchell, W.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In vivo chemical reprogramming is associated with a toxic accumulation of lipid droplets hindering rejuvenation.</w:t>
      </w:r>
      <w:r>
        <w:t xml:space="preserve"> </w:t>
      </w:r>
      <w:r>
        <w:rPr>
          <w:iCs/>
          <w:i/>
        </w:rPr>
        <w:t xml:space="preserve">Aging Cell</w:t>
      </w:r>
      <w:r>
        <w:t xml:space="preserve"> </w:t>
      </w:r>
      <w:r>
        <w:rPr>
          <w:bCs/>
          <w:b/>
        </w:rPr>
        <w:t xml:space="preserve">25</w:t>
      </w:r>
      <w:r>
        <w:t xml:space="preserve">, e70390 (2026). https://doi.org/10.1111/acel.70390</w:t>
      </w:r>
    </w:p>
    <w:p>
      <w:pPr>
        <w:numPr>
          <w:ilvl w:val="0"/>
          <w:numId w:val="1002"/>
        </w:numPr>
        <w:pStyle w:val="Compact"/>
      </w:pPr>
      <w:r>
        <w:t xml:space="preserve">Lu, A. T.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Prevalent mesenchymal drift in aging and disease is reversed by partial reprogramming.</w:t>
      </w:r>
      <w:r>
        <w:t xml:space="preserve"> </w:t>
      </w:r>
      <w:r>
        <w:rPr>
          <w:iCs/>
          <w:i/>
        </w:rPr>
        <w:t xml:space="preserve">Cell</w:t>
      </w:r>
      <w:r>
        <w:t xml:space="preserve"> </w:t>
      </w:r>
      <w:r>
        <w:rPr>
          <w:bCs/>
          <w:b/>
        </w:rPr>
        <w:t xml:space="preserve">188</w:t>
      </w:r>
      <w:r>
        <w:t xml:space="preserve">, 5895–5911.e17 (2025). https://doi.org/10.1016/j.cell.2025.07.031</w:t>
      </w:r>
    </w:p>
    <w:p>
      <w:pPr>
        <w:numPr>
          <w:ilvl w:val="0"/>
          <w:numId w:val="1002"/>
        </w:numPr>
        <w:pStyle w:val="Compact"/>
      </w:pPr>
      <w:r>
        <w:t xml:space="preserve">Lu, Y. R.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Reprogramming factors activate a non-canonical oxidative resilience pathway that can rejuvenate RPEs and restore vision.</w:t>
      </w:r>
      <w:r>
        <w:t xml:space="preserve"> </w:t>
      </w:r>
      <w:r>
        <w:rPr>
          <w:iCs/>
          <w:i/>
        </w:rPr>
        <w:t xml:space="preserve">bioRxiv</w:t>
      </w:r>
      <w:r>
        <w:t xml:space="preserve"> </w:t>
      </w:r>
      <w:r>
        <w:t xml:space="preserve">(2025). https://doi.org/10.1101/2025.08.30.673239</w:t>
      </w:r>
    </w:p>
    <w:p>
      <w:pPr>
        <w:numPr>
          <w:ilvl w:val="0"/>
          <w:numId w:val="1002"/>
        </w:numPr>
        <w:pStyle w:val="Compact"/>
      </w:pPr>
      <w:r>
        <w:t xml:space="preserve">Tyshkovskiy, A.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Universal transcriptomic hallmarks of mammalian ageing and mortality.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rPr>
          <w:bCs/>
          <w:b/>
        </w:rPr>
        <w:t xml:space="preserve">654</w:t>
      </w:r>
      <w:r>
        <w:t xml:space="preserve">, 173–188 (2026). https://doi.org/10.1038/s41586-026-10542-3</w:t>
      </w:r>
    </w:p>
    <w:p>
      <w:pPr>
        <w:numPr>
          <w:ilvl w:val="0"/>
          <w:numId w:val="1002"/>
        </w:numPr>
        <w:pStyle w:val="Compact"/>
      </w:pPr>
      <w:r>
        <w:t xml:space="preserve">Salignon, J.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Pasta, a versatile transcriptomic clock, maps the chemical and genetic determinants of aging and rejuvenation.</w:t>
      </w:r>
      <w:r>
        <w:t xml:space="preserve"> </w:t>
      </w:r>
      <w:r>
        <w:rPr>
          <w:iCs/>
          <w:i/>
        </w:rPr>
        <w:t xml:space="preserve">Advanced Science</w:t>
      </w:r>
      <w:r>
        <w:t xml:space="preserve">, e76740 (2026). https://doi.org/10.1002/advs.76740</w:t>
      </w:r>
    </w:p>
    <w:p>
      <w:pPr>
        <w:numPr>
          <w:ilvl w:val="0"/>
          <w:numId w:val="1002"/>
        </w:numPr>
        <w:pStyle w:val="Compact"/>
      </w:pPr>
      <w:r>
        <w:t xml:space="preserve">Mitchell, W.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The mitochondria-targeted peptide therapeutic elamipretide improves cardiac and skeletal muscle function during aging without detectable changes in tissue epigenetic or transcriptomic age.</w:t>
      </w:r>
      <w:r>
        <w:t xml:space="preserve"> </w:t>
      </w:r>
      <w:r>
        <w:rPr>
          <w:iCs/>
          <w:i/>
        </w:rPr>
        <w:t xml:space="preserve">Aging Cell</w:t>
      </w:r>
      <w:r>
        <w:t xml:space="preserve"> </w:t>
      </w:r>
      <w:r>
        <w:rPr>
          <w:bCs/>
          <w:b/>
        </w:rPr>
        <w:t xml:space="preserve">24</w:t>
      </w:r>
      <w:r>
        <w:t xml:space="preserve">, e70026 (2025). https://doi.org/10.1111/acel.70026</w:t>
      </w:r>
    </w:p>
    <w:p>
      <w:pPr>
        <w:numPr>
          <w:ilvl w:val="0"/>
          <w:numId w:val="1002"/>
        </w:numPr>
        <w:pStyle w:val="Compact"/>
      </w:pPr>
      <w:r>
        <w:t xml:space="preserve">Gene Ontology Consortium. The Gene Ontology knowledgebase in 2023.</w:t>
      </w:r>
      <w:r>
        <w:t xml:space="preserve"> </w:t>
      </w:r>
      <w:r>
        <w:rPr>
          <w:iCs/>
          <w:i/>
        </w:rPr>
        <w:t xml:space="preserve">Genetics</w:t>
      </w:r>
      <w:r>
        <w:t xml:space="preserve"> </w:t>
      </w:r>
      <w:r>
        <w:rPr>
          <w:bCs/>
          <w:b/>
        </w:rPr>
        <w:t xml:space="preserve">224</w:t>
      </w:r>
      <w:r>
        <w:t xml:space="preserve">, iyad031 (2023). https://doi.org/10.1093/genetics/iyad031</w:t>
      </w:r>
    </w:p>
    <w:p>
      <w:pPr>
        <w:numPr>
          <w:ilvl w:val="0"/>
          <w:numId w:val="1002"/>
        </w:numPr>
        <w:pStyle w:val="Compact"/>
      </w:pPr>
      <w:r>
        <w:t xml:space="preserve">Min, B.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Rejuvenation potential of developmental genes downregulated in aging.</w:t>
      </w:r>
      <w:r>
        <w:t xml:space="preserve"> </w:t>
      </w:r>
      <w:r>
        <w:rPr>
          <w:iCs/>
          <w:i/>
        </w:rPr>
        <w:t xml:space="preserve">International Journal of Stem Cells</w:t>
      </w:r>
      <w:r>
        <w:t xml:space="preserve"> </w:t>
      </w:r>
      <w:r>
        <w:t xml:space="preserve">(2026). https://doi.org/10.15283/ijsc25144</w:t>
      </w:r>
    </w:p>
    <w:p>
      <w:pPr>
        <w:numPr>
          <w:ilvl w:val="0"/>
          <w:numId w:val="1002"/>
        </w:numPr>
        <w:pStyle w:val="Compact"/>
      </w:pPr>
      <w:r>
        <w:t xml:space="preserve">Benjamini, Y. &amp; Hochberg, Y. Controlling the false discovery rate: a practical and powerful approach to multiple testing.</w:t>
      </w:r>
      <w:r>
        <w:t xml:space="preserve"> </w:t>
      </w:r>
      <w:r>
        <w:rPr>
          <w:iCs/>
          <w:i/>
        </w:rPr>
        <w:t xml:space="preserve">Journal of the Royal Statistical Society B</w:t>
      </w:r>
      <w:r>
        <w:t xml:space="preserve"> </w:t>
      </w:r>
      <w:r>
        <w:rPr>
          <w:bCs/>
          <w:b/>
        </w:rPr>
        <w:t xml:space="preserve">57</w:t>
      </w:r>
      <w:r>
        <w:t xml:space="preserve">, 289–300 (1995). https://doi.org/10.1111/j.2517-6161.1995.tb02031.x</w:t>
      </w:r>
    </w:p>
    <w:p>
      <w:pPr>
        <w:numPr>
          <w:ilvl w:val="0"/>
          <w:numId w:val="1002"/>
        </w:numPr>
        <w:pStyle w:val="Compact"/>
      </w:pPr>
      <w:r>
        <w:t xml:space="preserve">Pedregosa, F.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Scikit-learn: machine learning in Python.</w:t>
      </w:r>
      <w:r>
        <w:t xml:space="preserve"> </w:t>
      </w:r>
      <w:r>
        <w:rPr>
          <w:iCs/>
          <w:i/>
        </w:rPr>
        <w:t xml:space="preserve">Journal of Machine Learning Research</w:t>
      </w:r>
      <w:r>
        <w:t xml:space="preserve"> </w:t>
      </w:r>
      <w:r>
        <w:rPr>
          <w:bCs/>
          <w:b/>
        </w:rPr>
        <w:t xml:space="preserve">12</w:t>
      </w:r>
      <w:r>
        <w:t xml:space="preserve">, 2825–2830 (2011).</w:t>
      </w:r>
    </w:p>
    <w:p>
      <w:pPr>
        <w:numPr>
          <w:ilvl w:val="0"/>
          <w:numId w:val="1002"/>
        </w:numPr>
        <w:pStyle w:val="Compact"/>
      </w:pPr>
      <w:r>
        <w:t xml:space="preserve">de Lima Camillo, L. P.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pyaging: a Python-based compendium of GPU-optimized aging clocks.</w:t>
      </w:r>
      <w:r>
        <w:t xml:space="preserve"> </w:t>
      </w:r>
      <w:r>
        <w:rPr>
          <w:iCs/>
          <w:i/>
        </w:rPr>
        <w:t xml:space="preserve">Bioinformatics</w:t>
      </w:r>
      <w:r>
        <w:t xml:space="preserve"> </w:t>
      </w:r>
      <w:r>
        <w:rPr>
          <w:bCs/>
          <w:b/>
        </w:rPr>
        <w:t xml:space="preserve">40</w:t>
      </w:r>
      <w:r>
        <w:t xml:space="preserve">, btae200 (2024). https://doi.org/10.1093/bioinformatics/btae200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51" Target="https://github.com/otcan/transcriptomic-reprogramming-portabi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github.com/otcan/transcriptomic-reprogramming-portabi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Five chronological-age transcriptomic directions fail a locked portability benchmark across partial-reprogramming interventions</dc:title>
  <dc:creator>Oğuzcan Ünver</dc:creator>
  <cp:keywords/>
  <dcterms:created xsi:type="dcterms:W3CDTF">2026-09-30T14:49:17Z</dcterms:created>
  <dcterms:modified xsi:type="dcterms:W3CDTF">2026-09-30T14:49:17Z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30 September 2026</vt:lpwstr>
  </property>
  <property fmtid="{D5CDD505-2E9C-101B-9397-08002B2CF9AE}" pid="4" name="fontsize">
    <vt:lpwstr>10pt</vt:lpwstr>
  </property>
  <property fmtid="{D5CDD505-2E9C-101B-9397-08002B2CF9AE}" pid="5" name="geometry">
    <vt:lpwstr>margin=1in</vt:lpwstr>
  </property>
  <property fmtid="{D5CDD505-2E9C-101B-9397-08002B2CF9AE}" pid="6" name="linkcolor">
    <vt:lpwstr>blue</vt:lpwstr>
  </property>
  <property fmtid="{D5CDD505-2E9C-101B-9397-08002B2CF9AE}" pid="7" name="urlcolor">
    <vt:lpwstr>blue</vt:lpwstr>
  </property>
</Properties>
</file>