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f1115"/>
          <w:sz w:val="30"/>
          <w:szCs w:val="3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f1115"/>
          <w:sz w:val="30"/>
          <w:szCs w:val="30"/>
          <w:u w:val="none"/>
          <w:shd w:fill="auto" w:val="clear"/>
          <w:vertAlign w:val="baseline"/>
          <w:rtl w:val="0"/>
        </w:rPr>
        <w:t xml:space="preserve">Проект этикетки</w:t>
      </w:r>
    </w:p>
    <w:p w:rsidR="00000000" w:rsidDel="00000000" w:rsidP="00000000" w:rsidRDefault="00000000" w:rsidRPr="00000000" w14:paraId="00000003">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f1115"/>
          <w:sz w:val="30"/>
          <w:szCs w:val="3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f1115"/>
          <w:sz w:val="30"/>
          <w:szCs w:val="30"/>
          <w:u w:val="none"/>
          <w:shd w:fill="auto" w:val="clear"/>
          <w:vertAlign w:val="baseline"/>
          <w:rtl w:val="0"/>
        </w:rPr>
        <w:t xml:space="preserve">биологически активная добавка к пище</w:t>
      </w:r>
    </w:p>
    <w:p w:rsidR="00000000" w:rsidDel="00000000" w:rsidP="00000000" w:rsidRDefault="00000000" w:rsidRPr="00000000" w14:paraId="00000004">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f1115"/>
          <w:sz w:val="30"/>
          <w:szCs w:val="3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f1115"/>
          <w:sz w:val="30"/>
          <w:szCs w:val="30"/>
          <w:u w:val="none"/>
          <w:shd w:fill="auto" w:val="clear"/>
          <w:vertAlign w:val="baseline"/>
          <w:rtl w:val="0"/>
        </w:rPr>
        <w:t xml:space="preserve">«Оптиман» / «Optiman»</w:t>
      </w:r>
    </w:p>
    <w:p w:rsidR="00000000" w:rsidDel="00000000" w:rsidP="00000000" w:rsidRDefault="00000000" w:rsidRPr="00000000" w14:paraId="00000005">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f1115"/>
          <w:sz w:val="30"/>
          <w:szCs w:val="3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f1115"/>
          <w:sz w:val="30"/>
          <w:szCs w:val="30"/>
          <w:u w:val="none"/>
          <w:shd w:fill="auto" w:val="clear"/>
          <w:vertAlign w:val="baseline"/>
          <w:rtl w:val="0"/>
        </w:rPr>
        <w:t xml:space="preserve">Не является лекарством</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Форма выпуска:</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капсулы массой 350 мг.</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Масса нетто:</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Состав:</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экстракт надземной части горянки стрелолистной (Epimedium sagittatum), оболочка капсулы (гидроксипропилметилцеллюлоза), экстракт мицелия кордицепса китайского (Cordyceps sinensis), экстракт корня эврикомы длиннолистной (Eurycoma longifolia), экстракт корня женьшеня обыкновенного (Panax ginseng), порошок корня маки (Lepidium meyenii), мальтодекстрин.</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Область применения:</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для реализации населению в качестве биологически активной добавки к пище — источника флавоноидов и гинсенозидов.</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Рекомендации по применению:</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взрослым по 1 капсуле в день во время еды. Продолжительность приема — 1 месяц. При необходимости прием можно повторить.</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При употреблении БАД в рекомендованных количествах в организм будет поступать:</w:t>
      </w:r>
    </w:p>
    <w:tbl>
      <w:tblPr>
        <w:tblStyle w:val="Table1"/>
        <w:tblW w:w="9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6"/>
        <w:gridCol w:w="2746"/>
        <w:gridCol w:w="2534"/>
        <w:tblGridChange w:id="0">
          <w:tblGrid>
            <w:gridCol w:w="4506"/>
            <w:gridCol w:w="2746"/>
            <w:gridCol w:w="2534"/>
          </w:tblGrid>
        </w:tblGridChange>
      </w:tblGrid>
      <w:tr>
        <w:trPr>
          <w:cantSplit w:val="0"/>
          <w:tblHeader w:val="1"/>
        </w:trPr>
        <w:tc>
          <w:tcPr>
            <w:tcMar>
              <w:left w:w="0.0" w:type="dxa"/>
              <w:right w:w="240.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Наименование биологически активного вещества (БАВ)</w:t>
            </w:r>
          </w:p>
        </w:tc>
        <w:tc>
          <w:tcPr>
            <w:tcMar>
              <w:left w:w="240.0" w:type="dxa"/>
              <w:right w:w="240.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Содержание в 1 капсуле, мг</w:t>
            </w:r>
          </w:p>
        </w:tc>
        <w:tc>
          <w:tcPr>
            <w:tcMar>
              <w:left w:w="240.0" w:type="dxa"/>
              <w:right w:w="240.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от адекватного уровня потребления (АУП)*</w:t>
            </w:r>
          </w:p>
        </w:tc>
      </w:tr>
      <w:tr>
        <w:trPr>
          <w:cantSplit w:val="0"/>
          <w:tblHeader w:val="0"/>
        </w:trPr>
        <w:tc>
          <w:tcPr>
            <w:tcMar>
              <w:left w:w="0.0" w:type="dxa"/>
              <w:right w:w="240.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Флавоноиды (в пересчете на рутин)</w:t>
            </w:r>
          </w:p>
        </w:tc>
        <w:tc>
          <w:tcPr>
            <w:tcMar>
              <w:left w:w="240.0" w:type="dxa"/>
              <w:right w:w="240.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70</w:t>
            </w:r>
          </w:p>
        </w:tc>
        <w:tc>
          <w:tcPr>
            <w:tcMar>
              <w:left w:w="240.0" w:type="dxa"/>
              <w:right w:w="0.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233</w:t>
            </w:r>
          </w:p>
        </w:tc>
      </w:tr>
      <w:tr>
        <w:trPr>
          <w:cantSplit w:val="0"/>
          <w:tblHeader w:val="0"/>
        </w:trPr>
        <w:tc>
          <w:tcPr>
            <w:tcMar>
              <w:left w:w="0.0" w:type="dxa"/>
              <w:right w:w="240.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Гинсенозиды</w:t>
            </w:r>
          </w:p>
        </w:tc>
        <w:tc>
          <w:tcPr>
            <w:tcMar>
              <w:left w:w="240.0" w:type="dxa"/>
              <w:right w:w="240.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30</w:t>
            </w:r>
          </w:p>
        </w:tc>
        <w:tc>
          <w:tcPr>
            <w:tcMar>
              <w:left w:w="240.0" w:type="dxa"/>
              <w:right w:w="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600</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f1115"/>
          <w:sz w:val="20"/>
          <w:szCs w:val="20"/>
          <w:u w:val="none"/>
          <w:shd w:fill="auto" w:val="clear"/>
          <w:vertAlign w:val="baseline"/>
          <w:rtl w:val="0"/>
        </w:rPr>
        <w:t xml:space="preserve">* % согласно Единым санитарно-эпидемиологическим и гигиеническим требованиям к товарам, подлежащим санитарно-эпидемиологическому надзору (контролю) (Приложение 5)</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f1115"/>
          <w:sz w:val="20"/>
          <w:szCs w:val="20"/>
          <w:u w:val="none"/>
          <w:shd w:fill="auto" w:val="clear"/>
          <w:vertAlign w:val="baseline"/>
          <w:rtl w:val="0"/>
        </w:rPr>
        <w:t xml:space="preserve">** Содержание флавоноидов должно быть подтверждено производителем</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f1115"/>
          <w:sz w:val="20"/>
          <w:szCs w:val="20"/>
          <w:u w:val="none"/>
          <w:shd w:fill="auto" w:val="clear"/>
          <w:vertAlign w:val="baseline"/>
          <w:rtl w:val="0"/>
        </w:rPr>
        <w:t xml:space="preserve">Не превышает верхний допустимый уровень потребления согласно Единым санитарно-эпидемиологическим и гигиеническим требованиям к товарам, подлежащим санитарно-эпидемиологическому надзору (контролю) (Приложение 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Противопоказания:</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индивидуальная непереносимость компонентов, беременность, кормление грудью. Перед применением рекомендуется проконсультироваться с врачом.</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Номер партии</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Дата изготовления: (месяц, год)</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Срок годности:</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3 года.</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Штрих-код</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Условия хранения:</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хранить в сухом, защищенном от прямых солнечных лучей и недоступном для детей месте при температуре от 0 до +25°С.</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Свидетельство о государственной регистрации</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Производитель:</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«PHYTES BIOTEK SDN. BHD», LOT 21, JALAN U1/19, SECTION U1, HICOM GLENMARIE INDUSTRIAL PARK, 40150 SHAH ALAM, SELANGOR, МАЛАЙЗИЯ.</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Импортер / Организация, уполномоченная принимать претензии от потребителей:</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ТОО «РЕСУРС РК»</w:t>
        <w:br w:type="textWrapping"/>
        <w:t xml:space="preserve">050000, Казахстан, г. Алматы, Ауэзовский район, микрорайон 5, дом 21, кв. 114</w:t>
        <w:br w:type="textWrapping"/>
        <w:t xml:space="preserve">БИН 250940021253</w:t>
        <w:br w:type="textWrapping"/>
        <w:t xml:space="preserve">тел.:</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02895" cy="26860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2895" cy="268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67335" cy="266700"/>
            <wp:effectExtent b="0" l="0" r="0" t="0"/>
            <wp:docPr descr="Описание: ЕАС белый фон" id="3" name="image5.png"/>
            <a:graphic>
              <a:graphicData uri="http://schemas.openxmlformats.org/drawingml/2006/picture">
                <pic:pic>
                  <pic:nvPicPr>
                    <pic:cNvPr descr="Описание: ЕАС белый фон" id="0" name="image5.png"/>
                    <pic:cNvPicPr preferRelativeResize="0"/>
                  </pic:nvPicPr>
                  <pic:blipFill>
                    <a:blip r:embed="rId9"/>
                    <a:srcRect b="0" l="0" r="0" t="0"/>
                    <a:stretch>
                      <a:fillRect/>
                    </a:stretch>
                  </pic:blipFill>
                  <pic:spPr>
                    <a:xfrm>
                      <a:off x="0" y="0"/>
                      <a:ext cx="267335" cy="266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tab/>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508000</wp:posOffset>
                </wp:positionH>
                <wp:positionV relativeFrom="paragraph">
                  <wp:posOffset>635</wp:posOffset>
                </wp:positionV>
                <wp:extent cx="629285" cy="370840"/>
                <wp:wrapSquare wrapText="bothSides" distB="0" distT="0" distL="114300" distR="114300"/>
                <wp:docPr id="1" name=""/>
                <a:graphic>
                  <a:graphicData uri="http://schemas.microsoft.com/office/word/2010/wordprocessingGroup">
                    <wpg:wgp>
                      <wpg:cNvGrpSpPr>
                        <a:grpSpLocks/>
                      </wpg:cNvGrpSpPr>
                      <wpg:cNvPr id="8" name="Группа 8"/>
                      <wpg:grpSpPr>
                        <a:xfrm>
                          <a:off x="0" y="0"/>
                          <a:ext cx="629285" cy="370840"/>
                          <a:chOff x="0" y="47625"/>
                          <a:chExt cx="847725" cy="491490"/>
                        </a:xfrm>
                      </wpg:grpSpPr>
                      <pic:pic>
                        <pic:nvPicPr>
                          <pic:cNvPr id="105" name="Рисунок 105"/>
                          <pic:cNvPicPr>
                            <a:picLocks noChangeAspect="1"/>
                          </pic:cNvPicPr>
                        </pic:nvPicPr>
                        <pic:blipFill>
                          <a:blip cstate="print" r:embed="rId1">
                            <a:extLst>
                              <a:ext uri="{28A0092B-C50C-407E-A947-70E740481C1C}"/>
                            </a:extLst>
                          </a:blip>
                          <a:srcRect/>
                          <a:stretch>
                            <a:fillRect/>
                          </a:stretch>
                        </pic:blipFill>
                        <pic:spPr bwMode="auto">
                          <a:xfrm>
                            <a:off x="0" y="47625"/>
                            <a:ext cx="438149" cy="381000"/>
                          </a:xfrm>
                          <a:prstGeom prst="rect">
                            <a:avLst/>
                          </a:prstGeom>
                          <a:noFill/>
                          <a:ln>
                            <a:noFill/>
                          </a:ln>
                        </pic:spPr>
                      </pic:pic>
                      <pic:pic>
                        <pic:nvPicPr>
                          <pic:cNvPr id="2" name="Рисунок 2"/>
                          <pic:cNvPicPr>
                            <a:picLocks noChangeAspect="1"/>
                          </pic:cNvPicPr>
                        </pic:nvPicPr>
                        <pic:blipFill>
                          <a:blip cstate="print" r:embed="rId2">
                            <a:extLst>
                              <a:ext uri="{28A0092B-C50C-407E-A947-70E740481C1C}"/>
                            </a:extLst>
                          </a:blip>
                          <a:srcRect/>
                          <a:stretch>
                            <a:fillRect/>
                          </a:stretch>
                        </pic:blipFill>
                        <pic:spPr bwMode="auto">
                          <a:xfrm>
                            <a:off x="438150" y="57150"/>
                            <a:ext cx="409575" cy="48196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635</wp:posOffset>
                </wp:positionV>
                <wp:extent cx="629285" cy="37084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9285" cy="370840"/>
                        </a:xfrm>
                        <a:prstGeom prst="rect"/>
                        <a:ln/>
                      </pic:spPr>
                    </pic:pic>
                  </a:graphicData>
                </a:graphic>
              </wp:anchor>
            </w:drawing>
          </mc:Fallback>
        </mc:AlternateConten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567" w:top="567" w:left="1134" w:right="70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