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40254" w14:textId="55018005" w:rsidR="001A1A68" w:rsidRDefault="00964B45">
      <w:r>
        <w:t>Comité d’octroi d’agrément</w:t>
      </w:r>
    </w:p>
    <w:p w14:paraId="4DA531C3" w14:textId="77777777" w:rsidR="00964B45" w:rsidRDefault="00964B45"/>
    <w:p w14:paraId="3526AEED" w14:textId="77777777" w:rsidR="00964B45" w:rsidRDefault="00964B45"/>
    <w:sectPr w:rsidR="00964B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45"/>
    <w:rsid w:val="001A1A68"/>
    <w:rsid w:val="00754E89"/>
    <w:rsid w:val="0096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CEB5"/>
  <w15:chartTrackingRefBased/>
  <w15:docId w15:val="{9271D9D7-B0DC-4BE9-BA45-578AB307D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de Paul MEGNIGBETO  [ Affaire Social ]</dc:creator>
  <cp:keywords/>
  <dc:description/>
  <cp:lastModifiedBy>Vincent de Paul MEGNIGBETO  [ Affaire Social ]</cp:lastModifiedBy>
  <cp:revision>1</cp:revision>
  <dcterms:created xsi:type="dcterms:W3CDTF">2023-09-06T10:54:00Z</dcterms:created>
  <dcterms:modified xsi:type="dcterms:W3CDTF">2023-09-06T10:56:00Z</dcterms:modified>
</cp:coreProperties>
</file>