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01586B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01586B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01586B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01586B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01586B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586B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01586B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586B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586B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01586B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586B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586B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01586B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01586B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01586B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01586B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01586B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1586B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01586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01586B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01586B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01586B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01586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01586B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1586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01586B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01586B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1586B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01586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01586B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1586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1586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01586B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1586B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1586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1586B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01586B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01586B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01586B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01586B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01586B" w:rsidTr="0001586B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01586B" w:rsidTr="0001586B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01586B" w:rsidTr="0001586B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01586B" w:rsidTr="0001586B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01586B" w:rsidTr="0001586B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01586B" w:rsidTr="0001586B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01586B" w:rsidRDefault="0001586B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01586B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01586B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01586B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01586B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01586B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01586B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01586B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01586B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01586B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01586B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01586B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01586B" w:rsidTr="0001586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01586B" w:rsidTr="0001586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01586B" w:rsidTr="0001586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01586B" w:rsidTr="0001586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01586B" w:rsidRDefault="0001586B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01586B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01586B">
        <w:rPr>
          <w:rFonts w:ascii="Cordia New" w:hAnsi="Cordia New"/>
          <w:sz w:val="28"/>
          <w:highlight w:val="yellow"/>
          <w:cs/>
        </w:rPr>
        <w:t>3</w:t>
      </w:r>
      <w:r w:rsidR="0001586B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01586B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01586B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1586B" w:rsidTr="0001586B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01586B" w:rsidRDefault="0001586B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01586B" w:rsidRDefault="0001586B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01586B" w:rsidRDefault="0001586B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01586B" w:rsidRDefault="0001586B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01586B" w:rsidRDefault="0001586B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01586B" w:rsidTr="0001586B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01586B" w:rsidRDefault="0001586B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01586B" w:rsidRDefault="0001586B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01586B" w:rsidRDefault="0001586B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01586B" w:rsidRDefault="0001586B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01586B" w:rsidRDefault="0001586B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1586B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1586B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1586B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lastRenderedPageBreak/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01586B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01586B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01586B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01586B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86B" w:rsidRDefault="0001586B">
      <w:r>
        <w:separator/>
      </w:r>
    </w:p>
  </w:endnote>
  <w:endnote w:type="continuationSeparator" w:id="0">
    <w:p w:rsidR="0001586B" w:rsidRDefault="0001586B">
      <w:r>
        <w:continuationSeparator/>
      </w:r>
    </w:p>
  </w:endnote>
  <w:endnote w:type="continuationNotice" w:id="1">
    <w:p w:rsidR="0001586B" w:rsidRDefault="000158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28C2E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1586B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1586B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93F388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01586B">
      <w:rPr>
        <w:rFonts w:ascii="Browallia New" w:hAnsi="Browallia New" w:cs="Browallia New"/>
        <w:b/>
        <w:bCs/>
        <w:noProof/>
        <w:sz w:val="26"/>
        <w:szCs w:val="26"/>
      </w:rPr>
      <w:t>8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01586B">
      <w:rPr>
        <w:rFonts w:ascii="Browallia New" w:hAnsi="Browallia New" w:cs="Browallia New"/>
        <w:b/>
        <w:bCs/>
        <w:noProof/>
        <w:sz w:val="26"/>
        <w:szCs w:val="26"/>
      </w:rPr>
      <w:t>9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86B" w:rsidRDefault="0001586B">
      <w:r>
        <w:separator/>
      </w:r>
    </w:p>
  </w:footnote>
  <w:footnote w:type="continuationSeparator" w:id="0">
    <w:p w:rsidR="0001586B" w:rsidRDefault="0001586B">
      <w:r>
        <w:continuationSeparator/>
      </w:r>
    </w:p>
  </w:footnote>
  <w:footnote w:type="continuationNotice" w:id="1">
    <w:p w:rsidR="0001586B" w:rsidRDefault="000158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6B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86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9DD7BEF-6CE6-4C79-B36C-7CBC6746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A29BD-D24E-4A51-A3D7-394F0918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9</Pages>
  <Words>2561</Words>
  <Characters>14598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2017-07-19T04:03:00Z</dcterms:created>
  <dcterms:modified xsi:type="dcterms:W3CDTF">2017-07-19T04:03:00Z</dcterms:modified>
</cp:coreProperties>
</file>