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4201BD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4201BD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>มาตั้งแต่ปี 2548 ตามมาตรฐาน</w:t>
            </w:r>
            <w:r>
              <w:rPr>
                <w:rFonts w:asciiTheme="minorBidi" w:hAnsiTheme="minorBidi" w:cs="Cordia New"/>
                <w:sz w:val="28"/>
                <w:cs/>
              </w:rPr>
              <w:br/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>มาตั้งแต่ปี 2548 ตามมาตรฐาน</w:t>
            </w:r>
            <w:r>
              <w:rPr>
                <w:rFonts w:asciiTheme="minorBidi" w:hAnsiTheme="minorBidi" w:cs="Cordia New"/>
                <w:sz w:val="28"/>
                <w:cs/>
              </w:rPr>
              <w:br/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มาตั้งแต่ปี </w:t>
            </w:r>
            <w:r>
              <w:rPr>
                <w:rFonts w:asciiTheme="minorBidi" w:hAnsiTheme="minorBidi" w:cs="Cordia New"/>
                <w:sz w:val="28"/>
              </w:rPr>
              <w:t>2548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ตามมาตรฐาน</w:t>
            </w:r>
            <w:r>
              <w:rPr>
                <w:rFonts w:asciiTheme="minorBidi" w:hAnsiTheme="minorBidi" w:cs="Cordia New"/>
                <w:sz w:val="28"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มาตั้งแต่ปี </w:t>
            </w:r>
            <w:r>
              <w:rPr>
                <w:rFonts w:asciiTheme="minorBidi" w:hAnsiTheme="minorBidi" w:cs="Cordia New"/>
                <w:sz w:val="28"/>
              </w:rPr>
              <w:t>2548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ตามมาตรฐาน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4201B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มาตั้งแต่ปี 2548 ตามมาตรฐาน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proofErr w:type="gramStart"/>
      <w:r w:rsidRPr="001F6BA4">
        <w:rPr>
          <w:rFonts w:ascii="Cordia New" w:hAnsi="Cordia New"/>
          <w:sz w:val="28"/>
        </w:rPr>
        <w:t>patrolling</w:t>
      </w:r>
      <w:proofErr w:type="gramEnd"/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4201BD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1648460"/>
            <wp:effectExtent l="0" t="0" r="254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4201BD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lastRenderedPageBreak/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4201BD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4201BD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4201BD" w:rsidTr="004201B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4201BD" w:rsidTr="004201B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201BD" w:rsidTr="004201B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201BD" w:rsidTr="004201B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201BD" w:rsidTr="004201B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5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201BD" w:rsidTr="004201B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201BD" w:rsidRDefault="004201B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4201BD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4201BD">
        <w:rPr>
          <w:rFonts w:ascii="Cordia New" w:hAnsi="Cordia New"/>
          <w:sz w:val="28"/>
          <w:highlight w:val="green"/>
        </w:rPr>
        <w:t>RC</w:t>
      </w:r>
      <w:r w:rsidR="004201BD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4201BD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4201BD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4201BD">
        <w:rPr>
          <w:rFonts w:ascii="Cordia New" w:hAnsi="Cordia New"/>
          <w:sz w:val="28"/>
          <w:highlight w:val="green"/>
        </w:rPr>
        <w:t>RC</w:t>
      </w:r>
      <w:r w:rsidR="004201BD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4201BD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4201BD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4201BD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4201BD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4201BD" w:rsidTr="004201B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201BD" w:rsidRDefault="004201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4201BD" w:rsidRDefault="004201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4201BD" w:rsidRDefault="004201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4201BD" w:rsidRDefault="004201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201BD" w:rsidTr="004201B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201BD" w:rsidRDefault="004201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4201BD" w:rsidRDefault="004201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4201BD" w:rsidRDefault="004201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4201BD" w:rsidRDefault="004201BD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4201BD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lastRenderedPageBreak/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4201BD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4201BD">
        <w:rPr>
          <w:rFonts w:ascii="Cordia New" w:hAnsi="Cordia New"/>
          <w:sz w:val="28"/>
          <w:highlight w:val="yellow"/>
        </w:rPr>
        <w:t>RC</w:t>
      </w:r>
      <w:r w:rsidR="004201BD">
        <w:rPr>
          <w:rFonts w:ascii="Cordia New" w:hAnsi="Cordia New"/>
          <w:sz w:val="28"/>
          <w:highlight w:val="yellow"/>
          <w:cs/>
        </w:rPr>
        <w:t xml:space="preserve">650 </w:t>
      </w:r>
      <w:r w:rsidR="004201BD">
        <w:rPr>
          <w:rFonts w:ascii="Cordia New" w:hAnsi="Cordia New"/>
          <w:sz w:val="28"/>
          <w:highlight w:val="yellow"/>
        </w:rPr>
        <w:t xml:space="preserve">KP </w:t>
      </w:r>
      <w:r w:rsidR="004201BD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4201BD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</w:t>
      </w:r>
      <w:r w:rsidRPr="00495716">
        <w:rPr>
          <w:rFonts w:ascii="Cordia New" w:hAnsi="Cordia New" w:cs="Cordia New"/>
          <w:sz w:val="28"/>
          <w:cs/>
        </w:rPr>
        <w:lastRenderedPageBreak/>
        <w:t>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</w:t>
      </w:r>
      <w:r w:rsidRPr="00725895">
        <w:rPr>
          <w:rFonts w:ascii="Cordia New" w:hAnsi="Cordia New" w:cs="Cordia New"/>
          <w:sz w:val="28"/>
          <w:cs/>
        </w:rPr>
        <w:lastRenderedPageBreak/>
        <w:t>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lastRenderedPageBreak/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lastRenderedPageBreak/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1BD" w:rsidRDefault="004201BD">
      <w:r>
        <w:separator/>
      </w:r>
    </w:p>
  </w:endnote>
  <w:endnote w:type="continuationSeparator" w:id="0">
    <w:p w:rsidR="004201BD" w:rsidRDefault="004201BD">
      <w:r>
        <w:continuationSeparator/>
      </w:r>
    </w:p>
  </w:endnote>
  <w:endnote w:type="continuationNotice" w:id="1">
    <w:p w:rsidR="004201BD" w:rsidRDefault="004201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BD" w:rsidRDefault="004201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20702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201B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201B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BD" w:rsidRDefault="004201B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3AA2D4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4201BD">
      <w:rPr>
        <w:rFonts w:ascii="Browallia New" w:hAnsi="Browallia New" w:cs="Browallia New"/>
        <w:b/>
        <w:bCs/>
        <w:noProof/>
        <w:sz w:val="26"/>
        <w:szCs w:val="26"/>
      </w:rPr>
      <w:t>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4201BD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1BD" w:rsidRDefault="004201BD">
      <w:r>
        <w:separator/>
      </w:r>
    </w:p>
  </w:footnote>
  <w:footnote w:type="continuationSeparator" w:id="0">
    <w:p w:rsidR="004201BD" w:rsidRDefault="004201BD">
      <w:r>
        <w:continuationSeparator/>
      </w:r>
    </w:p>
  </w:footnote>
  <w:footnote w:type="continuationNotice" w:id="1">
    <w:p w:rsidR="004201BD" w:rsidRDefault="004201B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BD" w:rsidRDefault="004201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BD" w:rsidRDefault="004201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BD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1BD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27BCFB-9126-434D-9FFD-C636581F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498F2-C214-4F96-B88B-5A276F37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1</TotalTime>
  <Pages>17</Pages>
  <Words>2766</Words>
  <Characters>15771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2017-07-23T07:58:00Z</dcterms:created>
  <dcterms:modified xsi:type="dcterms:W3CDTF">2017-07-23T07:59:00Z</dcterms:modified>
</cp:coreProperties>
</file>