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Document fictif créé pour la formation IA Triskell × AI Makers. Aucune donnée réelle.</w:t>
      </w:r>
    </w:p>
    <w:p>
      <w:pPr>
        <w:pStyle w:val="Title"/>
      </w:pPr>
      <w:r>
        <w:t>Groupe Hélianthe Industrie</w:t>
      </w:r>
    </w:p>
    <w:p>
      <w:pPr>
        <w:pStyle w:val="Heading1"/>
      </w:pPr>
      <w:r>
        <w:t>Consultation n° HI-2026-014 — Solution de gestion de portefeuille de projets (PPM)</w:t>
      </w:r>
    </w:p>
    <w:p>
      <w:r>
        <w:t>Cahier des charges — Date limite de remise des offres : vendredi 13 novembre 2026, 12h00.</w:t>
      </w:r>
    </w:p>
    <w:p>
      <w:pPr>
        <w:pStyle w:val="Heading2"/>
      </w:pPr>
      <w:r>
        <w:t>Page 1 — Contexte</w:t>
      </w:r>
    </w:p>
    <w:p>
      <w:r>
        <w:t>Le Groupe Hélianthe Industrie (4 sites en France, 2 en Espagne, 1 800 collaborateurs) pilote aujourd'hui environ 140 projets par an sur des fichiers Excel et un outil interne vieillissant.</w:t>
      </w:r>
    </w:p>
    <w:p>
      <w:r>
        <w:t>La direction de la transformation souhaite disposer d'une solution unique de gestion de portefeuille de projets d'ici le 1er avril 2027.</w:t>
      </w:r>
    </w:p>
    <w:p>
      <w:r>
        <w:t>Environ 60 chefs de projet, 15 directeurs de programme et le comité de direction utiliseront la solution.</w:t>
      </w:r>
    </w:p>
    <w:p>
      <w:r>
        <w:br w:type="page"/>
      </w:r>
    </w:p>
    <w:p>
      <w:pPr>
        <w:pStyle w:val="Heading2"/>
      </w:pPr>
      <w:r>
        <w:t>Page 2 — Périmètre fonctionnel</w:t>
      </w:r>
    </w:p>
    <w:p>
      <w:r>
        <w:t>EX-01 (obligatoire) : La solution doit permettre de centraliser l'ensemble des demandes de projets avec un circuit de validation paramétrable.</w:t>
      </w:r>
    </w:p>
    <w:p>
      <w:r>
        <w:t>EX-02 (obligatoire) : La solution doit permettre de prioriser les projets selon des critères pondérés définis par le client (valeur, risque, alignement stratégique).</w:t>
      </w:r>
    </w:p>
    <w:p>
      <w:r>
        <w:t>EX-03 (obligatoire) : La solution doit offrir une vue consolidée du portefeuille : budget, avancement, risques, par direction et par site.</w:t>
      </w:r>
    </w:p>
    <w:p>
      <w:r>
        <w:t>EX-04 (souhaité) : Une simulation de scénarios de portefeuille (arbitrage entre projets) est souhaitée.</w:t>
      </w:r>
    </w:p>
    <w:p>
      <w:r>
        <w:t>EX-05 (obligatoire) : La gestion des ressources doit permettre de visualiser la charge et la capacité par compétence.</w:t>
      </w:r>
    </w:p>
    <w:p>
      <w:r>
        <w:t>EX-06 (souhaité) : La saisie des temps par les collaborateurs est souhaitée, avec validation par le manager.</w:t>
      </w:r>
    </w:p>
    <w:p>
      <w:r>
        <w:br w:type="page"/>
      </w:r>
    </w:p>
    <w:p>
      <w:pPr>
        <w:pStyle w:val="Heading2"/>
      </w:pPr>
      <w:r>
        <w:t>Page 3 — Suivi financier</w:t>
      </w:r>
    </w:p>
    <w:p>
      <w:r>
        <w:t>EX-07 (obligatoire) : Suivi des budgets prévus, engagés et réalisés, par projet et par exercice.</w:t>
      </w:r>
    </w:p>
    <w:p>
      <w:r>
        <w:t>EX-08 (obligatoire) : Gestion multi-devises (euro, et dollar américain pour deux projets).</w:t>
      </w:r>
    </w:p>
    <w:p>
      <w:r>
        <w:t>EX-09 (souhaité) : Interface avec l'ERP financier du groupe (SAP S/4HANA) pour la remontée des coûts réels.</w:t>
      </w:r>
    </w:p>
    <w:p>
      <w:r>
        <w:t>EX-10 (obligatoire) : Export des données financières au format Excel.</w:t>
      </w:r>
    </w:p>
    <w:p>
      <w:r>
        <w:br w:type="page"/>
      </w:r>
    </w:p>
    <w:p>
      <w:pPr>
        <w:pStyle w:val="Heading2"/>
      </w:pPr>
      <w:r>
        <w:t>Page 4 — Reporting et pilotage</w:t>
      </w:r>
    </w:p>
    <w:p>
      <w:r>
        <w:t>EX-11 (obligatoire) : Tableaux de bord paramétrables par les utilisateurs, sans développement.</w:t>
      </w:r>
    </w:p>
    <w:p>
      <w:r>
        <w:t>EX-12 (obligatoire) : Génération automatique d'un rapport mensuel du portefeuille pour le comité de direction.</w:t>
      </w:r>
    </w:p>
    <w:p>
      <w:r>
        <w:t>EX-13 (souhaité) : Indicateurs de santé des projets (météo) calculés automatiquement.</w:t>
      </w:r>
    </w:p>
    <w:p>
      <w:r>
        <w:t>EX-14 (souhaité) : Fonctions d'aide à la rédaction ou d'analyse fondées sur l'intelligence artificielle, sous réserve de garanties sur la confidentialité des données.</w:t>
      </w:r>
    </w:p>
    <w:p>
      <w:r>
        <w:br w:type="page"/>
      </w:r>
    </w:p>
    <w:p>
      <w:pPr>
        <w:pStyle w:val="Heading2"/>
      </w:pPr>
      <w:r>
        <w:t>Page 5 — Exigences techniques et sécurité</w:t>
      </w:r>
    </w:p>
    <w:p>
      <w:r>
        <w:t>EX-15 (obligatoire) : Solution en mode SaaS, hébergée dans l'Union européenne.</w:t>
      </w:r>
    </w:p>
    <w:p>
      <w:r>
        <w:t>EX-16 (obligatoire) : Authentification unique (SSO) avec Microsoft Entra ID.</w:t>
      </w:r>
    </w:p>
    <w:p>
      <w:r>
        <w:t>EX-17 (obligatoire) : Gestion fine des droits d'accès par profil, par projet et par entité.</w:t>
      </w:r>
    </w:p>
    <w:p>
      <w:r>
        <w:t>EX-18 (obligatoire) : Conformité au RGPD, avec un accord de traitement des données signé.</w:t>
      </w:r>
    </w:p>
    <w:p>
      <w:r>
        <w:t>EX-19 (souhaité) : Certification ISO 27001 du prestataire ou de son hébergeur.</w:t>
      </w:r>
    </w:p>
    <w:p>
      <w:r>
        <w:t>EX-20 (obligatoire) : Disponibilité de la solution d'au moins 99,5 % par mois.</w:t>
      </w:r>
    </w:p>
    <w:p>
      <w:r>
        <w:t>EX-21 (souhaité) : API documentée permettant d'alimenter l'entrepôt de données du groupe.</w:t>
      </w:r>
    </w:p>
    <w:p>
      <w:r>
        <w:br w:type="page"/>
      </w:r>
    </w:p>
    <w:p>
      <w:pPr>
        <w:pStyle w:val="Heading2"/>
      </w:pPr>
      <w:r>
        <w:t>Page 6 — Déploiement et accompagnement</w:t>
      </w:r>
    </w:p>
    <w:p>
      <w:r>
        <w:t>EX-22 (obligatoire) : Un planning de déploiement détaillé, avec une mise en service sur un premier périmètre pilote au plus tard le 1er février 2027.</w:t>
      </w:r>
    </w:p>
    <w:p>
      <w:r>
        <w:t>EX-23 (obligatoire) : La reprise des données des projets en cours depuis les fichiers Excel existants.</w:t>
      </w:r>
    </w:p>
    <w:p>
      <w:r>
        <w:t>EX-24 (obligatoire) : Une formation des administrateurs et des chefs de projet, en français et en espagnol.</w:t>
      </w:r>
    </w:p>
    <w:p>
      <w:r>
        <w:t>EX-25 (souhaité) : Un support en français et en espagnol, joignable de 8h à 18h.</w:t>
      </w:r>
    </w:p>
    <w:p>
      <w:r>
        <w:t>EX-26 (obligatoire) : Un interlocuteur unique côté prestataire pendant toute la durée du déploiement.</w:t>
      </w:r>
    </w:p>
    <w:p>
      <w:r>
        <w:br w:type="page"/>
      </w:r>
    </w:p>
    <w:p>
      <w:pPr>
        <w:pStyle w:val="Heading2"/>
      </w:pPr>
      <w:r>
        <w:t>Page 7 — Modalités de réponse</w:t>
      </w:r>
    </w:p>
    <w:p>
      <w:r>
        <w:t>EX-27 (obligatoire) : La réponse doit comporter un mémoire technique de 30 pages maximum.</w:t>
      </w:r>
    </w:p>
    <w:p>
      <w:r>
        <w:t>EX-28 (obligatoire) : La réponse doit inclure une matrice de conformité reprenant chaque exigence numérotée.</w:t>
      </w:r>
    </w:p>
    <w:p>
      <w:r>
        <w:t>EX-29 (obligatoire) : La proposition financière doit distinguer les coûts de licence, de mise en œuvre et de maintenance sur 3 ans.</w:t>
      </w:r>
    </w:p>
    <w:p>
      <w:r>
        <w:t>EX-30 (souhaité) : Deux références clients dans l'industrie, de taille comparable, sont souhaitées.</w:t>
      </w:r>
    </w:p>
    <w:p>
      <w:r>
        <w:t>Critères de jugement : valeur technique 50 %, prix 35 %, qualité de l'accompagnement 15 %.</w:t>
      </w:r>
    </w:p>
    <w:p>
      <w:r>
        <w:t>Les questions des candidats sont recevables jusqu'au 30 octobre 2026, par écrit uniquement.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