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B91C1C"/>
        </w:rPr>
        <w:t>DOCUMENT FICTIF — créé pour la démonstration de la formation IA. Aucune donnée réelle.</w:t>
      </w:r>
    </w:p>
    <w:p>
      <w:pPr>
        <w:pStyle w:val="Title"/>
      </w:pPr>
      <w:r>
        <w:t>Base de réponses sécurité — Nova Software (fictif)</w:t>
      </w:r>
    </w:p>
    <w:p>
      <w:r>
        <w:t>Version validée par le RSSI le 15/06/2026. Réponses à réutiliser dans les questionnaires clients.</w:t>
      </w:r>
    </w:p>
    <w:p>
      <w:pPr>
        <w:pStyle w:val="Heading2"/>
      </w:pPr>
      <w:r>
        <w:t>1. Hébergement</w:t>
      </w:r>
    </w:p>
    <w:p>
      <w:r>
        <w:t>Les données sont hébergées chez un fournisseur cloud certifié ISO 27001, en France (région Paris), avec une réplication sur un second datacenter en France. Aucune donnée n'est stockée ni consultée hors de l'Union européenne.</w:t>
      </w:r>
    </w:p>
    <w:p>
      <w:pPr>
        <w:pStyle w:val="Heading2"/>
      </w:pPr>
      <w:r>
        <w:t>2. Certifications</w:t>
      </w:r>
    </w:p>
    <w:p>
      <w:r>
        <w:t>Nova Software est certifiée ISO 27001 depuis mai 2025, sur le périmètre « conception, développement, hébergement et support de la plateforme SaaS ». Un audit de surveillance a lieu chaque année. Nous ne disposons pas de rapport SOC 2.</w:t>
      </w:r>
    </w:p>
    <w:p>
      <w:pPr>
        <w:pStyle w:val="Heading2"/>
      </w:pPr>
      <w:r>
        <w:t>3. Chiffrement</w:t>
      </w:r>
    </w:p>
    <w:p>
      <w:r>
        <w:t>En transit : TLS 1.2 minimum, TLS 1.3 privilégié. Au repos : AES-256 pour les bases de données et les sauvegardes. Les clés sont gérées dans le service de gestion de clés du fournisseur cloud.</w:t>
      </w:r>
    </w:p>
    <w:p>
      <w:pPr>
        <w:pStyle w:val="Heading2"/>
      </w:pPr>
      <w:r>
        <w:t>4. Sauvegardes</w:t>
      </w:r>
    </w:p>
    <w:p>
      <w:r>
        <w:t>Sauvegardes complètes quotidiennes, conservées 30 jours, chiffrées et stockées dans un second datacenter. Un test de restauration est réalisé chaque trimestre. RPO : 24 heures. RTO : 8 heures.</w:t>
      </w:r>
    </w:p>
    <w:p>
      <w:pPr>
        <w:pStyle w:val="Heading2"/>
      </w:pPr>
      <w:r>
        <w:t>5. Disponibilité</w:t>
      </w:r>
    </w:p>
    <w:p>
      <w:r>
        <w:t>Engagement contractuel de disponibilité de 99,5 % par mois, hors maintenances planifiées annoncées 5 jours ouvrés à l'avance.</w:t>
      </w:r>
    </w:p>
    <w:p>
      <w:pPr>
        <w:pStyle w:val="Heading2"/>
      </w:pPr>
      <w:r>
        <w:t>6. Authentification</w:t>
      </w:r>
    </w:p>
    <w:p>
      <w:r>
        <w:t>SSO via SAML 2.0, compatible Microsoft Entra ID, Okta et Google Workspace. L'authentification multifacteur est disponible et peut être imposée par l'administrateur client.</w:t>
      </w:r>
    </w:p>
    <w:p>
      <w:pPr>
        <w:pStyle w:val="Heading2"/>
      </w:pPr>
      <w:r>
        <w:t>7. Gestion des accès internes</w:t>
      </w:r>
    </w:p>
    <w:p>
      <w:r>
        <w:t>Accès à la production limités selon le principe du moindre privilège, via bastion et MFA obligatoire. Revue des accès chaque trimestre par le RSSI. Accès retirés le jour du départ d'un collaborateur.</w:t>
      </w:r>
    </w:p>
    <w:p>
      <w:pPr>
        <w:pStyle w:val="Heading2"/>
      </w:pPr>
      <w:r>
        <w:t>8. Tests d'intrusion</w:t>
      </w:r>
    </w:p>
    <w:p>
      <w:r>
        <w:t>Test d'intrusion annuel réalisé par un cabinet externe indépendant ; le dernier date de mars 2026. Une synthèse peut être communiquée sous accord de confidentialité.</w:t>
      </w:r>
    </w:p>
    <w:p>
      <w:pPr>
        <w:pStyle w:val="Heading2"/>
      </w:pPr>
      <w:r>
        <w:t>9. RGPD</w:t>
      </w:r>
    </w:p>
    <w:p>
      <w:r>
        <w:t>Un DPO est désigné et joignable à dpo@nova-software.example. Un accord de sous-traitance (DPA) conforme à l'article 28 du RGPD est annexé au contrat. La liste des sous-traitants ultérieurs figure en annexe du DPA et est tenue à jour.</w:t>
      </w:r>
    </w:p>
    <w:p>
      <w:pPr>
        <w:pStyle w:val="Heading2"/>
      </w:pPr>
      <w:r>
        <w:t>10. Incidents de sécurité</w:t>
      </w:r>
    </w:p>
    <w:p>
      <w:r>
        <w:t>Procédure de gestion des incidents documentée. Notification du client dans un délai maximal de 48 heures après la détection d'un incident affectant ses données.</w:t>
      </w:r>
    </w:p>
    <w:p>
      <w:pPr>
        <w:pStyle w:val="Heading2"/>
      </w:pPr>
      <w:r>
        <w:t>11. Journalisation</w:t>
      </w:r>
    </w:p>
    <w:p>
      <w:r>
        <w:t>Les journaux d'accès et d'activité sont centralisés et conservés 12 mois.</w:t>
      </w:r>
    </w:p>
    <w:p>
      <w:pPr>
        <w:pStyle w:val="Heading2"/>
      </w:pPr>
      <w:r>
        <w:t>12. Développement sécurisé</w:t>
      </w:r>
    </w:p>
    <w:p>
      <w:r>
        <w:t>Revue de code systématique avant chaque mise en production, analyse automatique des dépendances et du code à chaque livraison, formation des développeurs aux risques OWASP Top 10.</w:t>
      </w:r>
    </w:p>
    <w:p>
      <w:pPr>
        <w:pStyle w:val="Heading2"/>
      </w:pPr>
      <w:r>
        <w:t>13. Réversibilité</w:t>
      </w:r>
    </w:p>
    <w:p>
      <w:r>
        <w:t>Export complet des données à tout moment dans des formats ouverts (CSV, JSON). En fin de contrat, les données sont supprimées sous 30 jours, avec attestation de suppression sur demande.</w:t>
      </w:r>
    </w:p>
    <w:p>
      <w:pPr>
        <w:pStyle w:val="Heading2"/>
      </w:pPr>
      <w:r>
        <w:t>14. Continuité d'activité</w:t>
      </w:r>
    </w:p>
    <w:p>
      <w:r>
        <w:t>Plan de continuité et de reprise d'activité documenté, testé une fois par an ; dernier test en avril 2026.</w:t>
      </w:r>
    </w:p>
    <w:p>
      <w:pPr>
        <w:pStyle w:val="Heading2"/>
      </w:pPr>
      <w:r>
        <w:t>15. Sensibilisation du personnel</w:t>
      </w:r>
    </w:p>
    <w:p>
      <w:r>
        <w:t>Chaque collaborateur signe la charte de sécurité à son arrivée et suit une sensibilisation annuelle, complétée par des campagnes de faux hameçonnage.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