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B91C1C"/>
        </w:rPr>
        <w:t>DOCUMENT FICTIF — créé pour la démonstration de la formation IA. Aucune donnée réelle.</w:t>
      </w:r>
    </w:p>
    <w:p>
      <w:pPr>
        <w:pStyle w:val="Title"/>
      </w:pPr>
      <w:r>
        <w:t>Note interne CSM — Compte Groupe Alpha Industrie</w:t>
      </w:r>
    </w:p>
    <w:p>
      <w:r>
        <w:t>Rédigée par Sarah Benali le 1er octobre 2026 · Usage interne</w:t>
      </w:r>
    </w:p>
    <w:p>
      <w:pPr>
        <w:pStyle w:val="Heading2"/>
      </w:pPr>
      <w:r>
        <w:t>Niveau de risque sur le renouvellement</w:t>
      </w:r>
    </w:p>
    <w:p>
      <w:r>
        <w:t>Moyen à élevé. La sponsor (Claire Martin) reste positive, mais le responsable PMO (Julien Roche) est irrité par les lenteurs du reporting et a évoqué la concurrence par écrit le 22/09.</w:t>
      </w:r>
    </w:p>
    <w:p>
      <w:pPr>
        <w:pStyle w:val="Heading2"/>
      </w:pPr>
      <w:r>
        <w:t>Leviers</w:t>
      </w:r>
    </w:p>
    <w:p>
      <w:r>
        <w:t>Livraison du correctif performance (v8.4, 20/10) avec une démonstration dédiée à Julien Roche ; option de formation demandée par Claire Martin ; chiffrage du connecteur ERP, qui renforcerait l'ancrage de la solution.</w:t>
      </w:r>
    </w:p>
    <w:p>
      <w:pPr>
        <w:pStyle w:val="Heading2"/>
      </w:pPr>
      <w:r>
        <w:t>Opportunité</w:t>
      </w:r>
    </w:p>
    <w:p>
      <w:r>
        <w:t>Le module de gestion des ressources intéresse l'équipe PMO : à proposer en option dans le renouvellement.</w:t>
      </w:r>
    </w:p>
    <w:p>
      <w:pPr>
        <w:pStyle w:val="Heading2"/>
      </w:pPr>
      <w:r>
        <w:t>Actions</w:t>
      </w:r>
    </w:p>
    <w:p>
      <w:r>
        <w:t>1) Démo du correctif à Julien Roche dès la recette. 2) Envoyer la proposition de renouvellement avant le comité du 15/10. 3) Préparer un plan d'adoption pour passer de 60 % à 80 % d'utilisateurs actifs.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