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48" w:name="capital-de-solvabilité-requis"/>
    <w:p>
      <w:pPr>
        <w:pStyle w:val="Heading2"/>
      </w:pPr>
      <w:r>
        <w:t xml:space="preserve">1 Capital de Solvabilité Requis :</w:t>
      </w:r>
    </w:p>
    <w:p>
      <w:pPr>
        <w:pStyle w:val="FirstParagraph"/>
      </w:pPr>
      <w:r>
        <w:t xml:space="preserve">Le Capital de Solvabilité Requis (CSR) est une notion très importante dans les domaines d’assurance et de réassurance, il permet la garantie de tous les risques quantifiables auxquels les entreprises de ces domaines sont exposés. Le CSR correspond au capital dont a besoin une entreprise d’assurance ou de réassurance pour faire face à tous les risques qui peuvent survenir dans le futur et limiter la probabilité de ruine à 0,5%, c’est-à-dire à une seule occurrence tous les 200 ans.</w:t>
      </w:r>
    </w:p>
    <w:p>
      <w:pPr>
        <w:pStyle w:val="BodyText"/>
      </w:pPr>
      <w:r>
        <w:t xml:space="preserve">Commençons d’abord par la définition des différents risques dans les secteurs d’assurance et de réassurance :</w:t>
      </w:r>
    </w:p>
    <w:p>
      <w:pPr>
        <w:numPr>
          <w:ilvl w:val="0"/>
          <w:numId w:val="1001"/>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01"/>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01"/>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01"/>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01"/>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01"/>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02"/>
        </w:numPr>
      </w:pPr>
      <w:r>
        <w:t xml:space="preserve">Le capital de solvabilité requis de base.</w:t>
      </w:r>
    </w:p>
    <w:p>
      <w:pPr>
        <w:numPr>
          <w:ilvl w:val="0"/>
          <w:numId w:val="1002"/>
        </w:numPr>
      </w:pPr>
      <w:r>
        <w:t xml:space="preserve">L’exigence de capital relative au risque opérationnel.</w:t>
      </w:r>
    </w:p>
    <w:p>
      <w:pPr>
        <w:numPr>
          <w:ilvl w:val="0"/>
          <w:numId w:val="1002"/>
        </w:numPr>
      </w:pPr>
      <w:r>
        <w:t xml:space="preserve">L’ajustement visant à tenir compte de la capacité d’absorption des pertes par les assurés.</w:t>
      </w:r>
    </w:p>
    <w:p>
      <w:pPr>
        <w:numPr>
          <w:ilvl w:val="0"/>
          <w:numId w:val="1002"/>
        </w:numPr>
      </w:pPr>
      <w:r>
        <w:t xml:space="preserve">L’ajustement visant à tenir compte de la capacité d’absorption des pertes par les impôts différés.</w:t>
      </w:r>
    </w:p>
    <w:p>
      <w:pPr>
        <w:pStyle w:val="FirstParagraph"/>
      </w:pPr>
      <m:oMathPara>
        <m:oMathParaPr>
          <m:jc m:val="center"/>
        </m:oMathParaPr>
        <m:oMath>
          <m:r>
            <m:t>C</m:t>
          </m:r>
          <m:r>
            <m:t>S</m:t>
          </m:r>
          <m:r>
            <m:t>R</m:t>
          </m:r>
          <m:r>
            <m:rPr>
              <m:sty m:val="p"/>
            </m:rPr>
            <m:t>=</m:t>
          </m:r>
          <m:r>
            <m:t>C</m:t>
          </m:r>
          <m:r>
            <m:t>S</m:t>
          </m:r>
          <m:sSub>
            <m:e>
              <m:r>
                <m:t>R</m:t>
              </m:r>
            </m:e>
            <m:sub>
              <m:r>
                <m:t>b</m:t>
              </m:r>
              <m:r>
                <m:t>a</m:t>
              </m:r>
              <m:r>
                <m:t>s</m:t>
              </m:r>
              <m:r>
                <m:t>e</m:t>
              </m:r>
            </m:sub>
          </m:sSub>
          <m:r>
            <m:rPr>
              <m:sty m:val="p"/>
            </m:rPr>
            <m:t>+</m:t>
          </m:r>
          <m:r>
            <m:t>C</m:t>
          </m:r>
          <m:r>
            <m:t>S</m:t>
          </m:r>
          <m:sSub>
            <m:e>
              <m:r>
                <m:t>R</m:t>
              </m:r>
            </m:e>
            <m:sub>
              <m:r>
                <m:t>o</m:t>
              </m:r>
              <m:r>
                <m:t>p</m:t>
              </m:r>
              <m:r>
                <m:t>é</m:t>
              </m:r>
              <m:r>
                <m:t>r</m:t>
              </m:r>
              <m:r>
                <m:t>a</m:t>
              </m:r>
              <m:r>
                <m:t>t</m:t>
              </m:r>
              <m:r>
                <m:t>i</m:t>
              </m:r>
              <m:r>
                <m:t>o</m:t>
              </m:r>
              <m:r>
                <m:t>n</m:t>
              </m:r>
              <m:r>
                <m:t>n</m:t>
              </m:r>
              <m:r>
                <m:t>e</m:t>
              </m:r>
              <m:r>
                <m:t>l</m:t>
              </m:r>
            </m:sub>
          </m:sSub>
          <m:r>
            <m:rPr>
              <m:sty m:val="p"/>
            </m:rPr>
            <m:t>+</m:t>
          </m:r>
          <m:r>
            <m:t>A</m:t>
          </m:r>
          <m:r>
            <m:t>d</m:t>
          </m:r>
          <m:r>
            <m:t>j</m:t>
          </m:r>
        </m:oMath>
      </m:oMathPara>
    </w:p>
    <w:bookmarkStart w:id="40" w:name="X8b89129f00e23abf7e0dc64742a1933841bd13f"/>
    <w:p>
      <w:pPr>
        <w:pStyle w:val="Heading3"/>
      </w:pPr>
      <w:r>
        <w:t xml:space="preserve">1.1 Le capital de solvabilité requis de base</w:t>
      </w:r>
      <w:r>
        <w:t xml:space="preserve"> </w:t>
      </w:r>
      <m:oMath>
        <m:r>
          <m:t>C</m:t>
        </m:r>
        <m:r>
          <m:t>S</m:t>
        </m:r>
        <m:sSub>
          <m:e>
            <m:r>
              <m:t>R</m:t>
            </m:r>
          </m:e>
          <m:sub>
            <m:r>
              <m:t>b</m:t>
            </m:r>
            <m:r>
              <m:t>a</m:t>
            </m:r>
            <m:r>
              <m:t>s</m:t>
            </m:r>
            <m:r>
              <m:t>e</m:t>
            </m:r>
          </m:sub>
        </m:sSub>
      </m:oMath>
    </w:p>
    <w:p>
      <w:pPr>
        <w:pStyle w:val="FirstParagraph"/>
      </w:pPr>
      <w:r>
        <w:t xml:space="preserve">Le capital de solvabilité requis de base est le montant total des exigences de capitaux liées aux risques de</w:t>
      </w:r>
      <w:r>
        <w:t xml:space="preserve"> </w:t>
      </w:r>
      <w:r>
        <w:rPr>
          <w:bCs/>
          <w:b/>
        </w:rPr>
        <w:t xml:space="preserve">marché</w:t>
      </w:r>
      <w:r>
        <w:t xml:space="preserve">, de</w:t>
      </w:r>
      <w:r>
        <w:t xml:space="preserve"> </w:t>
      </w:r>
      <w:r>
        <w:rPr>
          <w:bCs/>
          <w:b/>
        </w:rPr>
        <w:t xml:space="preserve">concentration</w:t>
      </w:r>
      <w:r>
        <w:t xml:space="preserve">, de</w:t>
      </w:r>
      <w:r>
        <w:t xml:space="preserve"> </w:t>
      </w:r>
      <w:r>
        <w:rPr>
          <w:bCs/>
          <w:b/>
        </w:rPr>
        <w:t xml:space="preserve">contrepartie</w:t>
      </w:r>
      <w:r>
        <w:t xml:space="preserve">, de</w:t>
      </w:r>
      <w:r>
        <w:t xml:space="preserve"> </w:t>
      </w:r>
      <w:r>
        <w:rPr>
          <w:bCs/>
          <w:b/>
        </w:rPr>
        <w:t xml:space="preserve">souscription vie</w:t>
      </w:r>
      <w:r>
        <w:t xml:space="preserve"> </w:t>
      </w:r>
      <w:r>
        <w:t xml:space="preserve">et de</w:t>
      </w:r>
      <w:r>
        <w:t xml:space="preserve"> </w:t>
      </w:r>
      <w:r>
        <w:rPr>
          <w:bCs/>
          <w:b/>
        </w:rPr>
        <w:t xml:space="preserve">souscription non-vie</w:t>
      </w:r>
      <w:r>
        <w:t xml:space="preserve"> </w:t>
      </w:r>
      <w:r>
        <w:t xml:space="preserve">et ce, après application des coefficients de corrélations.</w:t>
      </w:r>
    </w:p>
    <w:p>
      <w:pPr>
        <w:pStyle w:val="BodyText"/>
      </w:pPr>
      <w:r>
        <w:t xml:space="preserve">En d’autres termes, il s’agit du montant total des capitaux nécessaires pour faire face à ces divers types de risques. les exigences de capitaux sont évaluées individuellement pour chaque catégorie de risque, puis agrégées en appliquant les coefficients de corrélations, pour déterminer le capital de solvabilité requis de base. Cela permet aux compagnies d’assurance d’évaluer de manière précise les montants de capitaux nécessaires pour couvrir leurs risques spécifiques et d’assurer une solvabilité adéquate.</w:t>
      </w:r>
    </w:p>
    <w:p>
      <w:pPr>
        <w:pStyle w:val="BodyText"/>
      </w:pPr>
      <w:r>
        <w:t xml:space="preserve">Le capital de solvabilité requis de base peut être écrit mathématiquement comme suit:</w:t>
      </w:r>
    </w:p>
    <w:p>
      <w:pPr>
        <w:pStyle w:val="BodyText"/>
      </w:pPr>
      <m:oMathPara>
        <m:oMathParaPr>
          <m:jc m:val="center"/>
        </m:oMathParaPr>
        <m:oMath>
          <m:r>
            <m:t>C</m:t>
          </m:r>
          <m:r>
            <m:t>S</m:t>
          </m:r>
          <m:sSub>
            <m:e>
              <m:r>
                <m:t>R</m:t>
              </m:r>
            </m:e>
            <m:sub>
              <m:r>
                <m:t>b</m:t>
              </m:r>
              <m:r>
                <m:t>a</m:t>
              </m:r>
              <m:r>
                <m:t>s</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03"/>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03"/>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25" w:name="X7d0de4e6ff3ca13baeb836adc8c41f16eaa6dfb"/>
    <w:p>
      <w:pPr>
        <w:pStyle w:val="Heading4"/>
      </w:pPr>
      <w:r>
        <w:t xml:space="preserve">1.1.1 EXIGENCE DE CAPITAL RELATIVE AUX RISQUES DE MARCHE</w:t>
      </w:r>
      <w:r>
        <w:t xml:space="preserve"> </w:t>
      </w:r>
      <m:oMath>
        <m:r>
          <m:t>C</m:t>
        </m:r>
        <m:r>
          <m:t>S</m:t>
        </m:r>
        <m:sSub>
          <m:e>
            <m:r>
              <m:t>R</m:t>
            </m:r>
          </m:e>
          <m:sub>
            <m:r>
              <m:t>m</m:t>
            </m:r>
            <m:r>
              <m:t>a</m:t>
            </m:r>
            <m:r>
              <m:t>r</m:t>
            </m:r>
            <m:r>
              <m:t>c</m:t>
            </m:r>
            <m:r>
              <m:t>h</m:t>
            </m:r>
            <m:r>
              <m:t>e</m:t>
            </m:r>
          </m:sub>
        </m:sSub>
      </m:oMath>
    </w:p>
    <w:p>
      <w:pPr>
        <w:pStyle w:val="FirstParagraph"/>
      </w:pPr>
      <w:r>
        <w:t xml:space="preserve">Pour l’exigence de capital relative au risque de marché, il est important de prendre en compte plusieurs sous-risques telle que, les sous-risques action, taux, immobilier, écart de taux et change. Chacun de ces sous-risques présente des caractéristiques uniques et nécessite une évaluation distincte. Une fois que les exigences de capitaux sont déterminées pour chaque sous-risque, elles sont agrégées pour obtenir l’exigence de capital total relative au risque de marché et ce, après application des coefficients de corrélations appropriés, ce qui permet de tenir compte des interdépendances et des corrélations entre ces différents sous-risques.</w:t>
      </w:r>
    </w:p>
    <w:p>
      <w:pPr>
        <w:pStyle w:val="BodyText"/>
      </w:pPr>
      <w:r>
        <w:t xml:space="preserve">Mathématiquement l’exigence de capital relative au risque de marché peut être représentée comme suit</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04"/>
        </w:numPr>
      </w:pPr>
      <w:r>
        <w:t xml:space="preserve">RM</w:t>
      </w:r>
      <w:r>
        <w:t xml:space="preserve"> </w:t>
      </w:r>
      <m:oMath>
        <m:r>
          <m:rPr>
            <m:sty m:val="p"/>
          </m:rPr>
          <m:t>∈</m:t>
        </m:r>
      </m:oMath>
      <w:r>
        <w:t xml:space="preserve"> </w:t>
      </w:r>
      <w:r>
        <w:t xml:space="preserve">{action, taux, immobilier, écart de taux et change}</w:t>
      </w:r>
    </w:p>
    <w:p>
      <w:pPr>
        <w:numPr>
          <w:ilvl w:val="0"/>
          <w:numId w:val="1004"/>
        </w:numPr>
      </w:pPr>
      <m:oMath>
        <m:r>
          <m:t>ρ</m:t>
        </m:r>
      </m:oMath>
      <w:r>
        <w:t xml:space="preserve"> </w:t>
      </w:r>
      <w:r>
        <w:t xml:space="preserve">: Coefficients de corrélations.</w:t>
      </w:r>
    </w:p>
    <w:bookmarkStart w:id="20" w:name="X3cf8c7738901705451aeaf1bf62340f8a8e3146"/>
    <w:p>
      <w:pPr>
        <w:pStyle w:val="Heading5"/>
      </w:pPr>
      <w:r>
        <w:t xml:space="preserve">1.1.1.1 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Lorsqu’on parle de l’exigence de capital relative au risque action, il s’agit du montant de perte potentiel des fonds propres d’une institution financière résultant de baisses simultanées des valeurs des actions. Ce type de risque est lié à la volatilité et à la corrélation entre les différentes actions détenues dans le portefeuille d’action.</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20"/>
    <w:bookmarkStart w:id="21" w:name="X4731aa5458fe1c45bdb9bc7a63d0b9bdcef0af7"/>
    <w:p>
      <w:pPr>
        <w:pStyle w:val="Heading5"/>
      </w:pPr>
      <w:r>
        <w:t xml:space="preserve">1.1.1.2 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représente le montant estimé de la perte maximale en fonds propres subir en raison de variations à la baisse ou à la hausse des taux d’intérêt appliquées à l’ensemble de ses actifs et passifs.</w:t>
      </w:r>
    </w:p>
    <w:p>
      <w:pPr>
        <w:pStyle w:val="BodyText"/>
      </w:pPr>
      <w:r>
        <w:t xml:space="preserve">l’exigence de capital relative au risque de taux est une mesure essentielle pour évaluer et gérer les risques liés aux fluctuations des taux d’intérêt. Elle contribue à assurer la stabilité financière en prévoyant une réserve adéquate pour faire face aux pertes potentielles résultant de ces variations.</w:t>
      </w:r>
    </w:p>
    <w:p>
      <w:pPr>
        <w:pStyle w:val="BodyText"/>
      </w:pPr>
      <w:r>
        <w:t xml:space="preserve">La formule mathématique peut s’écrire comme suit:</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21"/>
    <w:bookmarkStart w:id="22" w:name="X40fb47ea19ba513da95205d89bb9da70a68e95c"/>
    <w:p>
      <w:pPr>
        <w:pStyle w:val="Heading5"/>
      </w:pPr>
      <w:r>
        <w:t xml:space="preserve">1.1.1.3 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w:r>
        <w:t xml:space="preserve">Cette exigence est établie pour évaluer les réserves financières nécessaires face à une potentielle baisse de valeur des biens immobiliers pour minimiser les risques.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22"/>
    <w:bookmarkStart w:id="23" w:name="Xcb1801a4512c3e12cd67f1e61cb85f876d23434"/>
    <w:p>
      <w:pPr>
        <w:pStyle w:val="Heading5"/>
      </w:pPr>
      <w:r>
        <w:t xml:space="preserve">1.1.1.4 L’exigence de capital relative au risque d’écart (</w:t>
      </w:r>
      <m:oMath>
        <m:r>
          <m:t>C</m:t>
        </m:r>
        <m:r>
          <m:t>S</m:t>
        </m:r>
        <m:sSub>
          <m:e>
            <m:r>
              <m:t>R</m:t>
            </m:r>
          </m:e>
          <m:sub>
            <m:r>
              <m:t>E</m:t>
            </m:r>
            <m:r>
              <m:t>c</m:t>
            </m:r>
            <m:r>
              <m:t>a</m:t>
            </m:r>
            <m:r>
              <m:t>r</m:t>
            </m:r>
            <m:r>
              <m:t>t</m:t>
            </m:r>
            <m:r>
              <m:t> </m:t>
            </m:r>
            <m:r>
              <m:t>t</m:t>
            </m:r>
            <m:r>
              <m:t>a</m:t>
            </m:r>
            <m:r>
              <m:t>u</m:t>
            </m:r>
            <m:r>
              <m:t>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23"/>
    <w:bookmarkStart w:id="24" w:name="X0b86f92798bd2d75800a724a913850a71127576"/>
    <w:p>
      <w:pPr>
        <w:pStyle w:val="Heading5"/>
      </w:pPr>
      <w:r>
        <w:t xml:space="preserve">1.1.1.5 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05"/>
        </w:numPr>
        <w:pStyle w:val="Compact"/>
      </w:pPr>
      <w:r>
        <w:t xml:space="preserve">l’exigence de capital pour risque d’augmentation de la valeur de la devise étrangère par rapport au dirham.</w:t>
      </w:r>
    </w:p>
    <w:p>
      <w:pPr>
        <w:numPr>
          <w:ilvl w:val="0"/>
          <w:numId w:val="1005"/>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24"/>
    <w:bookmarkEnd w:id="25"/>
    <w:bookmarkStart w:id="28" w:name="X9c0184a5ab36aa780ba8e9d38716205766fa364"/>
    <w:p>
      <w:pPr>
        <w:pStyle w:val="Heading4"/>
      </w:pPr>
      <w:r>
        <w:t xml:space="preserve">1.1.2 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26" w:name="X303ad4190ba297cc4664f228835544b0eb3361f"/>
    <w:p>
      <w:pPr>
        <w:pStyle w:val="Heading5"/>
      </w:pPr>
      <w:r>
        <w:t xml:space="preserve">1.1.2.1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06"/>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07"/>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07"/>
        </w:numPr>
      </w:pPr>
      <m:oMath>
        <m:r>
          <m:t>L</m:t>
        </m:r>
        <m:r>
          <m:t>G</m:t>
        </m:r>
        <m:sSub>
          <m:e>
            <m:r>
              <m:t>D</m:t>
            </m:r>
          </m:e>
          <m:sub>
            <m:r>
              <m:t>i</m:t>
            </m:r>
          </m:sub>
        </m:sSub>
      </m:oMath>
      <w:r>
        <w:t xml:space="preserve"> </w:t>
      </w:r>
      <w:r>
        <w:t xml:space="preserve">: la perte en cas de défaut du cessionnaire i ;</w:t>
      </w:r>
    </w:p>
    <w:p>
      <w:pPr>
        <w:numPr>
          <w:ilvl w:val="0"/>
          <w:numId w:val="1007"/>
        </w:numPr>
      </w:pPr>
      <m:oMath>
        <m:r>
          <m:rPr>
            <m:nor/>
            <m:sty m:val="p"/>
          </m:rPr>
          <m:t>Depot en espèces ou en valeur</m:t>
        </m:r>
      </m:oMath>
      <w:r>
        <w:t xml:space="preserve"> </w:t>
      </w:r>
      <w:r>
        <w:t xml:space="preserve">: le montant des dépôts en espèces ou en valeurs du cessionnaire i ;</w:t>
      </w:r>
    </w:p>
    <w:p>
      <w:pPr>
        <w:numPr>
          <w:ilvl w:val="0"/>
          <w:numId w:val="1007"/>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07"/>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07"/>
        </w:numPr>
      </w:pPr>
      <m:oMath>
        <m:r>
          <m:t>L</m:t>
        </m:r>
        <m:r>
          <m:t>G</m:t>
        </m:r>
        <m:sSub>
          <m:e>
            <m:r>
              <m:t>D</m:t>
            </m:r>
          </m:e>
          <m:sub>
            <m:r>
              <m:t>i</m:t>
            </m:r>
          </m:sub>
        </m:sSub>
      </m:oMath>
      <w:r>
        <w:t xml:space="preserve">: la perte en cas de défaut de la cédante i ;</w:t>
      </w:r>
    </w:p>
    <w:p>
      <w:pPr>
        <w:numPr>
          <w:ilvl w:val="0"/>
          <w:numId w:val="1007"/>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07"/>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07"/>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08"/>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08"/>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08"/>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26"/>
    <w:bookmarkStart w:id="27" w:name="Xde70ab66fad04d143ab07d5ec8525e6812bbe93"/>
    <w:p>
      <w:pPr>
        <w:pStyle w:val="Heading5"/>
      </w:pPr>
      <w:r>
        <w:t xml:space="preserve">1.1.2.2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09"/>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09"/>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09"/>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27"/>
    <w:bookmarkEnd w:id="28"/>
    <w:bookmarkStart w:id="29" w:name="Xac2a78756e1947e45e0b443464340ca4e07c6ed"/>
    <w:p>
      <w:pPr>
        <w:pStyle w:val="Heading4"/>
      </w:pPr>
      <w:r>
        <w:t xml:space="preserve">1.1.3 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w:t>
      </w:r>
    </w:p>
    <w:p>
      <w:pPr>
        <w:pStyle w:val="BodyText"/>
      </w:pPr>
      <w:r>
        <w:t xml:space="preserve">Lorsque des émetteurs appartenant à des groupes spécifiques présentent des liens étroits et partagent des caractéristiques similaires, une baisse de la valeur de leurs actifs peut avoir un impact très important. Par conséquent, il est essentiel de prendre en compte cette concentration de risques lors de l’évaluation des réserves de capital requises.</w:t>
      </w:r>
    </w:p>
    <w:p>
      <w:pPr>
        <w:pStyle w:val="BodyText"/>
      </w:pPr>
      <w:r>
        <w:t xml:space="preserve">Mathématiquement l’exigence de capital relative au risque de concentration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29"/>
    <w:bookmarkStart w:id="35" w:name="X8bdc5d6c520394ae1ab3fd8ff0e20bf39ae18c3"/>
    <w:p>
      <w:pPr>
        <w:pStyle w:val="Heading4"/>
      </w:pPr>
      <w:r>
        <w:t xml:space="preserve">1.1.4 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w:r>
        <w:t xml:space="preserve">Le sous-risque de mortalité concerne les pertes potentielles découlant de décès prématurés d’un assuré, tandis que le sous-risque de longévité se rapporte aux pertes potentielles résultant d’une durée de vie plus longue que prévue. Le sous-risque de rachat concerne les pertes potentielles liées aux retraits anticipés des contrats d’assurance-vie, aussi le sous-risque de frais porte sur les pertes potentielles engendrées par les coûts administratifs associés aux contrats. Et le sous-risque de catastrophe concerne les pertes potentielles résultant d’événements extrêmes tels que des catastrophes naturelles.</w:t>
      </w:r>
    </w:p>
    <w:p>
      <w:pPr>
        <w:pStyle w:val="BodyText"/>
      </w:pPr>
      <w:r>
        <w:t xml:space="preserve">L’exigence de capital relative au risque de souscription vie permet de tenir compte des interdépendances entre ces différents sous-risques par l’applications des coefficients des corrélations entre ces eux, et de quantifier les réserves financières nécessaires aux compagnies d’assurance pour faire face aux pertes potentielles résultant des variations des facteurs liés à la mortalité, à la longévité, aux rachats, aux frais et aux catastrophes.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30" w:name="X70ec578e7130a57a8c8842c95b63e70e295ba28"/>
    <w:p>
      <w:pPr>
        <w:pStyle w:val="Heading5"/>
      </w:pPr>
      <w:r>
        <w:t xml:space="preserve">1.1.4.1 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30"/>
    <w:bookmarkStart w:id="31" w:name="X92ef2d5d6d1f309ee4dc38a892eea4151c6a010"/>
    <w:p>
      <w:pPr>
        <w:pStyle w:val="Heading5"/>
      </w:pPr>
      <w:r>
        <w:t xml:space="preserve">1.1.4.2 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31"/>
    <w:bookmarkStart w:id="32" w:name="Xe142ffdc5761a23c812b30051e7ff3529769432"/>
    <w:p>
      <w:pPr>
        <w:pStyle w:val="Heading5"/>
      </w:pPr>
      <w:r>
        <w:t xml:space="preserve">1.1.4.3 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Commençons d’abord par la définition de quoi un rachaten assurance vie?</w:t>
      </w:r>
    </w:p>
    <w:p>
      <w:pPr>
        <w:pStyle w:val="BodyText"/>
      </w:pPr>
      <w:r>
        <w:t xml:space="preserve">un rachat en assurance vie est un retrait. L’épargne placée sur ce contrat est disponible : les fonds ne sont pas bloqués et les assures peuvent les récupérer intégralement, ou en partie, à tout moment. On distingue :</w:t>
      </w:r>
    </w:p>
    <w:p>
      <w:pPr>
        <w:pStyle w:val="BodyText"/>
      </w:pPr>
      <w:r>
        <w:t xml:space="preserve">•</w:t>
      </w:r>
      <w:r>
        <w:t xml:space="preserve"> </w:t>
      </w:r>
      <w:r>
        <w:rPr>
          <w:bCs/>
          <w:b/>
        </w:rPr>
        <w:t xml:space="preserve">Le rachat partiel</w:t>
      </w:r>
      <w:r>
        <w:t xml:space="preserve"> </w:t>
      </w:r>
      <w:r>
        <w:t xml:space="preserve">: les assures peuvent récupérer une fraction de la valeur du contrat – qui sera constituée d’une part de capital et d’une part d’intérêts capitalisés – s’ils ont par exemple besoin de liquidités pour un projet précis. Le rachat partiel permet de ne pas mettre un terme au contrat et de ne pas perdre l’antériorité fiscale.</w:t>
      </w:r>
    </w:p>
    <w:p>
      <w:pPr>
        <w:pStyle w:val="BodyText"/>
      </w:pPr>
      <w:r>
        <w:t xml:space="preserve">•</w:t>
      </w:r>
      <w:r>
        <w:t xml:space="preserve"> </w:t>
      </w:r>
      <w:r>
        <w:rPr>
          <w:bCs/>
          <w:b/>
        </w:rPr>
        <w:t xml:space="preserve">Le rachat total</w:t>
      </w:r>
      <w:r>
        <w:t xml:space="preserve"> </w:t>
      </w:r>
      <w:r>
        <w:t xml:space="preserve">: les assures peuvent récupérer l’intégralité de la valeur de rachat de leur assurance vie, et leur contrat prend fin, entrainant la perte de l’antériorité fiscale.</w:t>
      </w:r>
    </w:p>
    <w:p>
      <w:pPr>
        <w:pStyle w:val="BodyText"/>
      </w:pPr>
      <w:r>
        <w:t xml:space="preserve">L’exigence de capital pour risque de rachat est correspond au maximun entre les exigences de capitaux suivantes:</w:t>
      </w:r>
    </w:p>
    <w:p>
      <w:pPr>
        <w:numPr>
          <w:ilvl w:val="0"/>
          <w:numId w:val="1010"/>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11"/>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32"/>
    <w:bookmarkStart w:id="33" w:name="X2ad39c1112d69d7cc07addd7e09c4a1062144f3"/>
    <w:p>
      <w:pPr>
        <w:pStyle w:val="Heading5"/>
      </w:pPr>
      <w:r>
        <w:t xml:space="preserve">1.1.4.4 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12"/>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12"/>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chocé</m:t>
              </m:r>
            </m:sup>
          </m:sSubSup>
          <m:r>
            <m:rPr>
              <m:sty m:val="p"/>
            </m:rPr>
            <m:t>−</m:t>
          </m:r>
          <m:r>
            <m:t>B</m:t>
          </m:r>
          <m:sSub>
            <m:e>
              <m:r>
                <m:t>E</m:t>
              </m:r>
            </m:e>
            <m:sub>
              <m:r>
                <m:t>f</m:t>
              </m:r>
              <m:r>
                <m:t>r</m:t>
              </m:r>
              <m:r>
                <m:t>a</m:t>
              </m:r>
              <m:r>
                <m:t>i</m:t>
              </m:r>
              <m:r>
                <m:t>s</m:t>
              </m:r>
            </m:sub>
          </m:sSub>
        </m:oMath>
      </m:oMathPara>
    </w:p>
    <w:bookmarkEnd w:id="33"/>
    <w:bookmarkStart w:id="34" w:name="X7a733b5774bbec975e5e71b96ffb3b71cffef89"/>
    <w:p>
      <w:pPr>
        <w:pStyle w:val="Heading5"/>
      </w:pPr>
      <w:r>
        <w:t xml:space="preserve">1.1.4.5 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34"/>
    <w:bookmarkEnd w:id="35"/>
    <w:bookmarkStart w:id="39" w:name="X1b6aa8fc00d4f5599dfcf10f97be846d7f67a01"/>
    <w:p>
      <w:pPr>
        <w:pStyle w:val="Heading4"/>
      </w:pPr>
      <w:r>
        <w:t xml:space="preserve">1.1.5 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36" w:name="Xaf5135c38b35f3935e7fbb38292cb902ba10fce"/>
    <w:p>
      <w:pPr>
        <w:pStyle w:val="Heading5"/>
      </w:pPr>
      <w:r>
        <w:t xml:space="preserve">1.1.5.1 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36"/>
    <w:bookmarkStart w:id="37" w:name="X97c27c4f6aaa2dc3a04acf8f040871c5ebd6f65"/>
    <w:p>
      <w:pPr>
        <w:pStyle w:val="Heading5"/>
      </w:pPr>
      <w:r>
        <w:t xml:space="preserve">1.1.5.2 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provisions par sous-categorie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37"/>
    <w:bookmarkStart w:id="38" w:name="X2d899550002a89faf70685e2ededa357230b7ec"/>
    <w:p>
      <w:pPr>
        <w:pStyle w:val="Heading5"/>
      </w:pPr>
      <w:r>
        <w:t xml:space="preserve">1.1.5.3 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13"/>
        </w:numPr>
        <w:pStyle w:val="Compact"/>
      </w:pPr>
      <w:r>
        <w:t xml:space="preserve">Individuelles accidents et Invalidité ;</w:t>
      </w:r>
    </w:p>
    <w:p>
      <w:pPr>
        <w:numPr>
          <w:ilvl w:val="0"/>
          <w:numId w:val="1013"/>
        </w:numPr>
        <w:pStyle w:val="Compact"/>
      </w:pPr>
      <w:r>
        <w:t xml:space="preserve">Maladie;</w:t>
      </w:r>
    </w:p>
    <w:p>
      <w:pPr>
        <w:numPr>
          <w:ilvl w:val="0"/>
          <w:numId w:val="1013"/>
        </w:numPr>
        <w:pStyle w:val="Compact"/>
      </w:pPr>
      <w:r>
        <w:t xml:space="preserve">Accidents du travail et maladies professionnelles ;</w:t>
      </w:r>
    </w:p>
    <w:p>
      <w:pPr>
        <w:numPr>
          <w:ilvl w:val="0"/>
          <w:numId w:val="1013"/>
        </w:numPr>
        <w:pStyle w:val="Compact"/>
      </w:pPr>
      <w:r>
        <w:t xml:space="preserve">Responsabilité civile automobile des véhicules terrestres à moteur;</w:t>
      </w:r>
    </w:p>
    <w:p>
      <w:pPr>
        <w:numPr>
          <w:ilvl w:val="0"/>
          <w:numId w:val="1013"/>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13"/>
        </w:numPr>
        <w:pStyle w:val="Compact"/>
      </w:pPr>
      <w:r>
        <w:t xml:space="preserve">Incendie ;</w:t>
      </w:r>
    </w:p>
    <w:p>
      <w:pPr>
        <w:numPr>
          <w:ilvl w:val="0"/>
          <w:numId w:val="1013"/>
        </w:numPr>
        <w:pStyle w:val="Compact"/>
      </w:pPr>
      <w:r>
        <w:t xml:space="preserve">Maritime corps, facultés et responsabilité civile résultant de l’emploi de véhicules fluviaux et maritimes ;</w:t>
      </w:r>
    </w:p>
    <w:p>
      <w:pPr>
        <w:numPr>
          <w:ilvl w:val="0"/>
          <w:numId w:val="1013"/>
        </w:numPr>
        <w:pStyle w:val="Compact"/>
      </w:pPr>
      <w:r>
        <w:t xml:space="preserve">Aviation corps et responsabilité civile résultant de l’emploi des aéronefs ;</w:t>
      </w:r>
    </w:p>
    <w:p>
      <w:pPr>
        <w:numPr>
          <w:ilvl w:val="0"/>
          <w:numId w:val="1013"/>
        </w:numPr>
        <w:pStyle w:val="Compact"/>
      </w:pPr>
      <w:r>
        <w:t xml:space="preserve">Marchandises transportées par voie terrestre ;</w:t>
      </w:r>
    </w:p>
    <w:p>
      <w:pPr>
        <w:numPr>
          <w:ilvl w:val="0"/>
          <w:numId w:val="1013"/>
        </w:numPr>
        <w:pStyle w:val="Compact"/>
      </w:pPr>
      <w:r>
        <w:t xml:space="preserve">Assurance récolte, grêle ou gelée et éléments naturels ;</w:t>
      </w:r>
    </w:p>
    <w:p>
      <w:pPr>
        <w:numPr>
          <w:ilvl w:val="0"/>
          <w:numId w:val="1013"/>
        </w:numPr>
        <w:pStyle w:val="Compact"/>
      </w:pPr>
      <w:r>
        <w:t xml:space="preserve">Crédit et caution</w:t>
      </w:r>
    </w:p>
    <w:bookmarkEnd w:id="38"/>
    <w:bookmarkEnd w:id="39"/>
    <w:bookmarkEnd w:id="40"/>
    <w:bookmarkStart w:id="41" w:name="X784839fd8516b8df5730ae0da267f1818a874be"/>
    <w:p>
      <w:pPr>
        <w:pStyle w:val="Heading3"/>
      </w:pPr>
      <w:r>
        <w:t xml:space="preserve">1.2 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41"/>
    <w:bookmarkStart w:id="47" w:name="X384c0c3c983e0c0cecb046cfdf19f3cf5bf77b3"/>
    <w:p>
      <w:pPr>
        <w:pStyle w:val="Heading3"/>
      </w:pPr>
      <w:r>
        <w:t xml:space="preserve">1.3 Ajustement du capital de solvabilité requis</w:t>
      </w:r>
    </w:p>
    <w:bookmarkStart w:id="42" w:name="X60f7df077bb6b37af80367e8ec055588dd69751"/>
    <w:p>
      <w:pPr>
        <w:pStyle w:val="Heading4"/>
      </w:pPr>
      <w:r>
        <w:t xml:space="preserve">1.3.1 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42"/>
    <w:bookmarkStart w:id="46" w:name="Xbd336be1e04da1ede3fc1224bb2eedd17c6bfce"/>
    <w:p>
      <w:pPr>
        <w:pStyle w:val="Heading4"/>
      </w:pPr>
      <w:r>
        <w:t xml:space="preserve">1.3.2 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PROGRA~1\RStudio\RESOUR~1\app\bin\quarto\share\formats\docx\tip.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46"/>
    <w:bookmarkEnd w:id="47"/>
    <w:bookmarkEnd w:id="48"/>
    <w:bookmarkStart w:id="51" w:name="Xec1a8240f33c78c61c9bf625a7d43ebee855295"/>
    <w:p>
      <w:pPr>
        <w:pStyle w:val="Heading2"/>
      </w:pPr>
      <w:r>
        <w:t xml:space="preserve">ANNEXE : Correspondance CORRESPONDANCE ENTRE ECHELLE DE NOTATION ET PROBABILITE DE DEFAUT</w:t>
      </w:r>
    </w:p>
    <w:bookmarkStart w:id="49" w:name="echelles-de-notation"/>
    <w:p>
      <w:pPr>
        <w:pStyle w:val="Heading3"/>
      </w:pPr>
      <w:r>
        <w:t xml:space="preserve">Echelles de notation</w:t>
      </w:r>
    </w:p>
    <w:p>
      <w:pPr>
        <w:numPr>
          <w:ilvl w:val="0"/>
          <w:numId w:val="1014"/>
        </w:numPr>
        <w:pStyle w:val="Compact"/>
      </w:pPr>
      <w:r>
        <w:t xml:space="preserve">Pour les cessionnaires et les cédantes :</w:t>
      </w:r>
    </w:p>
    <w:p>
      <w:pPr>
        <w:pStyle w:val="FirstParagraph"/>
      </w:pPr>
      <w:r>
        <w:t xml:space="preserve">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w:t>
            </w:r>
          </w:p>
        </w:tc>
        <w:tc>
          <w:tcPr/>
          <w:p>
            <w:pPr>
              <w:pStyle w:val="Compact"/>
              <w:jc w:val="left"/>
            </w:pPr>
            <w:r>
              <w:t xml:space="preserve">AM BEST</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à A et supérieure ou égale à BBB</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BB</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du cessionnaire ou de la cédante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175%</w:t>
            </w:r>
          </w:p>
        </w:tc>
      </w:tr>
      <w:tr>
        <w:tc>
          <w:tcPr/>
          <w:p>
            <w:pPr>
              <w:pStyle w:val="Compact"/>
              <w:jc w:val="left"/>
            </w:pPr>
            <w:r>
              <w:t xml:space="preserve">2</w:t>
            </w:r>
          </w:p>
        </w:tc>
        <w:tc>
          <w:tcPr/>
          <w:p>
            <w:pPr>
              <w:pStyle w:val="Compact"/>
              <w:jc w:val="left"/>
            </w:pPr>
            <w:r>
              <w:t xml:space="preserve">]122% ; 175%]</w:t>
            </w:r>
          </w:p>
        </w:tc>
      </w:tr>
      <w:tr>
        <w:tc>
          <w:tcPr/>
          <w:p>
            <w:pPr>
              <w:pStyle w:val="Compact"/>
              <w:jc w:val="left"/>
            </w:pPr>
            <w:r>
              <w:t xml:space="preserve">3</w:t>
            </w:r>
          </w:p>
        </w:tc>
        <w:tc>
          <w:tcPr/>
          <w:p>
            <w:pPr>
              <w:pStyle w:val="Compact"/>
              <w:jc w:val="left"/>
            </w:pPr>
            <w:r>
              <w:t xml:space="preserve">]95% ; 122%]</w:t>
            </w:r>
          </w:p>
        </w:tc>
      </w:tr>
      <w:tr>
        <w:tc>
          <w:tcPr/>
          <w:p>
            <w:pPr>
              <w:pStyle w:val="Compact"/>
              <w:jc w:val="left"/>
            </w:pPr>
            <w:r>
              <w:t xml:space="preserve">4</w:t>
            </w:r>
          </w:p>
        </w:tc>
        <w:tc>
          <w:tcPr/>
          <w:p>
            <w:pPr>
              <w:pStyle w:val="Compact"/>
              <w:jc w:val="left"/>
            </w:pPr>
            <w:r>
              <w:t xml:space="preserve">]75% ; 95%]</w:t>
            </w:r>
          </w:p>
        </w:tc>
      </w:tr>
      <w:tr>
        <w:tc>
          <w:tcPr/>
          <w:p>
            <w:pPr>
              <w:pStyle w:val="Compact"/>
              <w:jc w:val="left"/>
            </w:pPr>
            <w:r>
              <w:t xml:space="preserve">5</w:t>
            </w:r>
          </w:p>
        </w:tc>
        <w:tc>
          <w:tcPr/>
          <w:p>
            <w:pPr>
              <w:pStyle w:val="Compact"/>
              <w:jc w:val="left"/>
            </w:pPr>
            <w:r>
              <w:t xml:space="preserve">Inférieur ou égale à 75%</w:t>
            </w:r>
          </w:p>
        </w:tc>
      </w:tr>
    </w:tbl>
    <w:p>
      <w:pPr>
        <w:pStyle w:val="BodyText"/>
      </w:pPr>
      <w:r>
        <w:t xml:space="preserve">Dans les autres cas, l’échelle de notation la plus faible est retenue.</w:t>
      </w:r>
    </w:p>
    <w:p>
      <w:pPr>
        <w:numPr>
          <w:ilvl w:val="0"/>
          <w:numId w:val="1015"/>
        </w:numPr>
        <w:pStyle w:val="Compact"/>
      </w:pPr>
      <w:r>
        <w:t xml:space="preserve">Pour les organismes dépositaires :</w:t>
      </w:r>
    </w:p>
    <w:p>
      <w:pPr>
        <w:pStyle w:val="FirstParagraph"/>
      </w:pPr>
      <w:r>
        <w:t xml:space="preserve">L’échelle de notation à retenir correspond à la notation financière la plus récente délivrée, durant les</w:t>
      </w:r>
      <w:r>
        <w:t xml:space="preserve"> </w:t>
      </w:r>
      <w:r>
        <w:t xml:space="preserve">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RATINGS</w:t>
            </w:r>
          </w:p>
        </w:tc>
        <w:tc>
          <w:tcPr/>
          <w:p>
            <w:pPr>
              <w:pStyle w:val="Compact"/>
              <w:jc w:val="left"/>
            </w:pPr>
            <w:r>
              <w:t xml:space="preserve">MOODY’S</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A et supérieure ou égale à Baa</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Baa et supérieure ou égale à Ba</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Ba</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de l’organisme dépositaire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21%</w:t>
            </w:r>
          </w:p>
        </w:tc>
      </w:tr>
      <w:tr>
        <w:tc>
          <w:tcPr/>
          <w:p>
            <w:pPr>
              <w:pStyle w:val="Compact"/>
              <w:jc w:val="left"/>
            </w:pPr>
            <w:r>
              <w:t xml:space="preserve">2</w:t>
            </w:r>
          </w:p>
        </w:tc>
        <w:tc>
          <w:tcPr/>
          <w:p>
            <w:pPr>
              <w:pStyle w:val="Compact"/>
              <w:jc w:val="left"/>
            </w:pPr>
            <w:r>
              <w:t xml:space="preserve">]14,6% ; 21%]</w:t>
            </w:r>
          </w:p>
        </w:tc>
      </w:tr>
      <w:tr>
        <w:tc>
          <w:tcPr/>
          <w:p>
            <w:pPr>
              <w:pStyle w:val="Compact"/>
              <w:jc w:val="left"/>
            </w:pPr>
            <w:r>
              <w:t xml:space="preserve">3</w:t>
            </w:r>
          </w:p>
        </w:tc>
        <w:tc>
          <w:tcPr/>
          <w:p>
            <w:pPr>
              <w:pStyle w:val="Compact"/>
              <w:jc w:val="left"/>
            </w:pPr>
            <w:r>
              <w:t xml:space="preserve">]11,4% ; 14,6%]</w:t>
            </w:r>
          </w:p>
        </w:tc>
      </w:tr>
      <w:tr>
        <w:tc>
          <w:tcPr/>
          <w:p>
            <w:pPr>
              <w:pStyle w:val="Compact"/>
              <w:jc w:val="left"/>
            </w:pPr>
            <w:r>
              <w:t xml:space="preserve">4</w:t>
            </w:r>
          </w:p>
        </w:tc>
        <w:tc>
          <w:tcPr/>
          <w:p>
            <w:pPr>
              <w:pStyle w:val="Compact"/>
              <w:jc w:val="left"/>
            </w:pPr>
            <w:r>
              <w:t xml:space="preserve">]9% ; 11,4%]</w:t>
            </w:r>
          </w:p>
        </w:tc>
      </w:tr>
      <w:tr>
        <w:tc>
          <w:tcPr/>
          <w:p>
            <w:pPr>
              <w:pStyle w:val="Compact"/>
              <w:jc w:val="left"/>
            </w:pPr>
            <w:r>
              <w:t xml:space="preserve">5</w:t>
            </w:r>
          </w:p>
        </w:tc>
        <w:tc>
          <w:tcPr/>
          <w:p>
            <w:pPr>
              <w:pStyle w:val="Compact"/>
              <w:jc w:val="left"/>
            </w:pPr>
            <w:r>
              <w:t xml:space="preserve">Inférieur ou égale à 9%</w:t>
            </w:r>
          </w:p>
        </w:tc>
      </w:tr>
    </w:tbl>
    <w:p>
      <w:pPr>
        <w:pStyle w:val="BodyText"/>
      </w:pPr>
      <w:r>
        <w:t xml:space="preserve">Dans les autres cas, l’échelle de notation la plus faible est retenue.</w:t>
      </w:r>
    </w:p>
    <w:bookmarkEnd w:id="49"/>
    <w:bookmarkStart w:id="50" w:name="probabilités-de-défaut"/>
    <w:p>
      <w:pPr>
        <w:pStyle w:val="Heading3"/>
      </w:pPr>
      <w:r>
        <w:t xml:space="preserve">Probabilités de défaut</w:t>
      </w:r>
    </w:p>
    <w:p>
      <w:pPr>
        <w:pStyle w:val="FirstParagraph"/>
      </w:pPr>
      <w:r>
        <w:t xml:space="preserve">La probabilité de défaut annuelle est établie en fonction de l’échelle de notation retenue en</w:t>
      </w:r>
      <w:r>
        <w:t xml:space="preserve"> </w:t>
      </w:r>
      <w:r>
        <w:t xml:space="preserve">application des dispositions du 1) ci-dessus et ce, conformément au tableau de correspondance ciaprès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Probabilité de défaut annuelle</w:t>
            </w:r>
          </w:p>
        </w:tc>
      </w:tr>
      <w:tr>
        <w:tc>
          <w:tcPr/>
          <w:p>
            <w:pPr>
              <w:pStyle w:val="Compact"/>
              <w:jc w:val="left"/>
            </w:pPr>
            <w:r>
              <w:t xml:space="preserve">1</w:t>
            </w:r>
          </w:p>
        </w:tc>
        <w:tc>
          <w:tcPr/>
          <w:p>
            <w:pPr>
              <w:pStyle w:val="Compact"/>
              <w:jc w:val="left"/>
            </w:pPr>
            <w:r>
              <w:t xml:space="preserve">0,010%</w:t>
            </w:r>
          </w:p>
        </w:tc>
      </w:tr>
      <w:tr>
        <w:tc>
          <w:tcPr/>
          <w:p>
            <w:pPr>
              <w:pStyle w:val="Compact"/>
              <w:jc w:val="left"/>
            </w:pPr>
            <w:r>
              <w:t xml:space="preserve">2</w:t>
            </w:r>
          </w:p>
        </w:tc>
        <w:tc>
          <w:tcPr/>
          <w:p>
            <w:pPr>
              <w:pStyle w:val="Compact"/>
              <w:jc w:val="left"/>
            </w:pPr>
            <w:r>
              <w:t xml:space="preserve">0,050%</w:t>
            </w:r>
          </w:p>
        </w:tc>
      </w:tr>
      <w:tr>
        <w:tc>
          <w:tcPr/>
          <w:p>
            <w:pPr>
              <w:pStyle w:val="Compact"/>
              <w:jc w:val="left"/>
            </w:pPr>
            <w:r>
              <w:t xml:space="preserve">3</w:t>
            </w:r>
          </w:p>
        </w:tc>
        <w:tc>
          <w:tcPr/>
          <w:p>
            <w:pPr>
              <w:pStyle w:val="Compact"/>
              <w:jc w:val="left"/>
            </w:pPr>
            <w:r>
              <w:t xml:space="preserve">0,240%</w:t>
            </w:r>
          </w:p>
        </w:tc>
      </w:tr>
      <w:tr>
        <w:tc>
          <w:tcPr/>
          <w:p>
            <w:pPr>
              <w:pStyle w:val="Compact"/>
              <w:jc w:val="left"/>
            </w:pPr>
            <w:r>
              <w:t xml:space="preserve">4</w:t>
            </w:r>
          </w:p>
        </w:tc>
        <w:tc>
          <w:tcPr/>
          <w:p>
            <w:pPr>
              <w:pStyle w:val="Compact"/>
              <w:jc w:val="left"/>
            </w:pPr>
            <w:r>
              <w:t xml:space="preserve">1,200%</w:t>
            </w:r>
          </w:p>
        </w:tc>
      </w:tr>
      <w:tr>
        <w:tc>
          <w:tcPr/>
          <w:p>
            <w:pPr>
              <w:pStyle w:val="Compact"/>
              <w:jc w:val="left"/>
            </w:pPr>
            <w:r>
              <w:t xml:space="preserve">5</w:t>
            </w:r>
          </w:p>
        </w:tc>
        <w:tc>
          <w:tcPr/>
          <w:p>
            <w:pPr>
              <w:pStyle w:val="Compact"/>
              <w:jc w:val="left"/>
            </w:pPr>
            <w:r>
              <w:t xml:space="preserve">4,200%</w:t>
            </w:r>
          </w:p>
        </w:tc>
      </w:tr>
    </w:tbl>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2023-05-22T16:43:25Z</dcterms:created>
  <dcterms:modified xsi:type="dcterms:W3CDTF">2023-05-22T16:43:25Z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