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SBR</w:t>
      </w:r>
      <w:r>
        <w:t xml:space="preserve"> </w:t>
      </w:r>
      <w:r>
        <w:t xml:space="preserve">V1</w:t>
      </w:r>
    </w:p>
    <w:p>
      <w:pPr>
        <w:pStyle w:val="Author"/>
      </w:pPr>
      <w:r>
        <w:t xml:space="preserve">Ettadlaoui</w:t>
      </w:r>
      <w:r>
        <w:t xml:space="preserve"> </w:t>
      </w:r>
      <w:r>
        <w:t xml:space="preserve">Othmane</w:t>
      </w:r>
    </w:p>
    <w:p>
      <w:pPr>
        <w:pStyle w:val="Date"/>
      </w:pPr>
      <w:r>
        <w:t xml:space="preserve">2023-05-10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bookmarkStart w:id="20" w:name="histoire-de-lassurance-au-maroc"/>
    <w:p>
      <w:pPr>
        <w:pStyle w:val="Heading1"/>
      </w:pPr>
      <w:r>
        <w:rPr>
          <w:rStyle w:val="SectionNumber"/>
        </w:rPr>
        <w:t xml:space="preserve">1</w:t>
      </w:r>
      <w:r>
        <w:tab/>
      </w:r>
      <w:r>
        <w:t xml:space="preserve">Histoire de l’assurance au maroc:</w:t>
      </w:r>
    </w:p>
    <w:p>
      <w:pPr>
        <w:pStyle w:val="FirstParagraph"/>
      </w:pPr>
      <w:r>
        <w:t xml:space="preserve">Pendant longtemps, l’assurance au Maroc n’a pas été toujours une culture de nos ancêtres. Cette notion a été considérée comme immorale car elle développait la négligence et l’idee de pari. L’assurance aussi a été inacceptable par le système juridique islamique,En excluant les besoins de la croissance économique.</w:t>
      </w:r>
      <w:r>
        <w:t xml:space="preserve"> </w:t>
      </w:r>
      <w:r>
        <w:t xml:space="preserve">Ainsi que, Le faible pouvoir d’achat de la plupart des couches de la population qui considèrent l’assurance comme un produit de luxe, réservé seulement aux marocains issus de la classe à revenu élevé, constituait en partie un véritable handicap au développement naturel de ce secteur. Pour toutes ces raisons, l’assurance, toutes branches confondues, totalement étrangère à la tradition juridique du pays, n’a pu voir le jour qu’après l’avènement du protectorat.</w:t>
      </w:r>
    </w:p>
    <w:p>
      <w:pPr>
        <w:pStyle w:val="BodyText"/>
      </w:pPr>
      <w:r>
        <w:t xml:space="preserve">Au fil du temps, cette pratique a réussi à se tisser une place dans la société marocaine. Les premières compagnies d’assurances étaient des compagnies étrangères travaillant dans le domaine de l’assurance maritime, et ce n’est qu’après, que cette activité a pu se généraliser pour toucher d’autres secteurs avec notamment l’arrivée de nouveaux besoins (santé, automobile, biens divers…)</w:t>
      </w:r>
    </w:p>
    <w:bookmarkEnd w:id="20"/>
    <w:bookmarkStart w:id="25" w:name="X07868ea8b9ac752e9889fc2a9eede4b2fc4d338"/>
    <w:p>
      <w:pPr>
        <w:pStyle w:val="Heading1"/>
      </w:pPr>
      <w:r>
        <w:rPr>
          <w:rStyle w:val="SectionNumber"/>
        </w:rPr>
        <w:t xml:space="preserve">2</w:t>
      </w:r>
      <w:r>
        <w:tab/>
      </w:r>
      <w:r>
        <w:t xml:space="preserve">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 BANK AL MAGHRIB. Ces taux en fait, sont des taux monétaires pour les maturités inférieures ou égales à un an, alors qu’il représente un taux actuariel pour les maturités supérieures à un an, de plus ils ne sont disponibles que pour certaines maturités (Remarque : Insérant une figure).</w:t>
      </w:r>
    </w:p>
    <w:p>
      <w:pPr>
        <w:pStyle w:val="BodyText"/>
      </w:pPr>
      <w:r>
        <w:t xml:space="preserve">Pour cette raison on va suivre les étapes suivantes pour la construction de la courbe des taux zéro-coupon :</w:t>
      </w:r>
    </w:p>
    <w:p>
      <w:pPr>
        <w:numPr>
          <w:ilvl w:val="0"/>
          <w:numId w:val="1001"/>
        </w:numPr>
        <w:pStyle w:val="Compact"/>
      </w:pPr>
      <w:r>
        <w:t xml:space="preserve">1ere étape : Transformation des taux monétaires en taux actuariels.</w:t>
      </w:r>
    </w:p>
    <w:p>
      <w:pPr>
        <w:numPr>
          <w:ilvl w:val="0"/>
          <w:numId w:val="1001"/>
        </w:numPr>
        <w:pStyle w:val="Compact"/>
      </w:pPr>
      <w:r>
        <w:t xml:space="preserve">2eme étape : Interpolation linéaire afin d’obtenir des taux actuariels pour des maturités pleines.</w:t>
      </w:r>
    </w:p>
    <w:p>
      <w:pPr>
        <w:numPr>
          <w:ilvl w:val="0"/>
          <w:numId w:val="1001"/>
        </w:numPr>
        <w:pStyle w:val="Compact"/>
      </w:pPr>
      <w:r>
        <w:t xml:space="preserve">3eme étape : Calcule des taux zéro coupons à partir des taux actuariels des maturités pleines par la Méthode du Bootstrap.</w:t>
      </w:r>
    </w:p>
    <w:p>
      <w:pPr>
        <w:numPr>
          <w:ilvl w:val="0"/>
          <w:numId w:val="1001"/>
        </w:numPr>
        <w:pStyle w:val="Compact"/>
      </w:pPr>
      <w:r>
        <w:t xml:space="preserve">4eme étape : Extrapolation de la courbe des taux zéro-coupon pour des maturités non observées lointaines par la méthode de Smith-Wilson</w:t>
      </w:r>
    </w:p>
    <w:bookmarkStart w:id="21" w:name="Xcbe522a13d0cf3ed962fdea859902dd7c035635"/>
    <w:p>
      <w:pPr>
        <w:pStyle w:val="Heading2"/>
      </w:pPr>
      <w:r>
        <w:rPr>
          <w:rStyle w:val="SectionNumber"/>
        </w:rPr>
        <w:t xml:space="preserve">2.1</w:t>
      </w:r>
      <w:r>
        <w:tab/>
      </w:r>
      <w:r>
        <w:t xml:space="preserve">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360</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 (Remarque insertions des résultats obtenu par l’application)</w:t>
      </w:r>
    </w:p>
    <w:bookmarkEnd w:id="21"/>
    <w:bookmarkStart w:id="22" w:name="X96b896b92b42645ba88a707007c4252bf9e5cd7"/>
    <w:p>
      <w:pPr>
        <w:pStyle w:val="Heading2"/>
      </w:pPr>
      <w:r>
        <w:rPr>
          <w:rStyle w:val="SectionNumber"/>
        </w:rPr>
        <w:t xml:space="preserve">2.2</w:t>
      </w:r>
      <w:r>
        <w:tab/>
      </w:r>
      <w:r>
        <w:t xml:space="preserve">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 DPL qui correspond au dernier point liquide. Il est déterminé de sorte que le volume cumulé des obligations dont les échéances sont supérieures au DPL est inférieur à 6% du volume total des transactions prises en compte pour la construction de la courbe des taux zéro-coupon. Il correspond aussi à dernière maturité observable.</w:t>
      </w:r>
    </w:p>
    <w:p>
      <w:pPr>
        <w:pStyle w:val="BodyText"/>
      </w:pPr>
      <w:r>
        <w:t xml:space="preserve">La formule d’interpolation pour toute maturité j allant de 1, 2, . . ., DPL 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End w:id="22"/>
    <w:bookmarkStart w:id="23" w:name="la-méthode-de-bootstrap"/>
    <w:p>
      <w:pPr>
        <w:pStyle w:val="Heading2"/>
      </w:pPr>
      <w:r>
        <w:rPr>
          <w:rStyle w:val="SectionNumber"/>
        </w:rPr>
        <w:t xml:space="preserve">2.3</w:t>
      </w:r>
      <w:r>
        <w:tab/>
      </w:r>
      <w:r>
        <w:t xml:space="preserve">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2"/>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3"/>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 (à écrire sur le rapport) (ajouter le graphique et le tableau après calcule de ZC).</w:t>
      </w:r>
    </w:p>
    <w:bookmarkEnd w:id="23"/>
    <w:bookmarkStart w:id="24" w:name="X336f36db0687334b747abecf8d379445810500d"/>
    <w:p>
      <w:pPr>
        <w:pStyle w:val="Heading2"/>
      </w:pPr>
      <w:r>
        <w:rPr>
          <w:rStyle w:val="SectionNumber"/>
        </w:rPr>
        <w:t xml:space="preserve">2.4</w:t>
      </w:r>
      <w:r>
        <w:tab/>
      </w:r>
      <w:r>
        <w:t xml:space="preserve">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bookmarkEnd w:id="24"/>
    <w:bookmarkEnd w:id="25"/>
    <w:bookmarkStart w:id="51" w:name="capital-de-solvabilité-requis"/>
    <w:p>
      <w:pPr>
        <w:pStyle w:val="Heading1"/>
      </w:pPr>
      <w:r>
        <w:rPr>
          <w:rStyle w:val="SectionNumber"/>
        </w:rPr>
        <w:t xml:space="preserve">3</w:t>
      </w:r>
      <w:r>
        <w:tab/>
      </w:r>
      <w:r>
        <w:t xml:space="preserve">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04"/>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04"/>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04"/>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04"/>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04"/>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04"/>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05"/>
        </w:numPr>
      </w:pPr>
      <w:r>
        <w:t xml:space="preserve">Le capital de solvabilité requis de base.</w:t>
      </w:r>
    </w:p>
    <w:p>
      <w:pPr>
        <w:numPr>
          <w:ilvl w:val="0"/>
          <w:numId w:val="1005"/>
        </w:numPr>
      </w:pPr>
      <w:r>
        <w:t xml:space="preserve">L’exigence de capital relative au risque opérationnel.</w:t>
      </w:r>
    </w:p>
    <w:p>
      <w:pPr>
        <w:numPr>
          <w:ilvl w:val="0"/>
          <w:numId w:val="1005"/>
        </w:numPr>
      </w:pPr>
      <w:r>
        <w:t xml:space="preserve">L’ajustement visant à tenir compte de la capacité d’absorption des pertes par les assurés.</w:t>
      </w:r>
    </w:p>
    <w:p>
      <w:pPr>
        <w:numPr>
          <w:ilvl w:val="0"/>
          <w:numId w:val="1005"/>
        </w:numPr>
      </w:pPr>
      <w:r>
        <w:t xml:space="preserve">L’ajustement visant à tenir compte de la capacité d’absorption des pertes par les impôts différés.</w:t>
      </w:r>
    </w:p>
    <w:bookmarkStart w:id="46" w:name="X8b89129f00e23abf7e0dc64742a1933841bd13f"/>
    <w:p>
      <w:pPr>
        <w:pStyle w:val="Heading2"/>
      </w:pPr>
      <w:r>
        <w:rPr>
          <w:rStyle w:val="SectionNumber"/>
        </w:rPr>
        <w:t xml:space="preserve">3.1</w:t>
      </w:r>
      <w:r>
        <w:tab/>
      </w:r>
      <w:r>
        <w:t xml:space="preserve">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06"/>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06"/>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31" w:name="X7d0de4e6ff3ca13baeb836adc8c41f16eaa6dfb"/>
    <w:p>
      <w:pPr>
        <w:pStyle w:val="Heading3"/>
      </w:pPr>
      <w:r>
        <w:rPr>
          <w:rStyle w:val="SectionNumber"/>
        </w:rPr>
        <w:t xml:space="preserve">3.1.1</w:t>
      </w:r>
      <w:r>
        <w:tab/>
      </w:r>
      <w:r>
        <w:t xml:space="preserve">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07"/>
        </w:numPr>
      </w:pPr>
      <w:r>
        <w:t xml:space="preserve">RM</w:t>
      </w:r>
      <w:r>
        <w:t xml:space="preserve"> </w:t>
      </w:r>
      <m:oMath>
        <m:r>
          <m:rPr>
            <m:sty m:val="p"/>
          </m:rPr>
          <m:t>∈</m:t>
        </m:r>
      </m:oMath>
      <w:r>
        <w:t xml:space="preserve"> </w:t>
      </w:r>
      <w:r>
        <w:t xml:space="preserve">{action, taux, immobilier, écart de taux et change}</w:t>
      </w:r>
    </w:p>
    <w:p>
      <w:pPr>
        <w:numPr>
          <w:ilvl w:val="0"/>
          <w:numId w:val="1007"/>
        </w:numPr>
      </w:pPr>
      <m:oMath>
        <m:r>
          <m:t>ρ</m:t>
        </m:r>
      </m:oMath>
      <w:r>
        <w:t xml:space="preserve"> </w:t>
      </w:r>
      <w:r>
        <w:t xml:space="preserve">: Coefficients de corrélations.</w:t>
      </w:r>
    </w:p>
    <w:bookmarkStart w:id="26" w:name="X3cf8c7738901705451aeaf1bf62340f8a8e3146"/>
    <w:p>
      <w:pPr>
        <w:pStyle w:val="Heading4"/>
      </w:pPr>
      <w:r>
        <w:rPr>
          <w:rStyle w:val="SectionNumber"/>
        </w:rPr>
        <w:t xml:space="preserve">3.1.1.1</w:t>
      </w:r>
      <w:r>
        <w:tab/>
      </w:r>
      <w:r>
        <w:t xml:space="preserve">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26"/>
    <w:bookmarkStart w:id="27" w:name="X4731aa5458fe1c45bdb9bc7a63d0b9bdcef0af7"/>
    <w:p>
      <w:pPr>
        <w:pStyle w:val="Heading4"/>
      </w:pPr>
      <w:r>
        <w:rPr>
          <w:rStyle w:val="SectionNumber"/>
        </w:rPr>
        <w:t xml:space="preserve">3.1.1.2</w:t>
      </w:r>
      <w:r>
        <w:tab/>
      </w:r>
      <w:r>
        <w:t xml:space="preserve">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27"/>
    <w:bookmarkStart w:id="28" w:name="X40fb47ea19ba513da95205d89bb9da70a68e95c"/>
    <w:p>
      <w:pPr>
        <w:pStyle w:val="Heading4"/>
      </w:pPr>
      <w:r>
        <w:rPr>
          <w:rStyle w:val="SectionNumber"/>
        </w:rPr>
        <w:t xml:space="preserve">3.1.1.3</w:t>
      </w:r>
      <w:r>
        <w:tab/>
      </w:r>
      <w:r>
        <w:t xml:space="preserve">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28"/>
    <w:bookmarkStart w:id="29" w:name="Xe3398b52d710566ac6543c034c7b139b3b8d7ba"/>
    <w:p>
      <w:pPr>
        <w:pStyle w:val="Heading4"/>
      </w:pPr>
      <w:r>
        <w:rPr>
          <w:rStyle w:val="SectionNumber"/>
        </w:rPr>
        <w:t xml:space="preserve">3.1.1.4</w:t>
      </w:r>
      <w:r>
        <w:tab/>
      </w:r>
      <w:r>
        <w:t xml:space="preserve">L’exigence de capital relative au risque d’écart (</w:t>
      </w:r>
      <m:oMath>
        <m:r>
          <m:t>C</m:t>
        </m:r>
        <m:r>
          <m:t>S</m:t>
        </m:r>
        <m:sSub>
          <m:e>
            <m:r>
              <m:t>R</m:t>
            </m:r>
          </m:e>
          <m:sub>
            <m:r>
              <m:rPr>
                <m:nor/>
                <m:sty m:val="p"/>
              </m:rPr>
              <m:t>Ecart_taux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29"/>
    <w:bookmarkStart w:id="30" w:name="X0b86f92798bd2d75800a724a913850a71127576"/>
    <w:p>
      <w:pPr>
        <w:pStyle w:val="Heading4"/>
      </w:pPr>
      <w:r>
        <w:rPr>
          <w:rStyle w:val="SectionNumber"/>
        </w:rPr>
        <w:t xml:space="preserve">3.1.1.5</w:t>
      </w:r>
      <w:r>
        <w:tab/>
      </w:r>
      <w:r>
        <w:t xml:space="preserve">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08"/>
        </w:numPr>
        <w:pStyle w:val="Compact"/>
      </w:pPr>
      <w:r>
        <w:t xml:space="preserve">l’exigence de capital pour risque d’augmentation de la valeur de la devise étrangère par rapport au dirham.</w:t>
      </w:r>
    </w:p>
    <w:p>
      <w:pPr>
        <w:numPr>
          <w:ilvl w:val="0"/>
          <w:numId w:val="1008"/>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30"/>
    <w:bookmarkEnd w:id="31"/>
    <w:bookmarkStart w:id="34" w:name="X9c0184a5ab36aa780ba8e9d38716205766fa364"/>
    <w:p>
      <w:pPr>
        <w:pStyle w:val="Heading3"/>
      </w:pPr>
      <w:r>
        <w:rPr>
          <w:rStyle w:val="SectionNumber"/>
        </w:rPr>
        <w:t xml:space="preserve">3.1.2</w:t>
      </w:r>
      <w:r>
        <w:tab/>
      </w:r>
      <w:r>
        <w:t xml:space="preserve">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32" w:name="X303ad4190ba297cc4664f228835544b0eb3361f"/>
    <w:p>
      <w:pPr>
        <w:pStyle w:val="Heading4"/>
      </w:pPr>
      <w:r>
        <w:rPr>
          <w:rStyle w:val="SectionNumber"/>
        </w:rPr>
        <w:t xml:space="preserve">3.1.2.1</w:t>
      </w:r>
      <w:r>
        <w:tab/>
      </w:r>
      <w:r>
        <w:t xml:space="preserve">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09"/>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10"/>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10"/>
        </w:numPr>
      </w:pPr>
      <m:oMath>
        <m:r>
          <m:t>L</m:t>
        </m:r>
        <m:r>
          <m:t>G</m:t>
        </m:r>
        <m:sSub>
          <m:e>
            <m:r>
              <m:t>D</m:t>
            </m:r>
          </m:e>
          <m:sub>
            <m:r>
              <m:t>i</m:t>
            </m:r>
          </m:sub>
        </m:sSub>
      </m:oMath>
      <w:r>
        <w:t xml:space="preserve"> </w:t>
      </w:r>
      <w:r>
        <w:t xml:space="preserve">: la perte en cas de défaut du cessionnaire i ;</w:t>
      </w:r>
    </w:p>
    <w:p>
      <w:pPr>
        <w:numPr>
          <w:ilvl w:val="0"/>
          <w:numId w:val="1010"/>
        </w:numPr>
      </w:pPr>
      <m:oMath>
        <m:r>
          <m:rPr>
            <m:nor/>
            <m:sty m:val="p"/>
          </m:rPr>
          <m:t>Depot en espèces ou en valeur</m:t>
        </m:r>
      </m:oMath>
      <w:r>
        <w:t xml:space="preserve"> </w:t>
      </w:r>
      <w:r>
        <w:t xml:space="preserve">: le montant des dépôts en espèces ou en valeurs du cessionnaire i ;</w:t>
      </w:r>
    </w:p>
    <w:p>
      <w:pPr>
        <w:numPr>
          <w:ilvl w:val="0"/>
          <w:numId w:val="1010"/>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10"/>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10"/>
        </w:numPr>
      </w:pPr>
      <m:oMath>
        <m:r>
          <m:t>L</m:t>
        </m:r>
        <m:r>
          <m:t>G</m:t>
        </m:r>
        <m:sSub>
          <m:e>
            <m:r>
              <m:t>D</m:t>
            </m:r>
          </m:e>
          <m:sub>
            <m:r>
              <m:t>i</m:t>
            </m:r>
          </m:sub>
        </m:sSub>
      </m:oMath>
      <w:r>
        <w:t xml:space="preserve">: la perte en cas de défaut de la cédante i ;</w:t>
      </w:r>
    </w:p>
    <w:p>
      <w:pPr>
        <w:numPr>
          <w:ilvl w:val="0"/>
          <w:numId w:val="1010"/>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10"/>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10"/>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11"/>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11"/>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11"/>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32"/>
    <w:bookmarkStart w:id="33" w:name="Xde70ab66fad04d143ab07d5ec8525e6812bbe93"/>
    <w:p>
      <w:pPr>
        <w:pStyle w:val="Heading4"/>
      </w:pPr>
      <w:r>
        <w:rPr>
          <w:rStyle w:val="SectionNumber"/>
        </w:rPr>
        <w:t xml:space="preserve">3.1.2.2</w:t>
      </w:r>
      <w:r>
        <w:tab/>
      </w:r>
      <w:r>
        <w:t xml:space="preserve">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12"/>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12"/>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12"/>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33"/>
    <w:bookmarkEnd w:id="34"/>
    <w:bookmarkStart w:id="35" w:name="Xac2a78756e1947e45e0b443464340ca4e07c6ed"/>
    <w:p>
      <w:pPr>
        <w:pStyle w:val="Heading3"/>
      </w:pPr>
      <w:r>
        <w:rPr>
          <w:rStyle w:val="SectionNumber"/>
        </w:rPr>
        <w:t xml:space="preserve">3.1.3</w:t>
      </w:r>
      <w:r>
        <w:tab/>
      </w:r>
      <w:r>
        <w:t xml:space="preserve">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35"/>
    <w:bookmarkStart w:id="41" w:name="X8bdc5d6c520394ae1ab3fd8ff0e20bf39ae18c3"/>
    <w:p>
      <w:pPr>
        <w:pStyle w:val="Heading3"/>
      </w:pPr>
      <w:r>
        <w:rPr>
          <w:rStyle w:val="SectionNumber"/>
        </w:rPr>
        <w:t xml:space="preserve">3.1.4</w:t>
      </w:r>
      <w:r>
        <w:tab/>
      </w:r>
      <w:r>
        <w:t xml:space="preserve">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36" w:name="X70ec578e7130a57a8c8842c95b63e70e295ba28"/>
    <w:p>
      <w:pPr>
        <w:pStyle w:val="Heading4"/>
      </w:pPr>
      <w:r>
        <w:rPr>
          <w:rStyle w:val="SectionNumber"/>
        </w:rPr>
        <w:t xml:space="preserve">3.1.4.1</w:t>
      </w:r>
      <w:r>
        <w:tab/>
      </w:r>
      <w:r>
        <w:t xml:space="preserve">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36"/>
    <w:bookmarkStart w:id="37" w:name="X92ef2d5d6d1f309ee4dc38a892eea4151c6a010"/>
    <w:p>
      <w:pPr>
        <w:pStyle w:val="Heading4"/>
      </w:pPr>
      <w:r>
        <w:rPr>
          <w:rStyle w:val="SectionNumber"/>
        </w:rPr>
        <w:t xml:space="preserve">3.1.4.2</w:t>
      </w:r>
      <w:r>
        <w:tab/>
      </w:r>
      <w:r>
        <w:t xml:space="preserve">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37"/>
    <w:bookmarkStart w:id="38" w:name="Xe142ffdc5761a23c812b30051e7ff3529769432"/>
    <w:p>
      <w:pPr>
        <w:pStyle w:val="Heading4"/>
      </w:pPr>
      <w:r>
        <w:rPr>
          <w:rStyle w:val="SectionNumber"/>
        </w:rPr>
        <w:t xml:space="preserve">3.1.4.3</w:t>
      </w:r>
      <w:r>
        <w:tab/>
      </w:r>
      <w:r>
        <w:t xml:space="preserve">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13"/>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14"/>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38"/>
    <w:bookmarkStart w:id="39" w:name="X2ad39c1112d69d7cc07addd7e09c4a1062144f3"/>
    <w:p>
      <w:pPr>
        <w:pStyle w:val="Heading4"/>
      </w:pPr>
      <w:r>
        <w:rPr>
          <w:rStyle w:val="SectionNumber"/>
        </w:rPr>
        <w:t xml:space="preserve">3.1.4.4</w:t>
      </w:r>
      <w:r>
        <w:tab/>
      </w:r>
      <w:r>
        <w:t xml:space="preserve">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15"/>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15"/>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39"/>
    <w:bookmarkStart w:id="40" w:name="X7a733b5774bbec975e5e71b96ffb3b71cffef89"/>
    <w:p>
      <w:pPr>
        <w:pStyle w:val="Heading4"/>
      </w:pPr>
      <w:r>
        <w:rPr>
          <w:rStyle w:val="SectionNumber"/>
        </w:rPr>
        <w:t xml:space="preserve">3.1.4.5</w:t>
      </w:r>
      <w:r>
        <w:tab/>
      </w:r>
      <w:r>
        <w:t xml:space="preserve">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40"/>
    <w:bookmarkEnd w:id="41"/>
    <w:bookmarkStart w:id="45" w:name="X1b6aa8fc00d4f5599dfcf10f97be846d7f67a01"/>
    <w:p>
      <w:pPr>
        <w:pStyle w:val="Heading3"/>
      </w:pPr>
      <w:r>
        <w:rPr>
          <w:rStyle w:val="SectionNumber"/>
        </w:rPr>
        <w:t xml:space="preserve">3.1.5</w:t>
      </w:r>
      <w:r>
        <w:tab/>
      </w:r>
      <w:r>
        <w:t xml:space="preserve">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42" w:name="Xaf5135c38b35f3935e7fbb38292cb902ba10fce"/>
    <w:p>
      <w:pPr>
        <w:pStyle w:val="Heading4"/>
      </w:pPr>
      <w:r>
        <w:rPr>
          <w:rStyle w:val="SectionNumber"/>
        </w:rPr>
        <w:t xml:space="preserve">3.1.5.1</w:t>
      </w:r>
      <w:r>
        <w:tab/>
      </w:r>
      <w:r>
        <w:t xml:space="preserve">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42"/>
    <w:bookmarkStart w:id="43" w:name="X97c27c4f6aaa2dc3a04acf8f040871c5ebd6f65"/>
    <w:p>
      <w:pPr>
        <w:pStyle w:val="Heading4"/>
      </w:pPr>
      <w:r>
        <w:rPr>
          <w:rStyle w:val="SectionNumber"/>
        </w:rPr>
        <w:t xml:space="preserve">3.1.5.2</w:t>
      </w:r>
      <w:r>
        <w:tab/>
      </w:r>
      <w:r>
        <w:t xml:space="preserve">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43"/>
    <w:bookmarkStart w:id="44" w:name="X2d899550002a89faf70685e2ededa357230b7ec"/>
    <w:p>
      <w:pPr>
        <w:pStyle w:val="Heading4"/>
      </w:pPr>
      <w:r>
        <w:rPr>
          <w:rStyle w:val="SectionNumber"/>
        </w:rPr>
        <w:t xml:space="preserve">3.1.5.3</w:t>
      </w:r>
      <w:r>
        <w:tab/>
      </w:r>
      <w:r>
        <w:t xml:space="preserve">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16"/>
        </w:numPr>
        <w:pStyle w:val="Compact"/>
      </w:pPr>
      <w:r>
        <w:t xml:space="preserve">Individuelles accidents et Invalidité ;</w:t>
      </w:r>
    </w:p>
    <w:p>
      <w:pPr>
        <w:numPr>
          <w:ilvl w:val="0"/>
          <w:numId w:val="1016"/>
        </w:numPr>
        <w:pStyle w:val="Compact"/>
      </w:pPr>
      <w:r>
        <w:t xml:space="preserve">Maladie;</w:t>
      </w:r>
    </w:p>
    <w:p>
      <w:pPr>
        <w:numPr>
          <w:ilvl w:val="0"/>
          <w:numId w:val="1016"/>
        </w:numPr>
        <w:pStyle w:val="Compact"/>
      </w:pPr>
      <w:r>
        <w:t xml:space="preserve">Accidents du travail et maladies professionnelles ;</w:t>
      </w:r>
    </w:p>
    <w:p>
      <w:pPr>
        <w:numPr>
          <w:ilvl w:val="0"/>
          <w:numId w:val="1016"/>
        </w:numPr>
        <w:pStyle w:val="Compact"/>
      </w:pPr>
      <w:r>
        <w:t xml:space="preserve">Responsabilité civile automobile des véhicules terrestres à moteur;</w:t>
      </w:r>
    </w:p>
    <w:p>
      <w:pPr>
        <w:numPr>
          <w:ilvl w:val="0"/>
          <w:numId w:val="1016"/>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16"/>
        </w:numPr>
        <w:pStyle w:val="Compact"/>
      </w:pPr>
      <w:r>
        <w:t xml:space="preserve">Incendie ;</w:t>
      </w:r>
    </w:p>
    <w:p>
      <w:pPr>
        <w:numPr>
          <w:ilvl w:val="0"/>
          <w:numId w:val="1016"/>
        </w:numPr>
        <w:pStyle w:val="Compact"/>
      </w:pPr>
      <w:r>
        <w:t xml:space="preserve">Maritime corps, facultés et responsabilité civile résultant de l’emploi de véhicules fluviaux et maritimes ;</w:t>
      </w:r>
    </w:p>
    <w:p>
      <w:pPr>
        <w:numPr>
          <w:ilvl w:val="0"/>
          <w:numId w:val="1016"/>
        </w:numPr>
        <w:pStyle w:val="Compact"/>
      </w:pPr>
      <w:r>
        <w:t xml:space="preserve">Aviation corps et responsabilité civile résultant de l’emploi des aéronefs ;</w:t>
      </w:r>
    </w:p>
    <w:p>
      <w:pPr>
        <w:numPr>
          <w:ilvl w:val="0"/>
          <w:numId w:val="1016"/>
        </w:numPr>
        <w:pStyle w:val="Compact"/>
      </w:pPr>
      <w:r>
        <w:t xml:space="preserve">Marchandises transportées par voie terrestre ;</w:t>
      </w:r>
    </w:p>
    <w:p>
      <w:pPr>
        <w:numPr>
          <w:ilvl w:val="0"/>
          <w:numId w:val="1016"/>
        </w:numPr>
        <w:pStyle w:val="Compact"/>
      </w:pPr>
      <w:r>
        <w:t xml:space="preserve">Assurance récolte, grêle ou gelée et éléments naturels ;</w:t>
      </w:r>
    </w:p>
    <w:p>
      <w:pPr>
        <w:numPr>
          <w:ilvl w:val="0"/>
          <w:numId w:val="1016"/>
        </w:numPr>
        <w:pStyle w:val="Compact"/>
      </w:pPr>
      <w:r>
        <w:t xml:space="preserve">Crédit et caution</w:t>
      </w:r>
    </w:p>
    <w:bookmarkEnd w:id="44"/>
    <w:bookmarkEnd w:id="45"/>
    <w:bookmarkEnd w:id="46"/>
    <w:bookmarkStart w:id="47" w:name="X784839fd8516b8df5730ae0da267f1818a874be"/>
    <w:p>
      <w:pPr>
        <w:pStyle w:val="Heading2"/>
      </w:pPr>
      <w:r>
        <w:rPr>
          <w:rStyle w:val="SectionNumber"/>
        </w:rPr>
        <w:t xml:space="preserve">3.2</w:t>
      </w:r>
      <w:r>
        <w:tab/>
      </w:r>
      <w:r>
        <w:t xml:space="preserve">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47"/>
    <w:bookmarkStart w:id="50" w:name="X384c0c3c983e0c0cecb046cfdf19f3cf5bf77b3"/>
    <w:p>
      <w:pPr>
        <w:pStyle w:val="Heading2"/>
      </w:pPr>
      <w:r>
        <w:rPr>
          <w:rStyle w:val="SectionNumber"/>
        </w:rPr>
        <w:t xml:space="preserve">3.3</w:t>
      </w:r>
      <w:r>
        <w:tab/>
      </w:r>
      <w:r>
        <w:t xml:space="preserve">Ajustement du capital de solvabilité requis</w:t>
      </w:r>
    </w:p>
    <w:bookmarkStart w:id="48" w:name="X60f7df077bb6b37af80367e8ec055588dd69751"/>
    <w:p>
      <w:pPr>
        <w:pStyle w:val="Heading3"/>
      </w:pPr>
      <w:r>
        <w:rPr>
          <w:rStyle w:val="SectionNumber"/>
        </w:rPr>
        <w:t xml:space="preserve">3.3.1</w:t>
      </w:r>
      <w:r>
        <w:tab/>
      </w:r>
      <w:r>
        <w:t xml:space="preserve">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48"/>
    <w:bookmarkStart w:id="49" w:name="Xbd336be1e04da1ede3fc1224bb2eedd17c6bfce"/>
    <w:p>
      <w:pPr>
        <w:pStyle w:val="Heading3"/>
      </w:pPr>
      <w:r>
        <w:rPr>
          <w:rStyle w:val="SectionNumber"/>
        </w:rPr>
        <w:t xml:space="preserve">3.3.2</w:t>
      </w:r>
      <w:r>
        <w:tab/>
      </w:r>
      <w:r>
        <w:t xml:space="preserve">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p>
      <w:pPr>
        <w:pStyle w:val="FirstParagraph"/>
      </w:pPr>
      <w:r>
        <w:rPr>
          <w:bCs/>
          <w:b/>
        </w:rPr>
        <w:t xml:space="preserve">Remarque</w:t>
      </w:r>
    </w:p>
    <w:p>
      <w:pPr>
        <w:pStyle w:val="BodyText"/>
      </w:pPr>
      <w:r>
        <w:t xml:space="preserve">Dans le cas où l’écart entre les impôts différés-passif et les impôts différés-actif est négatif, l’ajustement précité est nul.</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SBR V1</dc:title>
  <dc:creator>Ettadlaoui Othmane</dc:creator>
  <cp:keywords/>
  <dcterms:created xsi:type="dcterms:W3CDTF">2023-05-10T16:55:02Z</dcterms:created>
  <dcterms:modified xsi:type="dcterms:W3CDTF">2023-05-10T16:55:02Z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2023-05-10</vt:lpwstr>
  </property>
  <property fmtid="{D5CDD505-2E9C-101B-9397-08002B2CF9AE}" pid="3" name="output">
    <vt:lpwstr/>
  </property>
</Properties>
</file>