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1B3A5C"/>
          <w:sz w:val="30"/>
        </w:rPr>
        <w:t>Media vs. Public Opinion on GLP-1 Weight-Loss Drugs</w:t>
      </w:r>
    </w:p>
    <w:p>
      <w:pPr>
        <w:spacing w:after="20"/>
        <w:jc w:val="center"/>
      </w:pPr>
      <w:r>
        <w:rPr>
          <w:sz w:val="20"/>
        </w:rPr>
        <w:t>A Comparative Text-Analytics Study of Ozempic &amp; Wegovy</w:t>
      </w:r>
    </w:p>
    <w:p>
      <w:pPr>
        <w:spacing w:after="20"/>
        <w:jc w:val="center"/>
      </w:pPr>
      <w:r>
        <w:rPr>
          <w:sz w:val="17"/>
        </w:rPr>
        <w:t>V. Christopoulos, H. Guideau, S. Khosla, M. Yousuf, O. Zizi  —  INSY 669 | McGill University | Winter 2026</w:t>
      </w:r>
    </w:p>
    <w:p>
      <w:pPr>
        <w:pStyle w:val="Heading1"/>
      </w:pPr>
      <w:r>
        <w:t>1. Introduction</w:t>
      </w:r>
    </w:p>
    <w:p>
      <w:r>
        <w:t>GLP-1 receptor agonists—Ozempic and Wegovy—have sparked extensive online patient discussion and media coverage. This study compares public discourse (3,246 Reddit posts + 102 WebMD reviews) with media discourse (634 Google News articles) from Jan–Nov 2024, asking: (1) How does sentiment differ? (2) What linguistic/thematic gaps exist? (3) Does either stream lead temporally?</w:t>
      </w:r>
    </w:p>
    <w:p>
      <w:pPr>
        <w:pStyle w:val="Heading1"/>
      </w:pPr>
      <w:r>
        <w:t>2. Data &amp; Methodology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>
              <w:rPr>
                <w:b/>
                <w:sz w:val="17"/>
              </w:rPr>
              <w:t>Source</w:t>
            </w:r>
          </w:p>
        </w:tc>
        <w:tc>
          <w:tcPr>
            <w:tcW w:type="dxa" w:w="2550"/>
          </w:tcPr>
          <w:p>
            <w:r>
              <w:rPr>
                <w:b/>
                <w:sz w:val="17"/>
              </w:rPr>
              <w:t>Type</w:t>
            </w:r>
          </w:p>
        </w:tc>
        <w:tc>
          <w:tcPr>
            <w:tcW w:type="dxa" w:w="2550"/>
          </w:tcPr>
          <w:p>
            <w:r>
              <w:rPr>
                <w:b/>
                <w:sz w:val="17"/>
              </w:rPr>
              <w:t>n</w:t>
            </w:r>
          </w:p>
        </w:tc>
        <w:tc>
          <w:tcPr>
            <w:tcW w:type="dxa" w:w="2550"/>
          </w:tcPr>
          <w:p>
            <w:r>
              <w:rPr>
                <w:b/>
                <w:sz w:val="17"/>
              </w:rPr>
              <w:t>Method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  <w:t>Reddit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Public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3,246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Arctic Shift API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  <w:t>WebMD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Public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102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Web scraping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  <w:t>Google News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Media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634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RSS + URL decode</w:t>
            </w:r>
          </w:p>
        </w:tc>
      </w:tr>
    </w:tbl>
    <w:p>
      <w:r>
        <w:br/>
        <w:t>We used a hybrid media-text strategy (full article body when available, snippet fallback otherwise). Preprocessing: tokenisation, stopword removal, lemmatisation. A length-normalised track (first 40 tokens) controls for document-length confounds. All ML pipelines use stratified k-fold CV to prevent leakage.</w:t>
      </w:r>
    </w:p>
    <w:p>
      <w:pPr>
        <w:pStyle w:val="Heading1"/>
      </w:pPr>
      <w:r>
        <w:t>3. Results</w:t>
      </w:r>
    </w:p>
    <w:p>
      <w:pPr>
        <w:pStyle w:val="Heading2"/>
      </w:pPr>
      <w:r>
        <w:t>3.1 Sentiment Analysis</w:t>
      </w:r>
    </w:p>
    <w:p>
      <w:r>
        <w:t>VADER scores reveal a significant gap: public mean = +0.121, media = −0.137 (t = 9.43, p &lt; 0.001, Cohen’s d = 0.44). Reddit is moderately positive (+0.135), WebMD strongly negative (−0.308), news negative (−0.137). All pairwise Mann–Whitney U tests significant (p &lt; 0.001).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130786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ntiment_boxplot_3sourc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13078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6"/>
              </w:rPr>
              <w:t>Sentiment by source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94879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ntiment_pie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9487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6"/>
              </w:rPr>
              <w:t>Label distribution</w:t>
            </w:r>
          </w:p>
        </w:tc>
      </w:tr>
    </w:tbl>
    <w:p>
      <w:pPr>
        <w:pStyle w:val="Heading2"/>
      </w:pPr>
      <w:r>
        <w:t>3.2 Corpus Comparison &amp; Side Effects</w:t>
      </w:r>
    </w:p>
    <w:p>
      <w:r>
        <w:t>TF-IDF confirms thematic divergence: public emphasises week, dose, lb, anyone; media foregrounds semaglutide, drug, weightloss drug. Cosine similarity: 0.346 (0.350 normalised). Public mentions nausea (3.38/1k tokens), diarrhea (1.22), constipation (1.16), anxiety (0.69) at rates far exceeding media, where most side effects have zero mentions. Gaps persist under normalisation.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1090373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fidf_compariso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10903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6"/>
              </w:rPr>
              <w:t>TF-IDF comparison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1174441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de_effects_normalized_rat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11744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6"/>
              </w:rPr>
              <w:t>Side-effect rates per 1k tokens</w:t>
            </w:r>
          </w:p>
        </w:tc>
      </w:tr>
    </w:tbl>
    <w:p>
      <w:pPr>
        <w:pStyle w:val="Heading2"/>
      </w:pPr>
      <w:r>
        <w:t>3.3 Classification</w:t>
      </w:r>
    </w:p>
    <w:p>
      <w:r>
        <w:t>Naïve Bayes (α=0.1): 97.6% CV accuracy. KNN (k=7): 96.7%. Normalised-track accuracy nearly identical (97.6%/96.4%), confirming separability is vocabulary-driven. Top public features: anyone, day, lb, feeling; top media: cnn, healthline, medscape, nbc.</w:t>
      </w:r>
    </w:p>
    <w:p>
      <w:pPr>
        <w:pStyle w:val="Heading2"/>
      </w:pPr>
      <w:r>
        <w:t>3.4 Topic Modelling</w:t>
      </w:r>
    </w:p>
    <w:p>
      <w:r>
        <w:t>LDA (5 topics/corpus): public topics centre on dosing, insurance, weight progress, compounding; media on clinical trials, FDA regulation, Medicare access. K-means (k=2) purity: 84.1%—strong unsupervised separation.</w:t>
      </w:r>
    </w:p>
    <w:p>
      <w:pPr>
        <w:pStyle w:val="Heading2"/>
      </w:pPr>
      <w:r>
        <w:t>3.5 Aspect-Based Sentiment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>
              <w:rPr>
                <w:b/>
                <w:sz w:val="17"/>
              </w:rPr>
              <w:t>Aspect</w:t>
            </w:r>
          </w:p>
        </w:tc>
        <w:tc>
          <w:tcPr>
            <w:tcW w:type="dxa" w:w="2040"/>
          </w:tcPr>
          <w:p>
            <w:r>
              <w:rPr>
                <w:b/>
                <w:sz w:val="17"/>
              </w:rPr>
              <w:t>Public</w:t>
            </w:r>
          </w:p>
        </w:tc>
        <w:tc>
          <w:tcPr>
            <w:tcW w:type="dxa" w:w="2040"/>
          </w:tcPr>
          <w:p>
            <w:r>
              <w:rPr>
                <w:b/>
                <w:sz w:val="17"/>
              </w:rPr>
              <w:t>Media</w:t>
            </w:r>
          </w:p>
        </w:tc>
        <w:tc>
          <w:tcPr>
            <w:tcW w:type="dxa" w:w="2040"/>
          </w:tcPr>
          <w:p>
            <w:r>
              <w:rPr>
                <w:b/>
                <w:sz w:val="17"/>
              </w:rPr>
              <w:t>Gap</w:t>
            </w:r>
          </w:p>
        </w:tc>
        <w:tc>
          <w:tcPr>
            <w:tcW w:type="dxa" w:w="2040"/>
          </w:tcPr>
          <w:p>
            <w:r>
              <w:rPr>
                <w:b/>
                <w:sz w:val="17"/>
              </w:rPr>
              <w:t>Sig.</w:t>
            </w:r>
          </w:p>
        </w:tc>
      </w:tr>
      <w:tr>
        <w:tc>
          <w:tcPr>
            <w:tcW w:type="dxa" w:w="2040"/>
          </w:tcPr>
          <w:p>
            <w:r>
              <w:rPr>
                <w:sz w:val="17"/>
              </w:rPr>
              <w:t>Mental health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  <w:t>−0.10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  <w:t>−0.74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  <w:t>0.63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  <w:t>p=.040*</w:t>
            </w:r>
          </w:p>
        </w:tc>
      </w:tr>
      <w:tr>
        <w:tc>
          <w:tcPr>
            <w:tcW w:type="dxa" w:w="2040"/>
          </w:tcPr>
          <w:p>
            <w:r>
              <w:rPr>
                <w:sz w:val="17"/>
              </w:rPr>
              <w:t>Access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  <w:t>+0.20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  <w:t>−0.35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  <w:t>0.55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  <w:t>p&lt;.001*</w:t>
            </w:r>
          </w:p>
        </w:tc>
      </w:tr>
      <w:tr>
        <w:tc>
          <w:tcPr>
            <w:tcW w:type="dxa" w:w="2040"/>
          </w:tcPr>
          <w:p>
            <w:r>
              <w:rPr>
                <w:sz w:val="17"/>
              </w:rPr>
              <w:t>Efficacy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  <w:t>+0.14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  <w:t>−0.33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  <w:t>0.46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  <w:t>p&lt;.001*</w:t>
            </w:r>
          </w:p>
        </w:tc>
      </w:tr>
      <w:tr>
        <w:tc>
          <w:tcPr>
            <w:tcW w:type="dxa" w:w="2040"/>
          </w:tcPr>
          <w:p>
            <w:r>
              <w:rPr>
                <w:sz w:val="17"/>
              </w:rPr>
              <w:t>Cost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  <w:t>+0.16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  <w:t>−0.02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  <w:t>0.18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  <w:t>p=.017*</w:t>
            </w:r>
          </w:p>
        </w:tc>
      </w:tr>
      <w:tr>
        <w:tc>
          <w:tcPr>
            <w:tcW w:type="dxa" w:w="2040"/>
          </w:tcPr>
          <w:p>
            <w:r>
              <w:rPr>
                <w:sz w:val="17"/>
              </w:rPr>
              <w:t>Side effects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  <w:t>−0.03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  <w:t>−0.20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  <w:t>0.16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  <w:t>p=.666</w:t>
            </w:r>
          </w:p>
        </w:tc>
      </w:tr>
    </w:tbl>
    <w:p>
      <w:r>
        <w:br/>
        <w:t>Media is dramatically more negative on mental health (−0.74 vs. −0.10), likely driven by alarming headlines. Discrepancy classifier accuracy: 83.7%.</w:t>
      </w:r>
    </w:p>
    <w:p>
      <w:pPr>
        <w:pStyle w:val="Heading2"/>
      </w:pPr>
      <w:r>
        <w:t>3.6 Temporal Lead-Lag</w:t>
      </w:r>
    </w:p>
    <w:p>
      <w:r>
        <w:t>Granger causality (max lag 4 weeks, 45 obs.): no significant relationship (Media→Public p=0.37; Public→Media p=0.30). Cross-correlation peaks at lag −7 weeks (r=0.31). The streams respond to shared events rather than driving each other.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108866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spect_sentiment_comparison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10886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6"/>
              </w:rPr>
              <w:t>Aspect sentiment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108619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rosscorrelation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10861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6"/>
              </w:rPr>
              <w:t>Cross-correlation</w:t>
            </w:r>
          </w:p>
        </w:tc>
      </w:tr>
    </w:tbl>
    <w:p>
      <w:pPr>
        <w:pStyle w:val="Heading1"/>
      </w:pPr>
      <w:r>
        <w:t>4. Discussion &amp; Conclusion</w:t>
      </w:r>
    </w:p>
    <w:p>
      <w:r>
        <w:t>The sentiment gap aligns with prior research: media defaults to cautionary framing while patients share mixed lived experiences. The 97.6% classification accuracy—stable under normalisation—confirms fundamentally different registers. The side-effect coverage gap has real-world implications: patients relying on media may underestimate everyday symptom burden, while providers could monitor patient communities for emerging signals. The mental-health discrepancy is striking: media amplifies alarm while patients report only mild negativity.</w:t>
      </w:r>
    </w:p>
    <w:p>
      <w:r>
        <w:t>Limitations: hybrid mode used 100% snippet fallback; VADER may miss medical-domain nuance; 45 weekly observations limit Granger power; Reddit/WebMD are not representative of all patients.</w:t>
      </w:r>
    </w:p>
    <w:p>
      <w:r>
        <w:t>Public and media discourse on GLP-1 drugs diverge significantly in sentiment, vocabulary, and thematic emphasis. These differences are robust across methods and length normalisation. Patients relying solely on media may form an incomplete picture; healthcare providers should monitor both discourse streams.</w:t>
      </w:r>
    </w:p>
    <w:p>
      <w:r>
        <w:rPr>
          <w:i/>
          <w:sz w:val="16"/>
        </w:rPr>
        <w:t>Reproducibility: python project_cli.py run-analysis --media-text-mode hybrid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40"/>
      <w:outlineLvl w:val="0"/>
    </w:pPr>
    <w:rPr>
      <w:rFonts w:asciiTheme="majorHAnsi" w:eastAsiaTheme="majorEastAsia" w:hAnsiTheme="majorHAnsi" w:cstheme="majorBidi"/>
      <w:b/>
      <w:bCs/>
      <w:color w:val="1B3A5C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b/>
      <w:bCs/>
      <w:color w:val="1B3A5C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