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Xf800319f0adbd8a2d834120c86b5c5200679202"/>
      <w:r>
        <w:t xml:space="preserve">Executive Summary: Jazan Cancer Registry Implementation Framework</w:t>
      </w:r>
      <w:bookmarkEnd w:id="20"/>
    </w:p>
    <w:p>
      <w:pPr>
        <w:pStyle w:val="Heading2"/>
      </w:pPr>
      <w:bookmarkStart w:id="21" w:name="overview"/>
      <w:r>
        <w:t xml:space="preserve">Overview</w:t>
      </w:r>
      <w:bookmarkEnd w:id="21"/>
    </w:p>
    <w:p>
      <w:pPr>
        <w:pStyle w:val="FirstParagraph"/>
      </w:pPr>
      <w:r>
        <w:t xml:space="preserve">The Jazan Cancer Registry Implementation Framework provides a comprehensive roadmap for establishing a world-class, WHO-compliant population-based cancer registry in Jazan region, Saudi Arabia. This evidence-based framework addresses the unique healthcare infrastructure and demographic characteristics of the region while ensuring alignment with international standards.</w:t>
      </w:r>
    </w:p>
    <w:p>
      <w:pPr>
        <w:pStyle w:val="Heading2"/>
      </w:pPr>
      <w:bookmarkStart w:id="22" w:name="strategic-importance"/>
      <w:r>
        <w:t xml:space="preserve">Strategic Importance</w:t>
      </w:r>
      <w:bookmarkEnd w:id="22"/>
    </w:p>
    <w:p>
      <w:pPr>
        <w:pStyle w:val="Heading3"/>
      </w:pPr>
      <w:bookmarkStart w:id="23" w:name="current-epidemiological-context"/>
      <w:r>
        <w:t xml:space="preserve">Current Epidemiological Context</w:t>
      </w:r>
      <w:bookmarkEnd w:id="23"/>
    </w:p>
    <w:p>
      <w:pPr>
        <w:pStyle w:val="FirstParagraph"/>
      </w:pPr>
      <w:r>
        <w:t xml:space="preserve">Jazan region demonstrates unique cancer patterns that require targeted surveillance:</w:t>
      </w:r>
      <w:r>
        <w:t xml:space="preserve"> </w:t>
      </w:r>
      <w:r>
        <w:t xml:space="preserve">-</w:t>
      </w:r>
      <w:r>
        <w:t xml:space="preserve"> </w:t>
      </w:r>
      <w:r>
        <w:rPr>
          <w:b/>
        </w:rPr>
        <w:t xml:space="preserve">Cervical Cancer</w:t>
      </w:r>
      <w:r>
        <w:t xml:space="preserve">: Lowest ASIR in Saudi Arabia (0.7 per 100,000 women)</w:t>
      </w:r>
      <w:r>
        <w:t xml:space="preserve"> </w:t>
      </w:r>
      <w:r>
        <w:t xml:space="preserve">-</w:t>
      </w:r>
      <w:r>
        <w:t xml:space="preserve"> </w:t>
      </w:r>
      <w:r>
        <w:rPr>
          <w:b/>
        </w:rPr>
        <w:t xml:space="preserve">Gastric Cancer</w:t>
      </w:r>
      <w:r>
        <w:t xml:space="preserve">: Regional ASIR of 1.5 per 100,000 men, 0.5 per 100,000 women</w:t>
      </w:r>
      <w:r>
        <w:t xml:space="preserve"> </w:t>
      </w:r>
      <w:r>
        <w:t xml:space="preserve">-</w:t>
      </w:r>
      <w:r>
        <w:t xml:space="preserve"> </w:t>
      </w:r>
      <w:r>
        <w:rPr>
          <w:b/>
        </w:rPr>
        <w:t xml:space="preserve">Liver Cancer</w:t>
      </w:r>
      <w:r>
        <w:t xml:space="preserve">: ASIR of 1.7 per 100,000 males</w:t>
      </w:r>
      <w:r>
        <w:t xml:space="preserve"> </w:t>
      </w:r>
      <w:r>
        <w:t xml:space="preserve">-</w:t>
      </w:r>
      <w:r>
        <w:t xml:space="preserve"> </w:t>
      </w:r>
      <w:r>
        <w:rPr>
          <w:b/>
        </w:rPr>
        <w:t xml:space="preserve">Population</w:t>
      </w:r>
      <w:r>
        <w:t xml:space="preserve">: 1.5 million residents with median age &lt;30 years</w:t>
      </w:r>
    </w:p>
    <w:p>
      <w:pPr>
        <w:pStyle w:val="Heading3"/>
      </w:pPr>
      <w:bookmarkStart w:id="24" w:name="strategic-benefits"/>
      <w:r>
        <w:t xml:space="preserve">Strategic Benefits</w:t>
      </w:r>
      <w:bookmarkEnd w:id="24"/>
    </w:p>
    <w:p>
      <w:pPr>
        <w:numPr>
          <w:ilvl w:val="0"/>
          <w:numId w:val="1001"/>
        </w:numPr>
        <w:pStyle w:val="Compact"/>
      </w:pPr>
      <w:r>
        <w:rPr>
          <w:b/>
        </w:rPr>
        <w:t xml:space="preserve">Evidence-Based Cancer Control</w:t>
      </w:r>
      <w:r>
        <w:t xml:space="preserve">: Enable data-driven policy development and resource allocation</w:t>
      </w:r>
    </w:p>
    <w:p>
      <w:pPr>
        <w:numPr>
          <w:ilvl w:val="0"/>
          <w:numId w:val="1001"/>
        </w:numPr>
        <w:pStyle w:val="Compact"/>
      </w:pPr>
      <w:r>
        <w:rPr>
          <w:b/>
        </w:rPr>
        <w:t xml:space="preserve">Quality Improvement</w:t>
      </w:r>
      <w:r>
        <w:t xml:space="preserve">: Support healthcare providers with actionable cancer surveillance data</w:t>
      </w:r>
    </w:p>
    <w:p>
      <w:pPr>
        <w:numPr>
          <w:ilvl w:val="0"/>
          <w:numId w:val="1001"/>
        </w:numPr>
        <w:pStyle w:val="Compact"/>
      </w:pPr>
      <w:r>
        <w:rPr>
          <w:b/>
        </w:rPr>
        <w:t xml:space="preserve">Research Excellence</w:t>
      </w:r>
      <w:r>
        <w:t xml:space="preserve">: Facilitate international collaboration and research opportunities</w:t>
      </w:r>
    </w:p>
    <w:p>
      <w:pPr>
        <w:numPr>
          <w:ilvl w:val="0"/>
          <w:numId w:val="1001"/>
        </w:numPr>
        <w:pStyle w:val="Compact"/>
      </w:pPr>
      <w:r>
        <w:rPr>
          <w:b/>
        </w:rPr>
        <w:t xml:space="preserve">Public Health Impact</w:t>
      </w:r>
      <w:r>
        <w:t xml:space="preserve">: Monitor cancer trends and evaluate prevention program effectiveness</w:t>
      </w:r>
    </w:p>
    <w:p>
      <w:pPr>
        <w:pStyle w:val="Heading2"/>
      </w:pPr>
      <w:bookmarkStart w:id="25" w:name="framework-highlights"/>
      <w:r>
        <w:t xml:space="preserve">Framework Highlights</w:t>
      </w:r>
      <w:bookmarkEnd w:id="25"/>
    </w:p>
    <w:p>
      <w:pPr>
        <w:pStyle w:val="Heading3"/>
      </w:pPr>
      <w:bookmarkStart w:id="26" w:name="who-compliance-international-standards"/>
      <w:r>
        <w:t xml:space="preserve">WHO Compliance &amp; International Standards</w:t>
      </w:r>
      <w:bookmarkEnd w:id="26"/>
    </w:p>
    <w:p>
      <w:pPr>
        <w:numPr>
          <w:ilvl w:val="0"/>
          <w:numId w:val="1002"/>
        </w:numPr>
        <w:pStyle w:val="Compact"/>
      </w:pPr>
      <w:r>
        <w:rPr>
          <w:b/>
        </w:rPr>
        <w:t xml:space="preserve">Global Initiative for Cancer Registry Development (GICR)</w:t>
      </w:r>
      <w:r>
        <w:t xml:space="preserve"> </w:t>
      </w:r>
      <w:r>
        <w:t xml:space="preserve">alignment</w:t>
      </w:r>
    </w:p>
    <w:p>
      <w:pPr>
        <w:numPr>
          <w:ilvl w:val="0"/>
          <w:numId w:val="1002"/>
        </w:numPr>
        <w:pStyle w:val="Compact"/>
      </w:pPr>
      <w:r>
        <w:rPr>
          <w:b/>
        </w:rPr>
        <w:t xml:space="preserve">IARC and IACR guidelines</w:t>
      </w:r>
      <w:r>
        <w:t xml:space="preserve"> </w:t>
      </w:r>
      <w:r>
        <w:t xml:space="preserve">compliance</w:t>
      </w:r>
    </w:p>
    <w:p>
      <w:pPr>
        <w:numPr>
          <w:ilvl w:val="0"/>
          <w:numId w:val="1002"/>
        </w:numPr>
        <w:pStyle w:val="Compact"/>
      </w:pPr>
      <w:r>
        <w:rPr>
          <w:b/>
        </w:rPr>
        <w:t xml:space="preserve">International data quality standards</w:t>
      </w:r>
      <w:r>
        <w:t xml:space="preserve"> </w:t>
      </w:r>
      <w:r>
        <w:t xml:space="preserve">implementation</w:t>
      </w:r>
    </w:p>
    <w:p>
      <w:pPr>
        <w:numPr>
          <w:ilvl w:val="0"/>
          <w:numId w:val="1002"/>
        </w:numPr>
        <w:pStyle w:val="Compact"/>
      </w:pPr>
      <w:r>
        <w:rPr>
          <w:b/>
        </w:rPr>
        <w:t xml:space="preserve">Evidence base</w:t>
      </w:r>
      <w:r>
        <w:t xml:space="preserve">: 100+ peer-reviewed research papers analyzed</w:t>
      </w:r>
    </w:p>
    <w:p>
      <w:pPr>
        <w:pStyle w:val="Heading3"/>
      </w:pPr>
      <w:bookmarkStart w:id="27" w:name="regional-adaptation"/>
      <w:r>
        <w:t xml:space="preserve">Regional Adaptation</w:t>
      </w:r>
      <w:bookmarkEnd w:id="27"/>
    </w:p>
    <w:p>
      <w:pPr>
        <w:numPr>
          <w:ilvl w:val="0"/>
          <w:numId w:val="1003"/>
        </w:numPr>
        <w:pStyle w:val="Compact"/>
      </w:pPr>
      <w:r>
        <w:rPr>
          <w:b/>
        </w:rPr>
        <w:t xml:space="preserve">Healthcare Infrastructure</w:t>
      </w:r>
      <w:r>
        <w:t xml:space="preserve">: Tailored to existing facilities and capabilities</w:t>
      </w:r>
    </w:p>
    <w:p>
      <w:pPr>
        <w:numPr>
          <w:ilvl w:val="0"/>
          <w:numId w:val="1003"/>
        </w:numPr>
        <w:pStyle w:val="Compact"/>
      </w:pPr>
      <w:r>
        <w:rPr>
          <w:b/>
        </w:rPr>
        <w:t xml:space="preserve">Cultural Sensitivity</w:t>
      </w:r>
      <w:r>
        <w:t xml:space="preserve">: Respects local customs and privacy concerns</w:t>
      </w:r>
    </w:p>
    <w:p>
      <w:pPr>
        <w:numPr>
          <w:ilvl w:val="0"/>
          <w:numId w:val="1003"/>
        </w:numPr>
        <w:pStyle w:val="Compact"/>
      </w:pPr>
      <w:r>
        <w:rPr>
          <w:b/>
        </w:rPr>
        <w:t xml:space="preserve">Demographic Considerations</w:t>
      </w:r>
      <w:r>
        <w:t xml:space="preserve">: Addresses young population structure and geographic distribution</w:t>
      </w:r>
    </w:p>
    <w:p>
      <w:pPr>
        <w:numPr>
          <w:ilvl w:val="0"/>
          <w:numId w:val="1003"/>
        </w:numPr>
        <w:pStyle w:val="Compact"/>
      </w:pPr>
      <w:r>
        <w:rPr>
          <w:b/>
        </w:rPr>
        <w:t xml:space="preserve">Resource Optimization</w:t>
      </w:r>
      <w:r>
        <w:t xml:space="preserve">: Efficient use of available human and financial resources</w:t>
      </w:r>
    </w:p>
    <w:p>
      <w:pPr>
        <w:pStyle w:val="Heading2"/>
      </w:pPr>
      <w:bookmarkStart w:id="28" w:name="implementation-strategy"/>
      <w:r>
        <w:t xml:space="preserve">Implementation Strategy</w:t>
      </w:r>
      <w:bookmarkEnd w:id="28"/>
    </w:p>
    <w:p>
      <w:pPr>
        <w:pStyle w:val="Heading3"/>
      </w:pPr>
      <w:bookmarkStart w:id="29" w:name="three-phase-approach"/>
      <w:r>
        <w:t xml:space="preserve">Three-Phase Approach</w:t>
      </w:r>
      <w:bookmarkEnd w:id="29"/>
    </w:p>
    <w:p>
      <w:pPr>
        <w:pStyle w:val="Heading4"/>
      </w:pPr>
      <w:bookmarkStart w:id="30" w:name="phase-1-foundation-months-1-12"/>
      <w:r>
        <w:rPr>
          <w:b/>
        </w:rPr>
        <w:t xml:space="preserve">Phase 1: Foundation (Months 1-12)</w:t>
      </w:r>
      <w:bookmarkEnd w:id="30"/>
    </w:p>
    <w:p>
      <w:pPr>
        <w:numPr>
          <w:ilvl w:val="0"/>
          <w:numId w:val="1004"/>
        </w:numPr>
        <w:pStyle w:val="Compact"/>
      </w:pPr>
      <w:r>
        <w:rPr>
          <w:b/>
        </w:rPr>
        <w:t xml:space="preserve">Objectives</w:t>
      </w:r>
      <w:r>
        <w:t xml:space="preserve">: Establish core infrastructure and launch pilot operations</w:t>
      </w:r>
    </w:p>
    <w:p>
      <w:pPr>
        <w:numPr>
          <w:ilvl w:val="0"/>
          <w:numId w:val="1004"/>
        </w:numPr>
        <w:pStyle w:val="Compact"/>
      </w:pPr>
      <w:r>
        <w:rPr>
          <w:b/>
        </w:rPr>
        <w:t xml:space="preserve">Key Activities</w:t>
      </w:r>
      <w:r>
        <w:t xml:space="preserve">: Staff recruitment, system setup, pilot implementation at King Fahad Central Hospital</w:t>
      </w:r>
    </w:p>
    <w:p>
      <w:pPr>
        <w:numPr>
          <w:ilvl w:val="0"/>
          <w:numId w:val="1004"/>
        </w:numPr>
        <w:pStyle w:val="Compact"/>
      </w:pPr>
      <w:r>
        <w:rPr>
          <w:b/>
        </w:rPr>
        <w:t xml:space="preserve">Success Metrics</w:t>
      </w:r>
      <w:r>
        <w:t xml:space="preserve">: Successful pilot operation, trained staff, quality systems operational</w:t>
      </w:r>
    </w:p>
    <w:p>
      <w:pPr>
        <w:pStyle w:val="Heading4"/>
      </w:pPr>
      <w:bookmarkStart w:id="31" w:name="phase-2-expansion-months-13-24"/>
      <w:r>
        <w:rPr>
          <w:b/>
        </w:rPr>
        <w:t xml:space="preserve">Phase 2: Expansion (Months 13-24)</w:t>
      </w:r>
      <w:bookmarkEnd w:id="31"/>
    </w:p>
    <w:p>
      <w:pPr>
        <w:numPr>
          <w:ilvl w:val="0"/>
          <w:numId w:val="1005"/>
        </w:numPr>
        <w:pStyle w:val="Compact"/>
      </w:pPr>
      <w:r>
        <w:rPr>
          <w:b/>
        </w:rPr>
        <w:t xml:space="preserve">Objectives</w:t>
      </w:r>
      <w:r>
        <w:t xml:space="preserve">: Scale to full regional coverage and enhance capabilities</w:t>
      </w:r>
    </w:p>
    <w:p>
      <w:pPr>
        <w:numPr>
          <w:ilvl w:val="0"/>
          <w:numId w:val="1005"/>
        </w:numPr>
        <w:pStyle w:val="Compact"/>
      </w:pPr>
      <w:r>
        <w:rPr>
          <w:b/>
        </w:rPr>
        <w:t xml:space="preserve">Key Activities</w:t>
      </w:r>
      <w:r>
        <w:t xml:space="preserve">: Network expansion to all hospitals, system integration, research initiation</w:t>
      </w:r>
    </w:p>
    <w:p>
      <w:pPr>
        <w:numPr>
          <w:ilvl w:val="0"/>
          <w:numId w:val="1005"/>
        </w:numPr>
        <w:pStyle w:val="Compact"/>
      </w:pPr>
      <w:r>
        <w:rPr>
          <w:b/>
        </w:rPr>
        <w:t xml:space="preserve">Success Metrics</w:t>
      </w:r>
      <w:r>
        <w:t xml:space="preserve">: Complete hospital network coverage, first research publications</w:t>
      </w:r>
    </w:p>
    <w:p>
      <w:pPr>
        <w:pStyle w:val="Heading4"/>
      </w:pPr>
      <w:bookmarkStart w:id="32" w:name="phase-3-maturation-months-25-36"/>
      <w:r>
        <w:rPr>
          <w:b/>
        </w:rPr>
        <w:t xml:space="preserve">Phase 3: Maturation (Months 25-36)</w:t>
      </w:r>
      <w:bookmarkEnd w:id="32"/>
    </w:p>
    <w:p>
      <w:pPr>
        <w:numPr>
          <w:ilvl w:val="0"/>
          <w:numId w:val="1006"/>
        </w:numPr>
        <w:pStyle w:val="Compact"/>
      </w:pPr>
      <w:r>
        <w:rPr>
          <w:b/>
        </w:rPr>
        <w:t xml:space="preserve">Objectives</w:t>
      </w:r>
      <w:r>
        <w:t xml:space="preserve">: Achieve full operational capacity and sustainability</w:t>
      </w:r>
    </w:p>
    <w:p>
      <w:pPr>
        <w:numPr>
          <w:ilvl w:val="0"/>
          <w:numId w:val="1006"/>
        </w:numPr>
        <w:pStyle w:val="Compact"/>
      </w:pPr>
      <w:r>
        <w:rPr>
          <w:b/>
        </w:rPr>
        <w:t xml:space="preserve">Key Activities</w:t>
      </w:r>
      <w:r>
        <w:t xml:space="preserve">: Full geographic coverage, impact assessment, international collaboration</w:t>
      </w:r>
    </w:p>
    <w:p>
      <w:pPr>
        <w:numPr>
          <w:ilvl w:val="0"/>
          <w:numId w:val="1006"/>
        </w:numPr>
        <w:pStyle w:val="Compact"/>
      </w:pPr>
      <w:r>
        <w:rPr>
          <w:b/>
        </w:rPr>
        <w:t xml:space="preserve">Success Metrics</w:t>
      </w:r>
      <w:r>
        <w:t xml:space="preserve">: Complete population coverage, demonstrated impact on cancer care</w:t>
      </w:r>
    </w:p>
    <w:p>
      <w:pPr>
        <w:pStyle w:val="Heading3"/>
      </w:pPr>
      <w:bookmarkStart w:id="33" w:name="quality-assurance-framework"/>
      <w:r>
        <w:t xml:space="preserve">Quality Assurance Framework</w:t>
      </w:r>
      <w:bookmarkEnd w:id="33"/>
    </w:p>
    <w:p>
      <w:pPr>
        <w:pStyle w:val="Heading4"/>
      </w:pPr>
      <w:bookmarkStart w:id="34" w:name="data-quality-targets"/>
      <w:r>
        <w:t xml:space="preserve">Data Quality Targets</w:t>
      </w:r>
      <w:bookmarkEnd w:id="34"/>
    </w:p>
    <w:p>
      <w:pPr>
        <w:numPr>
          <w:ilvl w:val="0"/>
          <w:numId w:val="1007"/>
        </w:numPr>
        <w:pStyle w:val="Compact"/>
      </w:pPr>
      <w:r>
        <w:rPr>
          <w:b/>
        </w:rPr>
        <w:t xml:space="preserve">Completeness</w:t>
      </w:r>
      <w:r>
        <w:t xml:space="preserve">: &gt;95% of diagnosed cases captured</w:t>
      </w:r>
    </w:p>
    <w:p>
      <w:pPr>
        <w:numPr>
          <w:ilvl w:val="0"/>
          <w:numId w:val="1007"/>
        </w:numPr>
        <w:pStyle w:val="Compact"/>
      </w:pPr>
      <w:r>
        <w:rPr>
          <w:b/>
        </w:rPr>
        <w:t xml:space="preserve">Accuracy</w:t>
      </w:r>
      <w:r>
        <w:t xml:space="preserve">: &gt;90% data accuracy with histological verification &gt;80%</w:t>
      </w:r>
    </w:p>
    <w:p>
      <w:pPr>
        <w:numPr>
          <w:ilvl w:val="0"/>
          <w:numId w:val="1007"/>
        </w:numPr>
        <w:pStyle w:val="Compact"/>
      </w:pPr>
      <w:r>
        <w:rPr>
          <w:b/>
        </w:rPr>
        <w:t xml:space="preserve">Timeliness</w:t>
      </w:r>
      <w:r>
        <w:t xml:space="preserve">: Data available within 18 months of diagnosis</w:t>
      </w:r>
    </w:p>
    <w:p>
      <w:pPr>
        <w:numPr>
          <w:ilvl w:val="0"/>
          <w:numId w:val="1007"/>
        </w:numPr>
        <w:pStyle w:val="Compact"/>
      </w:pPr>
      <w:r>
        <w:rPr>
          <w:b/>
        </w:rPr>
        <w:t xml:space="preserve">Comparability</w:t>
      </w:r>
      <w:r>
        <w:t xml:space="preserve">: International standard compliance for benchmarking</w:t>
      </w:r>
    </w:p>
    <w:p>
      <w:pPr>
        <w:pStyle w:val="Heading4"/>
      </w:pPr>
      <w:bookmarkStart w:id="35" w:name="validation-procedures"/>
      <w:r>
        <w:t xml:space="preserve">Validation Procedures</w:t>
      </w:r>
      <w:bookmarkEnd w:id="35"/>
    </w:p>
    <w:p>
      <w:pPr>
        <w:numPr>
          <w:ilvl w:val="0"/>
          <w:numId w:val="1008"/>
        </w:numPr>
        <w:pStyle w:val="Compact"/>
      </w:pPr>
      <w:r>
        <w:rPr>
          <w:b/>
        </w:rPr>
        <w:t xml:space="preserve">Multi-level validation</w:t>
      </w:r>
      <w:r>
        <w:t xml:space="preserve">: Real-time, batch, and external validation processes</w:t>
      </w:r>
    </w:p>
    <w:p>
      <w:pPr>
        <w:numPr>
          <w:ilvl w:val="0"/>
          <w:numId w:val="1008"/>
        </w:numPr>
        <w:pStyle w:val="Compact"/>
      </w:pPr>
      <w:r>
        <w:rPr>
          <w:b/>
        </w:rPr>
        <w:t xml:space="preserve">Automated quality control</w:t>
      </w:r>
      <w:r>
        <w:t xml:space="preserve">: Built-in validation rules and error detection</w:t>
      </w:r>
    </w:p>
    <w:p>
      <w:pPr>
        <w:numPr>
          <w:ilvl w:val="0"/>
          <w:numId w:val="1008"/>
        </w:numPr>
        <w:pStyle w:val="Compact"/>
      </w:pPr>
      <w:r>
        <w:rPr>
          <w:b/>
        </w:rPr>
        <w:t xml:space="preserve">Regular audits</w:t>
      </w:r>
      <w:r>
        <w:t xml:space="preserve">: Monthly quality reviews and annual external evaluations</w:t>
      </w:r>
    </w:p>
    <w:p>
      <w:pPr>
        <w:numPr>
          <w:ilvl w:val="0"/>
          <w:numId w:val="1008"/>
        </w:numPr>
        <w:pStyle w:val="Compact"/>
      </w:pPr>
      <w:r>
        <w:rPr>
          <w:b/>
        </w:rPr>
        <w:t xml:space="preserve">Continuous improvement</w:t>
      </w:r>
      <w:r>
        <w:t xml:space="preserve">: Systematic quality enhancement protocols</w:t>
      </w:r>
    </w:p>
    <w:p>
      <w:pPr>
        <w:pStyle w:val="Heading2"/>
      </w:pPr>
      <w:bookmarkStart w:id="36" w:name="resource-requirements"/>
      <w:r>
        <w:t xml:space="preserve">Resource Requirements</w:t>
      </w:r>
      <w:bookmarkEnd w:id="36"/>
    </w:p>
    <w:p>
      <w:pPr>
        <w:pStyle w:val="Heading3"/>
      </w:pPr>
      <w:bookmarkStart w:id="37" w:name="X69ba5ae66aaca29cb6900762db341ef1b45b403"/>
      <w:r>
        <w:t xml:space="preserve">Financial Investment (3-Year Total: $1,355,000)</w:t>
      </w:r>
      <w:bookmarkEnd w:id="37"/>
    </w:p>
    <w:tbl>
      <w:tblPr>
        <w:tblStyle w:val="Table"/>
        <w:tblW w:type="pct" w:w="5000.0"/>
        <w:tblLook w:firstRow="1"/>
      </w:tblPr>
      <w:tblGrid>
        <w:gridCol w:w="1584"/>
        <w:gridCol w:w="2904"/>
        <w:gridCol w:w="3432"/>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Investment</w:t>
            </w:r>
          </w:p>
        </w:tc>
        <w:tc>
          <w:tcPr>
            <w:tcBorders>
              <w:bottom w:val="single"/>
            </w:tcBorders>
            <w:vAlign w:val="bottom"/>
          </w:tcPr>
          <w:p>
            <w:pPr>
              <w:pStyle w:val="Compact"/>
              <w:jc w:val="left"/>
            </w:pPr>
            <w:r>
              <w:t xml:space="preserve">Focus Areas</w:t>
            </w:r>
          </w:p>
        </w:tc>
      </w:tr>
      <w:tr>
        <w:tc>
          <w:p>
            <w:pPr>
              <w:pStyle w:val="Compact"/>
              <w:jc w:val="left"/>
            </w:pPr>
            <w:r>
              <w:rPr>
                <w:b/>
              </w:rPr>
              <w:t xml:space="preserve">Year 1</w:t>
            </w:r>
          </w:p>
        </w:tc>
        <w:tc>
          <w:p>
            <w:pPr>
              <w:pStyle w:val="Compact"/>
              <w:jc w:val="left"/>
            </w:pPr>
            <w:r>
              <w:t xml:space="preserve">$485,000</w:t>
            </w:r>
          </w:p>
        </w:tc>
        <w:tc>
          <w:p>
            <w:pPr>
              <w:pStyle w:val="Compact"/>
              <w:jc w:val="left"/>
            </w:pPr>
            <w:r>
              <w:t xml:space="preserve">Infrastructure setup, staff recruitment, pilot launch</w:t>
            </w:r>
          </w:p>
        </w:tc>
      </w:tr>
      <w:tr>
        <w:tc>
          <w:p>
            <w:pPr>
              <w:pStyle w:val="Compact"/>
              <w:jc w:val="left"/>
            </w:pPr>
            <w:r>
              <w:rPr>
                <w:b/>
              </w:rPr>
              <w:t xml:space="preserve">Year 2</w:t>
            </w:r>
          </w:p>
        </w:tc>
        <w:tc>
          <w:p>
            <w:pPr>
              <w:pStyle w:val="Compact"/>
              <w:jc w:val="left"/>
            </w:pPr>
            <w:r>
              <w:t xml:space="preserve">$425,000</w:t>
            </w:r>
          </w:p>
        </w:tc>
        <w:tc>
          <w:p>
            <w:pPr>
              <w:pStyle w:val="Compact"/>
              <w:jc w:val="left"/>
            </w:pPr>
            <w:r>
              <w:t xml:space="preserve">Network expansion, system integration, quality enhancement</w:t>
            </w:r>
          </w:p>
        </w:tc>
      </w:tr>
      <w:tr>
        <w:tc>
          <w:p>
            <w:pPr>
              <w:pStyle w:val="Compact"/>
              <w:jc w:val="left"/>
            </w:pPr>
            <w:r>
              <w:rPr>
                <w:b/>
              </w:rPr>
              <w:t xml:space="preserve">Year 3</w:t>
            </w:r>
          </w:p>
        </w:tc>
        <w:tc>
          <w:p>
            <w:pPr>
              <w:pStyle w:val="Compact"/>
              <w:jc w:val="left"/>
            </w:pPr>
            <w:r>
              <w:t xml:space="preserve">$445,000</w:t>
            </w:r>
          </w:p>
        </w:tc>
        <w:tc>
          <w:p>
            <w:pPr>
              <w:pStyle w:val="Compact"/>
              <w:jc w:val="left"/>
            </w:pPr>
            <w:r>
              <w:t xml:space="preserve">Full operation, sustainability planning, research initiation</w:t>
            </w:r>
          </w:p>
        </w:tc>
      </w:tr>
    </w:tbl>
    <w:p>
      <w:pPr>
        <w:pStyle w:val="Heading3"/>
      </w:pPr>
      <w:bookmarkStart w:id="38" w:name="human-resources-strategy"/>
      <w:r>
        <w:t xml:space="preserve">Human Resources Strategy</w:t>
      </w:r>
      <w:bookmarkEnd w:id="38"/>
    </w:p>
    <w:p>
      <w:pPr>
        <w:pStyle w:val="Heading4"/>
      </w:pPr>
      <w:bookmarkStart w:id="39" w:name="staffing-plan"/>
      <w:r>
        <w:t xml:space="preserve">Staffing Plan</w:t>
      </w:r>
      <w:bookmarkEnd w:id="39"/>
    </w:p>
    <w:p>
      <w:pPr>
        <w:numPr>
          <w:ilvl w:val="0"/>
          <w:numId w:val="1009"/>
        </w:numPr>
        <w:pStyle w:val="Compact"/>
      </w:pPr>
      <w:r>
        <w:rPr>
          <w:b/>
        </w:rPr>
        <w:t xml:space="preserve">Year 1</w:t>
      </w:r>
      <w:r>
        <w:t xml:space="preserve">: 8 FTE positions (Registry Director, Data Manager, Collectors, QA Specialist)</w:t>
      </w:r>
    </w:p>
    <w:p>
      <w:pPr>
        <w:numPr>
          <w:ilvl w:val="0"/>
          <w:numId w:val="1009"/>
        </w:numPr>
        <w:pStyle w:val="Compact"/>
      </w:pPr>
      <w:r>
        <w:rPr>
          <w:b/>
        </w:rPr>
        <w:t xml:space="preserve">Year 2-3</w:t>
      </w:r>
      <w:r>
        <w:t xml:space="preserve">: 12 FTE positions (expanded data collection team, research analyst)</w:t>
      </w:r>
    </w:p>
    <w:p>
      <w:pPr>
        <w:numPr>
          <w:ilvl w:val="0"/>
          <w:numId w:val="1009"/>
        </w:numPr>
        <w:pStyle w:val="Compact"/>
      </w:pPr>
      <w:r>
        <w:rPr>
          <w:b/>
        </w:rPr>
        <w:t xml:space="preserve">Training Investment</w:t>
      </w:r>
      <w:r>
        <w:t xml:space="preserve">: 40-hour initial training, 20 hours annual continuing education</w:t>
      </w:r>
    </w:p>
    <w:p>
      <w:pPr>
        <w:pStyle w:val="Heading4"/>
      </w:pPr>
      <w:bookmarkStart w:id="40" w:name="key-positions"/>
      <w:r>
        <w:t xml:space="preserve">Key Positions</w:t>
      </w:r>
      <w:bookmarkEnd w:id="40"/>
    </w:p>
    <w:p>
      <w:pPr>
        <w:numPr>
          <w:ilvl w:val="0"/>
          <w:numId w:val="1010"/>
        </w:numPr>
        <w:pStyle w:val="Compact"/>
      </w:pPr>
      <w:r>
        <w:rPr>
          <w:b/>
        </w:rPr>
        <w:t xml:space="preserve">Registry Director</w:t>
      </w:r>
      <w:r>
        <w:t xml:space="preserve">: MD/PhD in Epidemiology with cancer registry expertise</w:t>
      </w:r>
    </w:p>
    <w:p>
      <w:pPr>
        <w:numPr>
          <w:ilvl w:val="0"/>
          <w:numId w:val="1010"/>
        </w:numPr>
        <w:pStyle w:val="Compact"/>
      </w:pPr>
      <w:r>
        <w:rPr>
          <w:b/>
        </w:rPr>
        <w:t xml:space="preserve">Data Manager</w:t>
      </w:r>
      <w:r>
        <w:t xml:space="preserve">: Masters in Health Informatics with database management skills</w:t>
      </w:r>
    </w:p>
    <w:p>
      <w:pPr>
        <w:numPr>
          <w:ilvl w:val="0"/>
          <w:numId w:val="1010"/>
        </w:numPr>
        <w:pStyle w:val="Compact"/>
      </w:pPr>
      <w:r>
        <w:rPr>
          <w:b/>
        </w:rPr>
        <w:t xml:space="preserve">Quality Assurance Specialist</w:t>
      </w:r>
      <w:r>
        <w:t xml:space="preserve">: Epidemiology background with quality systems experience</w:t>
      </w:r>
    </w:p>
    <w:p>
      <w:pPr>
        <w:numPr>
          <w:ilvl w:val="0"/>
          <w:numId w:val="1010"/>
        </w:numPr>
        <w:pStyle w:val="Compact"/>
      </w:pPr>
      <w:r>
        <w:rPr>
          <w:b/>
        </w:rPr>
        <w:t xml:space="preserve">Data Collectors</w:t>
      </w:r>
      <w:r>
        <w:t xml:space="preserve">: Health Information Technicians with specialized training</w:t>
      </w:r>
    </w:p>
    <w:p>
      <w:pPr>
        <w:pStyle w:val="Heading3"/>
      </w:pPr>
      <w:bookmarkStart w:id="41" w:name="technology-infrastructure"/>
      <w:r>
        <w:t xml:space="preserve">Technology Infrastructure</w:t>
      </w:r>
      <w:bookmarkEnd w:id="41"/>
    </w:p>
    <w:p>
      <w:pPr>
        <w:pStyle w:val="Heading4"/>
      </w:pPr>
      <w:bookmarkStart w:id="42" w:name="core-systems"/>
      <w:r>
        <w:t xml:space="preserve">Core Systems</w:t>
      </w:r>
      <w:bookmarkEnd w:id="42"/>
    </w:p>
    <w:p>
      <w:pPr>
        <w:numPr>
          <w:ilvl w:val="0"/>
          <w:numId w:val="1011"/>
        </w:numPr>
        <w:pStyle w:val="Compact"/>
      </w:pPr>
      <w:r>
        <w:rPr>
          <w:b/>
        </w:rPr>
        <w:t xml:space="preserve">Registry Software</w:t>
      </w:r>
      <w:r>
        <w:t xml:space="preserve">: CanReg5 or WHO-approved equivalent</w:t>
      </w:r>
    </w:p>
    <w:p>
      <w:pPr>
        <w:numPr>
          <w:ilvl w:val="0"/>
          <w:numId w:val="1011"/>
        </w:numPr>
        <w:pStyle w:val="Compact"/>
      </w:pPr>
      <w:r>
        <w:rPr>
          <w:b/>
        </w:rPr>
        <w:t xml:space="preserve">Database Platform</w:t>
      </w:r>
      <w:r>
        <w:t xml:space="preserve">: PostgreSQL with advanced encryption</w:t>
      </w:r>
    </w:p>
    <w:p>
      <w:pPr>
        <w:numPr>
          <w:ilvl w:val="0"/>
          <w:numId w:val="1011"/>
        </w:numPr>
        <w:pStyle w:val="Compact"/>
      </w:pPr>
      <w:r>
        <w:rPr>
          <w:b/>
        </w:rPr>
        <w:t xml:space="preserve">Security Framework</w:t>
      </w:r>
      <w:r>
        <w:t xml:space="preserve">: Multi-layered protection with audit trails</w:t>
      </w:r>
    </w:p>
    <w:p>
      <w:pPr>
        <w:numPr>
          <w:ilvl w:val="0"/>
          <w:numId w:val="1011"/>
        </w:numPr>
        <w:pStyle w:val="Compact"/>
      </w:pPr>
      <w:r>
        <w:rPr>
          <w:b/>
        </w:rPr>
        <w:t xml:space="preserve">Integration</w:t>
      </w:r>
      <w:r>
        <w:t xml:space="preserve">: HL7 FHIR compliance for healthcare system connectivity</w:t>
      </w:r>
    </w:p>
    <w:p>
      <w:pPr>
        <w:pStyle w:val="Heading4"/>
      </w:pPr>
      <w:bookmarkStart w:id="43" w:name="performance-specifications"/>
      <w:r>
        <w:t xml:space="preserve">Performance Specifications</w:t>
      </w:r>
      <w:bookmarkEnd w:id="43"/>
    </w:p>
    <w:p>
      <w:pPr>
        <w:numPr>
          <w:ilvl w:val="0"/>
          <w:numId w:val="1012"/>
        </w:numPr>
        <w:pStyle w:val="Compact"/>
      </w:pPr>
      <w:r>
        <w:rPr>
          <w:b/>
        </w:rPr>
        <w:t xml:space="preserve">System Uptime</w:t>
      </w:r>
      <w:r>
        <w:t xml:space="preserve">: &gt;99% availability target</w:t>
      </w:r>
    </w:p>
    <w:p>
      <w:pPr>
        <w:numPr>
          <w:ilvl w:val="0"/>
          <w:numId w:val="1012"/>
        </w:numPr>
        <w:pStyle w:val="Compact"/>
      </w:pPr>
      <w:r>
        <w:rPr>
          <w:b/>
        </w:rPr>
        <w:t xml:space="preserve">Data Processing</w:t>
      </w:r>
      <w:r>
        <w:t xml:space="preserve">: Real-time validation and quality control</w:t>
      </w:r>
    </w:p>
    <w:p>
      <w:pPr>
        <w:numPr>
          <w:ilvl w:val="0"/>
          <w:numId w:val="1012"/>
        </w:numPr>
        <w:pStyle w:val="Compact"/>
      </w:pPr>
      <w:r>
        <w:rPr>
          <w:b/>
        </w:rPr>
        <w:t xml:space="preserve">Backup Systems</w:t>
      </w:r>
      <w:r>
        <w:t xml:space="preserve">: Automated daily backups with disaster recovery</w:t>
      </w:r>
    </w:p>
    <w:p>
      <w:pPr>
        <w:numPr>
          <w:ilvl w:val="0"/>
          <w:numId w:val="1012"/>
        </w:numPr>
        <w:pStyle w:val="Compact"/>
      </w:pPr>
      <w:r>
        <w:rPr>
          <w:b/>
        </w:rPr>
        <w:t xml:space="preserve">Scalability</w:t>
      </w:r>
      <w:r>
        <w:t xml:space="preserve">: Designed for future expansion and enhancement</w:t>
      </w:r>
    </w:p>
    <w:p>
      <w:pPr>
        <w:pStyle w:val="Heading2"/>
      </w:pPr>
      <w:bookmarkStart w:id="44" w:name="stakeholder-engagement-strategy"/>
      <w:r>
        <w:t xml:space="preserve">Stakeholder Engagement Strategy</w:t>
      </w:r>
      <w:bookmarkEnd w:id="44"/>
    </w:p>
    <w:p>
      <w:pPr>
        <w:pStyle w:val="Heading3"/>
      </w:pPr>
      <w:bookmarkStart w:id="45" w:name="primary-stakeholders"/>
      <w:r>
        <w:t xml:space="preserve">Primary Stakeholders</w:t>
      </w:r>
      <w:bookmarkEnd w:id="45"/>
    </w:p>
    <w:p>
      <w:pPr>
        <w:numPr>
          <w:ilvl w:val="0"/>
          <w:numId w:val="1013"/>
        </w:numPr>
        <w:pStyle w:val="Compact"/>
      </w:pPr>
      <w:r>
        <w:rPr>
          <w:b/>
        </w:rPr>
        <w:t xml:space="preserve">Healthcare Providers</w:t>
      </w:r>
      <w:r>
        <w:t xml:space="preserve">: Physicians, nurses, health information staff across all facilities</w:t>
      </w:r>
    </w:p>
    <w:p>
      <w:pPr>
        <w:numPr>
          <w:ilvl w:val="0"/>
          <w:numId w:val="1013"/>
        </w:numPr>
        <w:pStyle w:val="Compact"/>
      </w:pPr>
      <w:r>
        <w:rPr>
          <w:b/>
        </w:rPr>
        <w:t xml:space="preserve">Government Agencies</w:t>
      </w:r>
      <w:r>
        <w:t xml:space="preserve">: Ministry of Health, regional health authorities, policy makers</w:t>
      </w:r>
    </w:p>
    <w:p>
      <w:pPr>
        <w:numPr>
          <w:ilvl w:val="0"/>
          <w:numId w:val="1013"/>
        </w:numPr>
        <w:pStyle w:val="Compact"/>
      </w:pPr>
      <w:r>
        <w:rPr>
          <w:b/>
        </w:rPr>
        <w:t xml:space="preserve">Healthcare Facilities</w:t>
      </w:r>
      <w:r>
        <w:t xml:space="preserve">: Hospitals, clinics, laboratories, pathology services</w:t>
      </w:r>
    </w:p>
    <w:p>
      <w:pPr>
        <w:numPr>
          <w:ilvl w:val="0"/>
          <w:numId w:val="1013"/>
        </w:numPr>
        <w:pStyle w:val="Compact"/>
      </w:pPr>
      <w:r>
        <w:rPr>
          <w:b/>
        </w:rPr>
        <w:t xml:space="preserve">Research Community</w:t>
      </w:r>
      <w:r>
        <w:t xml:space="preserve">: Universities, research institutions, international collaborators</w:t>
      </w:r>
    </w:p>
    <w:p>
      <w:pPr>
        <w:pStyle w:val="Heading3"/>
      </w:pPr>
      <w:bookmarkStart w:id="46" w:name="engagement-activities"/>
      <w:r>
        <w:t xml:space="preserve">Engagement Activities</w:t>
      </w:r>
      <w:bookmarkEnd w:id="46"/>
    </w:p>
    <w:p>
      <w:pPr>
        <w:numPr>
          <w:ilvl w:val="0"/>
          <w:numId w:val="1014"/>
        </w:numPr>
        <w:pStyle w:val="Compact"/>
      </w:pPr>
      <w:r>
        <w:rPr>
          <w:b/>
        </w:rPr>
        <w:t xml:space="preserve">Healthcare Provider Training</w:t>
      </w:r>
      <w:r>
        <w:t xml:space="preserve">: Comprehensive education on registry importance and procedures</w:t>
      </w:r>
    </w:p>
    <w:p>
      <w:pPr>
        <w:numPr>
          <w:ilvl w:val="0"/>
          <w:numId w:val="1014"/>
        </w:numPr>
        <w:pStyle w:val="Compact"/>
      </w:pPr>
      <w:r>
        <w:rPr>
          <w:b/>
        </w:rPr>
        <w:t xml:space="preserve">Government Briefings</w:t>
      </w:r>
      <w:r>
        <w:t xml:space="preserve">: Regular updates to health ministry and regional authorities</w:t>
      </w:r>
    </w:p>
    <w:p>
      <w:pPr>
        <w:numPr>
          <w:ilvl w:val="0"/>
          <w:numId w:val="1014"/>
        </w:numPr>
        <w:pStyle w:val="Compact"/>
      </w:pPr>
      <w:r>
        <w:rPr>
          <w:b/>
        </w:rPr>
        <w:t xml:space="preserve">Community Outreach</w:t>
      </w:r>
      <w:r>
        <w:t xml:space="preserve">: Public awareness campaigns and patient advocacy partnerships</w:t>
      </w:r>
    </w:p>
    <w:p>
      <w:pPr>
        <w:numPr>
          <w:ilvl w:val="0"/>
          <w:numId w:val="1014"/>
        </w:numPr>
        <w:pStyle w:val="Compact"/>
      </w:pPr>
      <w:r>
        <w:rPr>
          <w:b/>
        </w:rPr>
        <w:t xml:space="preserve">International Collaboration</w:t>
      </w:r>
      <w:r>
        <w:t xml:space="preserve">: Participation in global cancer registry networks</w:t>
      </w:r>
    </w:p>
    <w:p>
      <w:pPr>
        <w:pStyle w:val="Heading2"/>
      </w:pPr>
      <w:bookmarkStart w:id="47" w:name="risk-management-mitigation"/>
      <w:r>
        <w:t xml:space="preserve">Risk Management &amp; Mitigation</w:t>
      </w:r>
      <w:bookmarkEnd w:id="47"/>
    </w:p>
    <w:p>
      <w:pPr>
        <w:pStyle w:val="Heading3"/>
      </w:pPr>
      <w:bookmarkStart w:id="48" w:name="critical-risk-areas"/>
      <w:r>
        <w:t xml:space="preserve">Critical Risk Areas</w:t>
      </w:r>
      <w:bookmarkEnd w:id="48"/>
    </w:p>
    <w:p>
      <w:pPr>
        <w:pStyle w:val="Heading4"/>
      </w:pPr>
      <w:bookmarkStart w:id="49" w:name="data-security-privacy"/>
      <w:r>
        <w:rPr>
          <w:b/>
        </w:rPr>
        <w:t xml:space="preserve">Data Security &amp; Privacy</w:t>
      </w:r>
      <w:bookmarkEnd w:id="49"/>
    </w:p>
    <w:p>
      <w:pPr>
        <w:numPr>
          <w:ilvl w:val="0"/>
          <w:numId w:val="1015"/>
        </w:numPr>
        <w:pStyle w:val="Compact"/>
      </w:pPr>
      <w:r>
        <w:rPr>
          <w:b/>
        </w:rPr>
        <w:t xml:space="preserve">Risk</w:t>
      </w:r>
      <w:r>
        <w:t xml:space="preserve">: Unauthorized access to sensitive patient information</w:t>
      </w:r>
    </w:p>
    <w:p>
      <w:pPr>
        <w:numPr>
          <w:ilvl w:val="0"/>
          <w:numId w:val="1015"/>
        </w:numPr>
        <w:pStyle w:val="Compact"/>
      </w:pPr>
      <w:r>
        <w:rPr>
          <w:b/>
        </w:rPr>
        <w:t xml:space="preserve">Mitigation</w:t>
      </w:r>
      <w:r>
        <w:t xml:space="preserve">: Multi-layered security, staff training, regular security audits</w:t>
      </w:r>
    </w:p>
    <w:p>
      <w:pPr>
        <w:numPr>
          <w:ilvl w:val="0"/>
          <w:numId w:val="1015"/>
        </w:numPr>
        <w:pStyle w:val="Compact"/>
      </w:pPr>
      <w:r>
        <w:rPr>
          <w:b/>
        </w:rPr>
        <w:t xml:space="preserve">Compliance</w:t>
      </w:r>
      <w:r>
        <w:t xml:space="preserve">: Saudi data protection regulations and international standards</w:t>
      </w:r>
    </w:p>
    <w:p>
      <w:pPr>
        <w:pStyle w:val="Heading4"/>
      </w:pPr>
      <w:bookmarkStart w:id="50" w:name="funding-sustainability"/>
      <w:r>
        <w:rPr>
          <w:b/>
        </w:rPr>
        <w:t xml:space="preserve">Funding Sustainability</w:t>
      </w:r>
      <w:bookmarkEnd w:id="50"/>
    </w:p>
    <w:p>
      <w:pPr>
        <w:numPr>
          <w:ilvl w:val="0"/>
          <w:numId w:val="1016"/>
        </w:numPr>
        <w:pStyle w:val="Compact"/>
      </w:pPr>
      <w:r>
        <w:rPr>
          <w:b/>
        </w:rPr>
        <w:t xml:space="preserve">Risk</w:t>
      </w:r>
      <w:r>
        <w:t xml:space="preserve">: Interruption of government or donor funding</w:t>
      </w:r>
    </w:p>
    <w:p>
      <w:pPr>
        <w:numPr>
          <w:ilvl w:val="0"/>
          <w:numId w:val="1016"/>
        </w:numPr>
        <w:pStyle w:val="Compact"/>
      </w:pPr>
      <w:r>
        <w:rPr>
          <w:b/>
        </w:rPr>
        <w:t xml:space="preserve">Mitigation</w:t>
      </w:r>
      <w:r>
        <w:t xml:space="preserve">: Diversified funding sources, cost-effective operations, demonstrated value</w:t>
      </w:r>
    </w:p>
    <w:p>
      <w:pPr>
        <w:numPr>
          <w:ilvl w:val="0"/>
          <w:numId w:val="1016"/>
        </w:numPr>
        <w:pStyle w:val="Compact"/>
      </w:pPr>
      <w:r>
        <w:rPr>
          <w:b/>
        </w:rPr>
        <w:t xml:space="preserve">Strategy</w:t>
      </w:r>
      <w:r>
        <w:t xml:space="preserve">: Integration into permanent health ministry budget allocation</w:t>
      </w:r>
    </w:p>
    <w:p>
      <w:pPr>
        <w:pStyle w:val="Heading4"/>
      </w:pPr>
      <w:bookmarkStart w:id="51" w:name="stakeholder-engagement"/>
      <w:r>
        <w:rPr>
          <w:b/>
        </w:rPr>
        <w:t xml:space="preserve">Stakeholder Engagement</w:t>
      </w:r>
      <w:bookmarkEnd w:id="51"/>
    </w:p>
    <w:p>
      <w:pPr>
        <w:numPr>
          <w:ilvl w:val="0"/>
          <w:numId w:val="1017"/>
        </w:numPr>
        <w:pStyle w:val="Compact"/>
      </w:pPr>
      <w:r>
        <w:rPr>
          <w:b/>
        </w:rPr>
        <w:t xml:space="preserve">Risk</w:t>
      </w:r>
      <w:r>
        <w:t xml:space="preserve">: Healthcare provider resistance or non-compliance</w:t>
      </w:r>
    </w:p>
    <w:p>
      <w:pPr>
        <w:numPr>
          <w:ilvl w:val="0"/>
          <w:numId w:val="1017"/>
        </w:numPr>
        <w:pStyle w:val="Compact"/>
      </w:pPr>
      <w:r>
        <w:rPr>
          <w:b/>
        </w:rPr>
        <w:t xml:space="preserve">Mitigation</w:t>
      </w:r>
      <w:r>
        <w:t xml:space="preserve">: Comprehensive engagement strategy, training programs, incentive systems</w:t>
      </w:r>
    </w:p>
    <w:p>
      <w:pPr>
        <w:numPr>
          <w:ilvl w:val="0"/>
          <w:numId w:val="1017"/>
        </w:numPr>
        <w:pStyle w:val="Compact"/>
      </w:pPr>
      <w:r>
        <w:rPr>
          <w:b/>
        </w:rPr>
        <w:t xml:space="preserve">Monitoring</w:t>
      </w:r>
      <w:r>
        <w:t xml:space="preserve">: Regular stakeholder satisfaction surveys and feedback sessions</w:t>
      </w:r>
    </w:p>
    <w:p>
      <w:pPr>
        <w:pStyle w:val="Heading4"/>
      </w:pPr>
      <w:bookmarkStart w:id="52" w:name="technical-infrastructure"/>
      <w:r>
        <w:rPr>
          <w:b/>
        </w:rPr>
        <w:t xml:space="preserve">Technical Infrastructure</w:t>
      </w:r>
      <w:bookmarkEnd w:id="52"/>
    </w:p>
    <w:p>
      <w:pPr>
        <w:numPr>
          <w:ilvl w:val="0"/>
          <w:numId w:val="1018"/>
        </w:numPr>
        <w:pStyle w:val="Compact"/>
      </w:pPr>
      <w:r>
        <w:rPr>
          <w:b/>
        </w:rPr>
        <w:t xml:space="preserve">Risk</w:t>
      </w:r>
      <w:r>
        <w:t xml:space="preserve">: System failures or data loss</w:t>
      </w:r>
    </w:p>
    <w:p>
      <w:pPr>
        <w:numPr>
          <w:ilvl w:val="0"/>
          <w:numId w:val="1018"/>
        </w:numPr>
        <w:pStyle w:val="Compact"/>
      </w:pPr>
      <w:r>
        <w:rPr>
          <w:b/>
        </w:rPr>
        <w:t xml:space="preserve">Mitigation</w:t>
      </w:r>
      <w:r>
        <w:t xml:space="preserve">: Redundant systems, regular backups, maintenance contracts</w:t>
      </w:r>
    </w:p>
    <w:p>
      <w:pPr>
        <w:numPr>
          <w:ilvl w:val="0"/>
          <w:numId w:val="1018"/>
        </w:numPr>
        <w:pStyle w:val="Compact"/>
      </w:pPr>
      <w:r>
        <w:rPr>
          <w:b/>
        </w:rPr>
        <w:t xml:space="preserve">Recovery</w:t>
      </w:r>
      <w:r>
        <w:t xml:space="preserve">: Comprehensive disaster recovery and business continuity plans</w:t>
      </w:r>
    </w:p>
    <w:p>
      <w:pPr>
        <w:pStyle w:val="Heading2"/>
      </w:pPr>
      <w:bookmarkStart w:id="53" w:name="expected-outcomes-impact"/>
      <w:r>
        <w:t xml:space="preserve">Expected Outcomes &amp; Impact</w:t>
      </w:r>
      <w:bookmarkEnd w:id="53"/>
    </w:p>
    <w:p>
      <w:pPr>
        <w:pStyle w:val="Heading3"/>
      </w:pPr>
      <w:bookmarkStart w:id="54" w:name="short-term-outcomes-years-1-2"/>
      <w:r>
        <w:t xml:space="preserve">Short-Term Outcomes (Years 1-2)</w:t>
      </w:r>
      <w:bookmarkEnd w:id="54"/>
    </w:p>
    <w:p>
      <w:pPr>
        <w:numPr>
          <w:ilvl w:val="0"/>
          <w:numId w:val="1019"/>
        </w:numPr>
        <w:pStyle w:val="Compact"/>
      </w:pPr>
      <w:r>
        <w:rPr>
          <w:b/>
        </w:rPr>
        <w:t xml:space="preserve">Operational Registry</w:t>
      </w:r>
      <w:r>
        <w:t xml:space="preserve">: Fully functional cancer surveillance system</w:t>
      </w:r>
    </w:p>
    <w:p>
      <w:pPr>
        <w:numPr>
          <w:ilvl w:val="0"/>
          <w:numId w:val="1019"/>
        </w:numPr>
        <w:pStyle w:val="Compact"/>
      </w:pPr>
      <w:r>
        <w:rPr>
          <w:b/>
        </w:rPr>
        <w:t xml:space="preserve">Quality Data</w:t>
      </w:r>
      <w:r>
        <w:t xml:space="preserve">: High-quality, WHO-compliant cancer incidence data</w:t>
      </w:r>
    </w:p>
    <w:p>
      <w:pPr>
        <w:numPr>
          <w:ilvl w:val="0"/>
          <w:numId w:val="1019"/>
        </w:numPr>
        <w:pStyle w:val="Compact"/>
      </w:pPr>
      <w:r>
        <w:rPr>
          <w:b/>
        </w:rPr>
        <w:t xml:space="preserve">Healthcare Integration</w:t>
      </w:r>
      <w:r>
        <w:t xml:space="preserve">: Seamless integration with regional healthcare systems</w:t>
      </w:r>
    </w:p>
    <w:p>
      <w:pPr>
        <w:numPr>
          <w:ilvl w:val="0"/>
          <w:numId w:val="1019"/>
        </w:numPr>
        <w:pStyle w:val="Compact"/>
      </w:pPr>
      <w:r>
        <w:rPr>
          <w:b/>
        </w:rPr>
        <w:t xml:space="preserve">Stakeholder Engagement</w:t>
      </w:r>
      <w:r>
        <w:t xml:space="preserve">: Strong support from healthcare providers and government</w:t>
      </w:r>
    </w:p>
    <w:p>
      <w:pPr>
        <w:pStyle w:val="Heading3"/>
      </w:pPr>
      <w:bookmarkStart w:id="55" w:name="medium-term-outcomes-years-3-5"/>
      <w:r>
        <w:t xml:space="preserve">Medium-Term Outcomes (Years 3-5)</w:t>
      </w:r>
      <w:bookmarkEnd w:id="55"/>
    </w:p>
    <w:p>
      <w:pPr>
        <w:numPr>
          <w:ilvl w:val="0"/>
          <w:numId w:val="1020"/>
        </w:numPr>
        <w:pStyle w:val="Compact"/>
      </w:pPr>
      <w:r>
        <w:rPr>
          <w:b/>
        </w:rPr>
        <w:t xml:space="preserve">Research Output</w:t>
      </w:r>
      <w:r>
        <w:t xml:space="preserve">: Peer-reviewed publications on regional cancer patterns</w:t>
      </w:r>
    </w:p>
    <w:p>
      <w:pPr>
        <w:numPr>
          <w:ilvl w:val="0"/>
          <w:numId w:val="1020"/>
        </w:numPr>
        <w:pStyle w:val="Compact"/>
      </w:pPr>
      <w:r>
        <w:rPr>
          <w:b/>
        </w:rPr>
        <w:t xml:space="preserve">Policy Impact</w:t>
      </w:r>
      <w:r>
        <w:t xml:space="preserve">: Evidence-based cancer control policy development</w:t>
      </w:r>
    </w:p>
    <w:p>
      <w:pPr>
        <w:numPr>
          <w:ilvl w:val="0"/>
          <w:numId w:val="1020"/>
        </w:numPr>
        <w:pStyle w:val="Compact"/>
      </w:pPr>
      <w:r>
        <w:rPr>
          <w:b/>
        </w:rPr>
        <w:t xml:space="preserve">International Recognition</w:t>
      </w:r>
      <w:r>
        <w:t xml:space="preserve">: Participation in global cancer registry networks</w:t>
      </w:r>
    </w:p>
    <w:p>
      <w:pPr>
        <w:numPr>
          <w:ilvl w:val="0"/>
          <w:numId w:val="1020"/>
        </w:numPr>
        <w:pStyle w:val="Compact"/>
      </w:pPr>
      <w:r>
        <w:rPr>
          <w:b/>
        </w:rPr>
        <w:t xml:space="preserve">Quality Improvement</w:t>
      </w:r>
      <w:r>
        <w:t xml:space="preserve">: Demonstrated improvements in cancer care quality</w:t>
      </w:r>
    </w:p>
    <w:p>
      <w:pPr>
        <w:pStyle w:val="Heading3"/>
      </w:pPr>
      <w:bookmarkStart w:id="56" w:name="long-term-impact-years-5"/>
      <w:r>
        <w:t xml:space="preserve">Long-Term Impact (Years 5+)</w:t>
      </w:r>
      <w:bookmarkEnd w:id="56"/>
    </w:p>
    <w:p>
      <w:pPr>
        <w:numPr>
          <w:ilvl w:val="0"/>
          <w:numId w:val="1021"/>
        </w:numPr>
        <w:pStyle w:val="Compact"/>
      </w:pPr>
      <w:r>
        <w:rPr>
          <w:b/>
        </w:rPr>
        <w:t xml:space="preserve">Cancer Control</w:t>
      </w:r>
      <w:r>
        <w:t xml:space="preserve">: Measurable improvements in cancer outcomes</w:t>
      </w:r>
    </w:p>
    <w:p>
      <w:pPr>
        <w:numPr>
          <w:ilvl w:val="0"/>
          <w:numId w:val="1021"/>
        </w:numPr>
        <w:pStyle w:val="Compact"/>
      </w:pPr>
      <w:r>
        <w:rPr>
          <w:b/>
        </w:rPr>
        <w:t xml:space="preserve">Research Leadership</w:t>
      </w:r>
      <w:r>
        <w:t xml:space="preserve">: Regional center of excellence for cancer surveillance</w:t>
      </w:r>
    </w:p>
    <w:p>
      <w:pPr>
        <w:numPr>
          <w:ilvl w:val="0"/>
          <w:numId w:val="1021"/>
        </w:numPr>
        <w:pStyle w:val="Compact"/>
      </w:pPr>
      <w:r>
        <w:rPr>
          <w:b/>
        </w:rPr>
        <w:t xml:space="preserve">Model System</w:t>
      </w:r>
      <w:r>
        <w:t xml:space="preserve">: Template for other regions in Saudi Arabia and Middle East</w:t>
      </w:r>
    </w:p>
    <w:p>
      <w:pPr>
        <w:numPr>
          <w:ilvl w:val="0"/>
          <w:numId w:val="1021"/>
        </w:numPr>
        <w:pStyle w:val="Compact"/>
      </w:pPr>
      <w:r>
        <w:rPr>
          <w:b/>
        </w:rPr>
        <w:t xml:space="preserve">Sustainable Operations</w:t>
      </w:r>
      <w:r>
        <w:t xml:space="preserve">: Self-sustaining registry with ongoing impact</w:t>
      </w:r>
    </w:p>
    <w:p>
      <w:pPr>
        <w:pStyle w:val="Heading2"/>
      </w:pPr>
      <w:bookmarkStart w:id="57" w:name="sustainability-framework"/>
      <w:r>
        <w:t xml:space="preserve">Sustainability Framework</w:t>
      </w:r>
      <w:bookmarkEnd w:id="57"/>
    </w:p>
    <w:p>
      <w:pPr>
        <w:pStyle w:val="Heading3"/>
      </w:pPr>
      <w:bookmarkStart w:id="58" w:name="financial-sustainability"/>
      <w:r>
        <w:t xml:space="preserve">Financial Sustainability</w:t>
      </w:r>
      <w:bookmarkEnd w:id="58"/>
    </w:p>
    <w:p>
      <w:pPr>
        <w:numPr>
          <w:ilvl w:val="0"/>
          <w:numId w:val="1022"/>
        </w:numPr>
        <w:pStyle w:val="Compact"/>
      </w:pPr>
      <w:r>
        <w:rPr>
          <w:b/>
        </w:rPr>
        <w:t xml:space="preserve">Government Integration</w:t>
      </w:r>
      <w:r>
        <w:t xml:space="preserve">: Permanent inclusion in Ministry of Health budget</w:t>
      </w:r>
    </w:p>
    <w:p>
      <w:pPr>
        <w:numPr>
          <w:ilvl w:val="0"/>
          <w:numId w:val="1022"/>
        </w:numPr>
        <w:pStyle w:val="Compact"/>
      </w:pPr>
      <w:r>
        <w:rPr>
          <w:b/>
        </w:rPr>
        <w:t xml:space="preserve">Research Partnerships</w:t>
      </w:r>
      <w:r>
        <w:t xml:space="preserve">: Ongoing collaboration with academic institutions</w:t>
      </w:r>
    </w:p>
    <w:p>
      <w:pPr>
        <w:numPr>
          <w:ilvl w:val="0"/>
          <w:numId w:val="1022"/>
        </w:numPr>
        <w:pStyle w:val="Compact"/>
      </w:pPr>
      <w:r>
        <w:rPr>
          <w:b/>
        </w:rPr>
        <w:t xml:space="preserve">International Support</w:t>
      </w:r>
      <w:r>
        <w:t xml:space="preserve">: Continued WHO and IARC technical assistance</w:t>
      </w:r>
    </w:p>
    <w:p>
      <w:pPr>
        <w:numPr>
          <w:ilvl w:val="0"/>
          <w:numId w:val="1022"/>
        </w:numPr>
        <w:pStyle w:val="Compact"/>
      </w:pPr>
      <w:r>
        <w:rPr>
          <w:b/>
        </w:rPr>
        <w:t xml:space="preserve">Service Revenue</w:t>
      </w:r>
      <w:r>
        <w:t xml:space="preserve">: Data analysis services for researchers and policy makers</w:t>
      </w:r>
    </w:p>
    <w:p>
      <w:pPr>
        <w:pStyle w:val="Heading3"/>
      </w:pPr>
      <w:bookmarkStart w:id="59" w:name="institutional-sustainability"/>
      <w:r>
        <w:t xml:space="preserve">Institutional Sustainability</w:t>
      </w:r>
      <w:bookmarkEnd w:id="59"/>
    </w:p>
    <w:p>
      <w:pPr>
        <w:numPr>
          <w:ilvl w:val="0"/>
          <w:numId w:val="1023"/>
        </w:numPr>
        <w:pStyle w:val="Compact"/>
      </w:pPr>
      <w:r>
        <w:rPr>
          <w:b/>
        </w:rPr>
        <w:t xml:space="preserve">Legal Framework</w:t>
      </w:r>
      <w:r>
        <w:t xml:space="preserve">: Formal establishment as permanent health institution</w:t>
      </w:r>
    </w:p>
    <w:p>
      <w:pPr>
        <w:numPr>
          <w:ilvl w:val="0"/>
          <w:numId w:val="1023"/>
        </w:numPr>
        <w:pStyle w:val="Compact"/>
      </w:pPr>
      <w:r>
        <w:rPr>
          <w:b/>
        </w:rPr>
        <w:t xml:space="preserve">Policy Integration</w:t>
      </w:r>
      <w:r>
        <w:t xml:space="preserve">: Inclusion in regional and national health strategic plans</w:t>
      </w:r>
    </w:p>
    <w:p>
      <w:pPr>
        <w:numPr>
          <w:ilvl w:val="0"/>
          <w:numId w:val="1023"/>
        </w:numPr>
        <w:pStyle w:val="Compact"/>
      </w:pPr>
      <w:r>
        <w:rPr>
          <w:b/>
        </w:rPr>
        <w:t xml:space="preserve">Succession Planning</w:t>
      </w:r>
      <w:r>
        <w:t xml:space="preserve">: Development of next generation registry leaders</w:t>
      </w:r>
    </w:p>
    <w:p>
      <w:pPr>
        <w:numPr>
          <w:ilvl w:val="0"/>
          <w:numId w:val="1023"/>
        </w:numPr>
        <w:pStyle w:val="Compact"/>
      </w:pPr>
      <w:r>
        <w:rPr>
          <w:b/>
        </w:rPr>
        <w:t xml:space="preserve">Knowledge Management</w:t>
      </w:r>
      <w:r>
        <w:t xml:space="preserve">: Comprehensive documentation and training systems</w:t>
      </w:r>
    </w:p>
    <w:p>
      <w:pPr>
        <w:pStyle w:val="Heading2"/>
      </w:pPr>
      <w:bookmarkStart w:id="60" w:name="success-factors-recommendations"/>
      <w:r>
        <w:t xml:space="preserve">Success Factors &amp; Recommendations</w:t>
      </w:r>
      <w:bookmarkEnd w:id="60"/>
    </w:p>
    <w:p>
      <w:pPr>
        <w:pStyle w:val="Heading3"/>
      </w:pPr>
      <w:bookmarkStart w:id="61" w:name="critical-success-factors"/>
      <w:r>
        <w:t xml:space="preserve">Critical Success Factors</w:t>
      </w:r>
      <w:bookmarkEnd w:id="61"/>
    </w:p>
    <w:p>
      <w:pPr>
        <w:numPr>
          <w:ilvl w:val="0"/>
          <w:numId w:val="1024"/>
        </w:numPr>
        <w:pStyle w:val="Compact"/>
      </w:pPr>
      <w:r>
        <w:rPr>
          <w:b/>
        </w:rPr>
        <w:t xml:space="preserve">Strong Leadership</w:t>
      </w:r>
      <w:r>
        <w:t xml:space="preserve">: Experienced registry director with regional credibility</w:t>
      </w:r>
    </w:p>
    <w:p>
      <w:pPr>
        <w:numPr>
          <w:ilvl w:val="0"/>
          <w:numId w:val="1024"/>
        </w:numPr>
        <w:pStyle w:val="Compact"/>
      </w:pPr>
      <w:r>
        <w:rPr>
          <w:b/>
        </w:rPr>
        <w:t xml:space="preserve">Stakeholder Buy-in</w:t>
      </w:r>
      <w:r>
        <w:t xml:space="preserve">: Sustained support from healthcare providers and government</w:t>
      </w:r>
    </w:p>
    <w:p>
      <w:pPr>
        <w:numPr>
          <w:ilvl w:val="0"/>
          <w:numId w:val="1024"/>
        </w:numPr>
        <w:pStyle w:val="Compact"/>
      </w:pPr>
      <w:r>
        <w:rPr>
          <w:b/>
        </w:rPr>
        <w:t xml:space="preserve">Quality Focus</w:t>
      </w:r>
      <w:r>
        <w:t xml:space="preserve">: Unwavering commitment to data quality and international standards</w:t>
      </w:r>
    </w:p>
    <w:p>
      <w:pPr>
        <w:numPr>
          <w:ilvl w:val="0"/>
          <w:numId w:val="1024"/>
        </w:numPr>
        <w:pStyle w:val="Compact"/>
      </w:pPr>
      <w:r>
        <w:rPr>
          <w:b/>
        </w:rPr>
        <w:t xml:space="preserve">Cultural Sensitivity</w:t>
      </w:r>
      <w:r>
        <w:t xml:space="preserve">: Respect for local customs and privacy concerns</w:t>
      </w:r>
    </w:p>
    <w:p>
      <w:pPr>
        <w:numPr>
          <w:ilvl w:val="0"/>
          <w:numId w:val="1024"/>
        </w:numPr>
        <w:pStyle w:val="Compact"/>
      </w:pPr>
      <w:r>
        <w:rPr>
          <w:b/>
        </w:rPr>
        <w:t xml:space="preserve">Resource Adequacy</w:t>
      </w:r>
      <w:r>
        <w:t xml:space="preserve">: Sufficient funding and staffing throughout implementation</w:t>
      </w:r>
    </w:p>
    <w:p>
      <w:pPr>
        <w:numPr>
          <w:ilvl w:val="0"/>
          <w:numId w:val="1024"/>
        </w:numPr>
        <w:pStyle w:val="Compact"/>
      </w:pPr>
      <w:r>
        <w:rPr>
          <w:b/>
        </w:rPr>
        <w:t xml:space="preserve">Technology Reliability</w:t>
      </w:r>
      <w:r>
        <w:t xml:space="preserve">: Robust, secure, and user-friendly information systems</w:t>
      </w:r>
    </w:p>
    <w:p>
      <w:pPr>
        <w:pStyle w:val="Heading3"/>
      </w:pPr>
      <w:bookmarkStart w:id="62" w:name="key-recommendations"/>
      <w:r>
        <w:t xml:space="preserve">Key Recommendations</w:t>
      </w:r>
      <w:bookmarkEnd w:id="62"/>
    </w:p>
    <w:p>
      <w:pPr>
        <w:numPr>
          <w:ilvl w:val="0"/>
          <w:numId w:val="1025"/>
        </w:numPr>
        <w:pStyle w:val="Compact"/>
      </w:pPr>
      <w:r>
        <w:rPr>
          <w:b/>
        </w:rPr>
        <w:t xml:space="preserve">Phased Implementation</w:t>
      </w:r>
      <w:r>
        <w:t xml:space="preserve">: Follow the structured 3-phase approach for systematic development</w:t>
      </w:r>
    </w:p>
    <w:p>
      <w:pPr>
        <w:numPr>
          <w:ilvl w:val="0"/>
          <w:numId w:val="1025"/>
        </w:numPr>
        <w:pStyle w:val="Compact"/>
      </w:pPr>
      <w:r>
        <w:rPr>
          <w:b/>
        </w:rPr>
        <w:t xml:space="preserve">Quality First</w:t>
      </w:r>
      <w:r>
        <w:t xml:space="preserve">: Prioritize data quality over quantity in early phases</w:t>
      </w:r>
    </w:p>
    <w:p>
      <w:pPr>
        <w:numPr>
          <w:ilvl w:val="0"/>
          <w:numId w:val="1025"/>
        </w:numPr>
        <w:pStyle w:val="Compact"/>
      </w:pPr>
      <w:r>
        <w:rPr>
          <w:b/>
        </w:rPr>
        <w:t xml:space="preserve">Stakeholder Engagement</w:t>
      </w:r>
      <w:r>
        <w:t xml:space="preserve">: Invest heavily in relationship building and communication</w:t>
      </w:r>
    </w:p>
    <w:p>
      <w:pPr>
        <w:numPr>
          <w:ilvl w:val="0"/>
          <w:numId w:val="1025"/>
        </w:numPr>
        <w:pStyle w:val="Compact"/>
      </w:pPr>
      <w:r>
        <w:rPr>
          <w:b/>
        </w:rPr>
        <w:t xml:space="preserve">Training Excellence</w:t>
      </w:r>
      <w:r>
        <w:t xml:space="preserve">: Develop comprehensive, ongoing training programs</w:t>
      </w:r>
    </w:p>
    <w:p>
      <w:pPr>
        <w:numPr>
          <w:ilvl w:val="0"/>
          <w:numId w:val="1025"/>
        </w:numPr>
        <w:pStyle w:val="Compact"/>
      </w:pPr>
      <w:r>
        <w:rPr>
          <w:b/>
        </w:rPr>
        <w:t xml:space="preserve">International Collaboration</w:t>
      </w:r>
      <w:r>
        <w:t xml:space="preserve">: Leverage global expertise and best practices</w:t>
      </w:r>
    </w:p>
    <w:p>
      <w:pPr>
        <w:numPr>
          <w:ilvl w:val="0"/>
          <w:numId w:val="1025"/>
        </w:numPr>
        <w:pStyle w:val="Compact"/>
      </w:pPr>
      <w:r>
        <w:rPr>
          <w:b/>
        </w:rPr>
        <w:t xml:space="preserve">Sustainability Planning</w:t>
      </w:r>
      <w:r>
        <w:t xml:space="preserve">: Begin sustainability planning from project inception</w:t>
      </w:r>
    </w:p>
    <w:p>
      <w:pPr>
        <w:pStyle w:val="Heading2"/>
      </w:pPr>
      <w:bookmarkStart w:id="63" w:name="conclusion"/>
      <w:r>
        <w:t xml:space="preserve">Conclusion</w:t>
      </w:r>
      <w:bookmarkEnd w:id="63"/>
    </w:p>
    <w:p>
      <w:pPr>
        <w:pStyle w:val="FirstParagraph"/>
      </w:pPr>
      <w:r>
        <w:t xml:space="preserve">The Jazan Cancer Registry Implementation Framework represents a significant opportunity to enhance cancer surveillance, improve patient care, and support evidence-based public health decision-making in the region. The framework provides a comprehensive, evidence-based roadmap that balances international best practices with local context and constraints.</w:t>
      </w:r>
    </w:p>
    <w:p>
      <w:pPr>
        <w:pStyle w:val="BodyText"/>
      </w:pPr>
      <w:r>
        <w:t xml:space="preserve">Success will depend on sustained commitment from all stakeholders, adequate resource allocation, and unwavering focus on data quality and patient privacy. The expected outcomes include comprehensive cancer surveillance for Jazan region, improved cancer care quality, enhanced research capacity, and evidence-based policy development.</w:t>
      </w:r>
    </w:p>
    <w:p>
      <w:pPr>
        <w:pStyle w:val="BodyText"/>
      </w:pPr>
      <w:r>
        <w:t xml:space="preserve">This framework serves as both a strategic planning document and an operational guide, providing the foundation for establishing a world-class cancer registry that can serve as a model for other regions in Saudi Arabia and the broader Middle East.</w:t>
      </w:r>
    </w:p>
    <w:p>
      <w:r>
        <w:pict>
          <v:rect style="width:0;height:1.5pt" o:hralign="center" o:hrstd="t" o:hr="t"/>
        </w:pict>
      </w:r>
    </w:p>
    <w:p>
      <w:pPr>
        <w:pStyle w:val="FirstParagraph"/>
      </w:pPr>
      <w:r>
        <w:rPr>
          <w:b/>
        </w:rPr>
        <w:t xml:space="preserve">Framework Development</w:t>
      </w:r>
      <w:r>
        <w:t xml:space="preserve">: Based on comprehensive analysis of 100+ research papers</w:t>
      </w:r>
      <w:r>
        <w:br/>
      </w:r>
      <w:r>
        <w:rPr>
          <w:b/>
        </w:rPr>
        <w:t xml:space="preserve">Compliance Standards</w:t>
      </w:r>
      <w:r>
        <w:t xml:space="preserve">: WHO, IARC, IACR guidelines</w:t>
      </w:r>
      <w:r>
        <w:br/>
      </w:r>
      <w:r>
        <w:rPr>
          <w:b/>
        </w:rPr>
        <w:t xml:space="preserve">Implementation Timeline</w:t>
      </w:r>
      <w:r>
        <w:t xml:space="preserve">: 36 months to full operation</w:t>
      </w:r>
      <w:r>
        <w:br/>
      </w:r>
      <w:r>
        <w:rPr>
          <w:b/>
        </w:rPr>
        <w:t xml:space="preserve">Total Investment</w:t>
      </w:r>
      <w:r>
        <w:t xml:space="preserve">: $1,355,000 over 3 years</w:t>
      </w:r>
      <w:r>
        <w:br/>
      </w:r>
      <w:r>
        <w:rPr>
          <w:b/>
        </w:rPr>
        <w:t xml:space="preserve">Expected Impact</w:t>
      </w:r>
      <w:r>
        <w:t xml:space="preserve">: Comprehensive cancer surveillance serving 1.5 million residents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2025-08-24T20:19:52Z</dcterms:created>
  <dcterms:modified xsi:type="dcterms:W3CDTF">2025-08-24T20:19:52Z</dcterms:modified>
</cp:coreProperties>
</file>

<file path=docProps/custom.xml><?xml version="1.0" encoding="utf-8"?>
<Properties xmlns="http://schemas.openxmlformats.org/officeDocument/2006/custom-properties" xmlns:vt="http://schemas.openxmlformats.org/officeDocument/2006/docPropsVTypes"/>
</file>